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_Toc853849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_Toc853850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_Toc853851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_Toc853853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_Toc853854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_Toc853855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_Toc853856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_Toc853857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_Toc853858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_Toc853860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_Toc853861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_Toc853864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_Toc853865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_Toc853866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_Toc853867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_Toc853868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_Toc853869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_Toc853870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_Toc853871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_Toc853874 \h </w:instrText>
      </w:r>
      <w:r>
        <w:fldChar w:fldCharType="separate"/>
      </w:r>
      <w:r>
        <w:t>12</w:t>
      </w:r>
      <w:r>
        <w:fldChar w:fldCharType="end"/>
      </w:r>
    </w:p>
    <w:p>
      <w:pPr>
        <w:pStyle w:val="TOC8"/>
        <w:rPr>
          <w:rFonts w:asciiTheme="minorHAnsi" w:eastAsiaTheme="minorEastAsia" w:hAnsiTheme="minorHAnsi" w:cstheme="minorBidi"/>
          <w:szCs w:val="22"/>
        </w:rPr>
      </w:pPr>
      <w:r>
        <w:t>13AA.</w:t>
      </w:r>
      <w:r>
        <w:tab/>
        <w:t xml:space="preserve">Applications under </w:t>
      </w:r>
      <w:r>
        <w:rPr>
          <w:i/>
        </w:rPr>
        <w:t>Bail Act 1982</w:t>
      </w:r>
      <w:r>
        <w:t xml:space="preserve"> section 54</w:t>
      </w:r>
      <w:r>
        <w:tab/>
      </w:r>
      <w:r>
        <w:fldChar w:fldCharType="begin"/>
      </w:r>
      <w:r>
        <w:instrText xml:space="preserve"> PAGEREF _Toc853875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_Toc853876 \h </w:instrText>
      </w:r>
      <w:r>
        <w:fldChar w:fldCharType="separate"/>
      </w:r>
      <w:r>
        <w:t>13</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_Toc853877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_Toc853878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_Toc853879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_Toc853880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_Toc853881 \h </w:instrText>
      </w:r>
      <w:r>
        <w:fldChar w:fldCharType="separate"/>
      </w:r>
      <w:r>
        <w:t>15</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_Toc853882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_Toc853883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_Toc853885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_Toc853887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_Toc853888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_Toc853889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_Toc853890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_Toc853891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_Toc853892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_Toc853893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_Toc853894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_Toc853896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_Toc853897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_Toc853898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_Toc853899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_Toc853901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_Toc853903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_Toc853905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_Toc853906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_Toc853907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_Toc853908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_Toc853909 \h </w:instrText>
      </w:r>
      <w:r>
        <w:fldChar w:fldCharType="separate"/>
      </w:r>
      <w:r>
        <w:t>29</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 (r. 13AA)</w:t>
      </w:r>
      <w:r>
        <w:tab/>
      </w:r>
      <w:r>
        <w:fldChar w:fldCharType="begin"/>
      </w:r>
      <w:r>
        <w:instrText xml:space="preserve"> PAGEREF _Toc853910 \h </w:instrText>
      </w:r>
      <w:r>
        <w:fldChar w:fldCharType="separate"/>
      </w:r>
      <w:r>
        <w:t>32</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_Toc853911 \h </w:instrText>
      </w:r>
      <w:r>
        <w:fldChar w:fldCharType="separate"/>
      </w:r>
      <w:r>
        <w:t>34</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_Toc853912 \h </w:instrText>
      </w:r>
      <w:r>
        <w:fldChar w:fldCharType="separate"/>
      </w:r>
      <w:r>
        <w:t>34</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_Toc853913 \h </w:instrText>
      </w:r>
      <w:r>
        <w:fldChar w:fldCharType="separate"/>
      </w:r>
      <w:r>
        <w:t>35</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_Toc853914 \h </w:instrText>
      </w:r>
      <w:r>
        <w:fldChar w:fldCharType="separate"/>
      </w:r>
      <w:r>
        <w:t>36</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_Toc853915 \h </w:instrText>
      </w:r>
      <w:r>
        <w:fldChar w:fldCharType="separate"/>
      </w:r>
      <w:r>
        <w:t>36</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_Toc853916 \h </w:instrText>
      </w:r>
      <w:r>
        <w:fldChar w:fldCharType="separate"/>
      </w:r>
      <w:r>
        <w:t>37</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_Toc853917 \h </w:instrText>
      </w:r>
      <w:r>
        <w:fldChar w:fldCharType="separate"/>
      </w:r>
      <w:r>
        <w:t>38</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_Toc853918 \h </w:instrText>
      </w:r>
      <w:r>
        <w:fldChar w:fldCharType="separate"/>
      </w:r>
      <w:r>
        <w:t>39</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_Toc853919 \h </w:instrText>
      </w:r>
      <w:r>
        <w:fldChar w:fldCharType="separate"/>
      </w:r>
      <w:r>
        <w:t>40</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_Toc853920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_Toc853924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_Toc853925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_Toc853926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_Toc853927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_Toc853929 \h </w:instrText>
      </w:r>
      <w:r>
        <w:fldChar w:fldCharType="separate"/>
      </w:r>
      <w:r>
        <w:t>47</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_Toc853930 \h </w:instrText>
      </w:r>
      <w:r>
        <w:fldChar w:fldCharType="separate"/>
      </w:r>
      <w:r>
        <w:t>47</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_Toc853931 \h </w:instrText>
      </w:r>
      <w:r>
        <w:fldChar w:fldCharType="separate"/>
      </w:r>
      <w:r>
        <w:t>47</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_Toc853932 \h </w:instrText>
      </w:r>
      <w:r>
        <w:fldChar w:fldCharType="separate"/>
      </w:r>
      <w:r>
        <w:t>47</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_Toc853933 \h </w:instrText>
      </w:r>
      <w:r>
        <w:fldChar w:fldCharType="separate"/>
      </w:r>
      <w:r>
        <w:t>47</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_Toc853934 \h </w:instrText>
      </w:r>
      <w:r>
        <w:fldChar w:fldCharType="separate"/>
      </w:r>
      <w:r>
        <w:t>47</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_Toc853935 \h </w:instrText>
      </w:r>
      <w:r>
        <w:fldChar w:fldCharType="separate"/>
      </w:r>
      <w:r>
        <w:t>47</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_Toc853936 \h </w:instrText>
      </w:r>
      <w:r>
        <w:fldChar w:fldCharType="separate"/>
      </w:r>
      <w:r>
        <w:t>48</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_Toc853937 \h </w:instrText>
      </w:r>
      <w:r>
        <w:fldChar w:fldCharType="separate"/>
      </w:r>
      <w:r>
        <w:t>48</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_Toc853938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_Toc853940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775177"/>
      <w:bookmarkStart w:id="4" w:name="_Toc775271"/>
      <w:bookmarkStart w:id="5" w:name="_Toc775422"/>
      <w:bookmarkStart w:id="6" w:name="_Toc775516"/>
      <w:bookmarkStart w:id="7" w:name="_Toc8538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853849"/>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9" w:name="_Toc853850"/>
      <w:r>
        <w:rPr>
          <w:rStyle w:val="CharSectno"/>
        </w:rPr>
        <w:t>2</w:t>
      </w:r>
      <w:r>
        <w:rPr>
          <w:spacing w:val="-2"/>
        </w:rPr>
        <w:t>.</w:t>
      </w:r>
      <w:r>
        <w:rPr>
          <w:spacing w:val="-2"/>
        </w:rPr>
        <w:tab/>
        <w:t>Commencement</w:t>
      </w:r>
      <w:bookmarkEnd w:id="9"/>
    </w:p>
    <w:p>
      <w:pPr>
        <w:pStyle w:val="Subsection"/>
      </w:pPr>
      <w:r>
        <w:rPr>
          <w:spacing w:val="-2"/>
        </w:rPr>
        <w:tab/>
      </w:r>
      <w:r>
        <w:rPr>
          <w:spacing w:val="-2"/>
        </w:rPr>
        <w:tab/>
        <w:t>These regulations come into operation on 2 May 2005.</w:t>
      </w:r>
    </w:p>
    <w:p>
      <w:pPr>
        <w:pStyle w:val="Heading5"/>
      </w:pPr>
      <w:bookmarkStart w:id="10" w:name="_Toc853851"/>
      <w:r>
        <w:rPr>
          <w:rStyle w:val="CharSectno"/>
        </w:rPr>
        <w:t>3</w:t>
      </w:r>
      <w:r>
        <w:t>.</w:t>
      </w:r>
      <w:r>
        <w:tab/>
        <w:t>Terms used</w:t>
      </w:r>
      <w:bookmarkEnd w:id="10"/>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w:t>
      </w:r>
    </w:p>
    <w:p>
      <w:pPr>
        <w:pStyle w:val="Heading2"/>
      </w:pPr>
      <w:bookmarkStart w:id="11" w:name="_Toc775181"/>
      <w:bookmarkStart w:id="12" w:name="_Toc775275"/>
      <w:bookmarkStart w:id="13" w:name="_Toc775426"/>
      <w:bookmarkStart w:id="14" w:name="_Toc775520"/>
      <w:bookmarkStart w:id="15" w:name="_Toc853852"/>
      <w:r>
        <w:rPr>
          <w:rStyle w:val="CharPartNo"/>
        </w:rPr>
        <w:t>Part 2</w:t>
      </w:r>
      <w:r>
        <w:t> — </w:t>
      </w:r>
      <w:r>
        <w:rPr>
          <w:rStyle w:val="CharPartText"/>
        </w:rPr>
        <w:t>General</w:t>
      </w:r>
      <w:bookmarkEnd w:id="11"/>
      <w:bookmarkEnd w:id="12"/>
      <w:bookmarkEnd w:id="13"/>
      <w:bookmarkEnd w:id="14"/>
      <w:bookmarkEnd w:id="15"/>
    </w:p>
    <w:p>
      <w:pPr>
        <w:pStyle w:val="Heading5"/>
      </w:pPr>
      <w:bookmarkStart w:id="16" w:name="_Toc853853"/>
      <w:r>
        <w:rPr>
          <w:rStyle w:val="CharSectno"/>
        </w:rPr>
        <w:t>4</w:t>
      </w:r>
      <w:r>
        <w:t>.</w:t>
      </w:r>
      <w:r>
        <w:tab/>
        <w:t>Forms prescribed</w:t>
      </w:r>
      <w:bookmarkEnd w:id="16"/>
    </w:p>
    <w:p>
      <w:pPr>
        <w:pStyle w:val="Subsection"/>
      </w:pPr>
      <w:r>
        <w:tab/>
      </w:r>
      <w:r>
        <w:tab/>
        <w:t>Each form in Schedule 1 is prescribed for the purposes for which it is applicable, whether under the CPA or another Act referred to in the form.</w:t>
      </w:r>
    </w:p>
    <w:p>
      <w:pPr>
        <w:pStyle w:val="Heading5"/>
      </w:pPr>
      <w:bookmarkStart w:id="17" w:name="_Toc853854"/>
      <w:r>
        <w:rPr>
          <w:rStyle w:val="CharSectno"/>
        </w:rPr>
        <w:t>4A</w:t>
      </w:r>
      <w:r>
        <w:t>.</w:t>
      </w:r>
      <w:r>
        <w:tab/>
        <w:t>Authorisation of persons to lodge documents by means of courts electronic system</w:t>
      </w:r>
      <w:bookmarkEnd w:id="17"/>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Gazette 2 Dec 2016 p. 5386.]</w:t>
      </w:r>
    </w:p>
    <w:p>
      <w:pPr>
        <w:pStyle w:val="Heading5"/>
      </w:pPr>
      <w:bookmarkStart w:id="18" w:name="_Toc853855"/>
      <w:r>
        <w:rPr>
          <w:rStyle w:val="CharSectno"/>
        </w:rPr>
        <w:t>4B</w:t>
      </w:r>
      <w:r>
        <w:t>.</w:t>
      </w:r>
      <w:r>
        <w:tab/>
        <w:t>Means of completing prescribed forms electronically</w:t>
      </w:r>
      <w:bookmarkEnd w:id="18"/>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Gazette 2 Dec 2016 p. 5386.]</w:t>
      </w:r>
    </w:p>
    <w:p>
      <w:pPr>
        <w:pStyle w:val="Heading5"/>
      </w:pPr>
      <w:bookmarkStart w:id="19" w:name="_Toc853856"/>
      <w:r>
        <w:rPr>
          <w:rStyle w:val="CharSectno"/>
        </w:rPr>
        <w:t>5</w:t>
      </w:r>
      <w:r>
        <w:t>.</w:t>
      </w:r>
      <w:r>
        <w:tab/>
        <w:t>Forms, completion of</w:t>
      </w:r>
      <w:bookmarkEnd w:id="1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0" w:name="_Toc853857"/>
      <w:r>
        <w:rPr>
          <w:rStyle w:val="CharSectno"/>
        </w:rPr>
        <w:t>5A</w:t>
      </w:r>
      <w:r>
        <w:t>.</w:t>
      </w:r>
      <w:r>
        <w:tab/>
        <w:t>Warrants issued electronically</w:t>
      </w:r>
      <w:bookmarkEnd w:id="20"/>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w:t>
      </w:r>
    </w:p>
    <w:p>
      <w:pPr>
        <w:pStyle w:val="Heading5"/>
      </w:pPr>
      <w:bookmarkStart w:id="21" w:name="_Toc853858"/>
      <w:r>
        <w:rPr>
          <w:rStyle w:val="CharSectno"/>
        </w:rPr>
        <w:t>6</w:t>
      </w:r>
      <w:r>
        <w:t>.</w:t>
      </w:r>
      <w:r>
        <w:tab/>
        <w:t>Service information</w:t>
      </w:r>
      <w:bookmarkEnd w:id="2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2" w:name="_Toc775188"/>
      <w:bookmarkStart w:id="23" w:name="_Toc775282"/>
      <w:bookmarkStart w:id="24" w:name="_Toc775433"/>
      <w:bookmarkStart w:id="25" w:name="_Toc775527"/>
      <w:bookmarkStart w:id="26" w:name="_Toc853859"/>
      <w:r>
        <w:rPr>
          <w:rStyle w:val="CharPartNo"/>
        </w:rPr>
        <w:t>Part 3</w:t>
      </w:r>
      <w:r>
        <w:rPr>
          <w:rStyle w:val="CharDivNo"/>
        </w:rPr>
        <w:t> </w:t>
      </w:r>
      <w:r>
        <w:t>—</w:t>
      </w:r>
      <w:r>
        <w:rPr>
          <w:rStyle w:val="CharDivText"/>
        </w:rPr>
        <w:t> </w:t>
      </w:r>
      <w:r>
        <w:rPr>
          <w:rStyle w:val="CharPartText"/>
        </w:rPr>
        <w:t>CPA Part 2 regulations</w:t>
      </w:r>
      <w:bookmarkEnd w:id="22"/>
      <w:bookmarkEnd w:id="23"/>
      <w:bookmarkEnd w:id="24"/>
      <w:bookmarkEnd w:id="25"/>
      <w:bookmarkEnd w:id="26"/>
    </w:p>
    <w:p>
      <w:pPr>
        <w:pStyle w:val="Heading5"/>
      </w:pPr>
      <w:bookmarkStart w:id="27" w:name="_Toc853860"/>
      <w:r>
        <w:rPr>
          <w:rStyle w:val="CharSectno"/>
        </w:rPr>
        <w:t>6A</w:t>
      </w:r>
      <w:r>
        <w:t>.</w:t>
      </w:r>
      <w:r>
        <w:tab/>
        <w:t xml:space="preserve">Acts prescribed (Act s. 4 </w:t>
      </w:r>
      <w:r>
        <w:rPr>
          <w:i/>
        </w:rPr>
        <w:t>prescribed Act</w:t>
      </w:r>
      <w:r>
        <w:t>)</w:t>
      </w:r>
      <w:bookmarkEnd w:id="27"/>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8" w:name="_Toc853861"/>
      <w:r>
        <w:rPr>
          <w:rStyle w:val="CharSectno"/>
        </w:rPr>
        <w:t>7</w:t>
      </w:r>
      <w:r>
        <w:t>.</w:t>
      </w:r>
      <w:r>
        <w:tab/>
        <w:t xml:space="preserve">Laws prescribed (Act s. 11 </w:t>
      </w:r>
      <w:r>
        <w:rPr>
          <w:i/>
        </w:rPr>
        <w:t>corresponding law</w:t>
      </w:r>
      <w:r>
        <w:t>)</w:t>
      </w:r>
      <w:bookmarkEnd w:id="28"/>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9" w:name="_Toc775191"/>
      <w:bookmarkStart w:id="30" w:name="_Toc775285"/>
      <w:bookmarkStart w:id="31" w:name="_Toc775436"/>
      <w:bookmarkStart w:id="32" w:name="_Toc775530"/>
      <w:bookmarkStart w:id="33" w:name="_Toc853862"/>
      <w:r>
        <w:rPr>
          <w:rStyle w:val="CharPartNo"/>
        </w:rPr>
        <w:t>Part 4</w:t>
      </w:r>
      <w:r>
        <w:t> — </w:t>
      </w:r>
      <w:r>
        <w:rPr>
          <w:rStyle w:val="CharPartText"/>
        </w:rPr>
        <w:t>CPA Part 3 regulations</w:t>
      </w:r>
      <w:bookmarkEnd w:id="29"/>
      <w:bookmarkEnd w:id="30"/>
      <w:bookmarkEnd w:id="31"/>
      <w:bookmarkEnd w:id="32"/>
      <w:bookmarkEnd w:id="33"/>
    </w:p>
    <w:p>
      <w:pPr>
        <w:pStyle w:val="Heading3"/>
        <w:spacing w:before="220"/>
      </w:pPr>
      <w:bookmarkStart w:id="34" w:name="_Toc775192"/>
      <w:bookmarkStart w:id="35" w:name="_Toc775286"/>
      <w:bookmarkStart w:id="36" w:name="_Toc775437"/>
      <w:bookmarkStart w:id="37" w:name="_Toc775531"/>
      <w:bookmarkStart w:id="38" w:name="_Toc853863"/>
      <w:r>
        <w:rPr>
          <w:rStyle w:val="CharDivNo"/>
        </w:rPr>
        <w:t>Division 1</w:t>
      </w:r>
      <w:r>
        <w:t> — </w:t>
      </w:r>
      <w:r>
        <w:rPr>
          <w:rStyle w:val="CharDivText"/>
        </w:rPr>
        <w:t>General</w:t>
      </w:r>
      <w:bookmarkEnd w:id="34"/>
      <w:bookmarkEnd w:id="35"/>
      <w:bookmarkEnd w:id="36"/>
      <w:bookmarkEnd w:id="37"/>
      <w:bookmarkEnd w:id="38"/>
    </w:p>
    <w:p>
      <w:pPr>
        <w:pStyle w:val="Heading5"/>
      </w:pPr>
      <w:bookmarkStart w:id="39" w:name="_Toc853864"/>
      <w:r>
        <w:rPr>
          <w:rStyle w:val="CharSectno"/>
        </w:rPr>
        <w:t>7A</w:t>
      </w:r>
      <w:r>
        <w:t>.</w:t>
      </w:r>
      <w:r>
        <w:tab/>
        <w:t>Public authorities prescribed (Act s. 18)</w:t>
      </w:r>
      <w:bookmarkEnd w:id="3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w:t>
      </w:r>
    </w:p>
    <w:p>
      <w:pPr>
        <w:pStyle w:val="Heading5"/>
      </w:pPr>
      <w:bookmarkStart w:id="40" w:name="_Toc853865"/>
      <w:r>
        <w:rPr>
          <w:rStyle w:val="CharSectno"/>
        </w:rPr>
        <w:t>8</w:t>
      </w:r>
      <w:r>
        <w:t>.</w:t>
      </w:r>
      <w:r>
        <w:tab/>
        <w:t>Prosecution notice, form and content of etc.</w:t>
      </w:r>
      <w:bookmarkEnd w:id="40"/>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w:t>
      </w:r>
    </w:p>
    <w:p>
      <w:pPr>
        <w:pStyle w:val="Heading5"/>
      </w:pPr>
      <w:bookmarkStart w:id="41" w:name="_Toc853866"/>
      <w:r>
        <w:rPr>
          <w:rStyle w:val="CharSectno"/>
        </w:rPr>
        <w:t>9</w:t>
      </w:r>
      <w:r>
        <w:t>.</w:t>
      </w:r>
      <w:r>
        <w:tab/>
        <w:t>Arrest warrant for accused, how application for to be made (Act s. 28)</w:t>
      </w:r>
      <w:bookmarkEnd w:id="4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42" w:name="_Toc853867"/>
      <w:r>
        <w:rPr>
          <w:rStyle w:val="CharSectno"/>
        </w:rPr>
        <w:t>10</w:t>
      </w:r>
      <w:r>
        <w:t>.</w:t>
      </w:r>
      <w:r>
        <w:tab/>
        <w:t xml:space="preserve">Simple offences prescribed (Act s. 35(1) </w:t>
      </w:r>
      <w:r>
        <w:rPr>
          <w:i/>
        </w:rPr>
        <w:t>prescribed simple offence</w:t>
      </w:r>
      <w:r>
        <w:t>)</w:t>
      </w:r>
      <w:bookmarkEnd w:id="42"/>
    </w:p>
    <w:p>
      <w:pPr>
        <w:pStyle w:val="Subsection"/>
      </w:pPr>
      <w:r>
        <w:tab/>
      </w:r>
      <w:r>
        <w:tab/>
        <w:t>For the purposes of the CPA section 35, the offences listed in Schedule 3 are prescribed as prescribed simple offences.</w:t>
      </w:r>
    </w:p>
    <w:p>
      <w:pPr>
        <w:pStyle w:val="Heading5"/>
      </w:pPr>
      <w:bookmarkStart w:id="43" w:name="_Toc853868"/>
      <w:r>
        <w:rPr>
          <w:rStyle w:val="CharSectno"/>
        </w:rPr>
        <w:t>11</w:t>
      </w:r>
      <w:r>
        <w:t>.</w:t>
      </w:r>
      <w:r>
        <w:tab/>
        <w:t>Periods prescribed (Act s. 45)</w:t>
      </w:r>
      <w:bookmarkEnd w:id="4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44" w:name="_Toc853869"/>
      <w:r>
        <w:rPr>
          <w:rStyle w:val="CharSectno"/>
        </w:rPr>
        <w:t>12</w:t>
      </w:r>
      <w:r>
        <w:t>.</w:t>
      </w:r>
      <w:r>
        <w:tab/>
        <w:t xml:space="preserve">Simple offences prescribed (Act s. 60(1) </w:t>
      </w:r>
      <w:r>
        <w:rPr>
          <w:i/>
        </w:rPr>
        <w:t>listed simple offence</w:t>
      </w:r>
      <w:r>
        <w:t>)</w:t>
      </w:r>
      <w:bookmarkEnd w:id="44"/>
    </w:p>
    <w:p>
      <w:pPr>
        <w:pStyle w:val="Subsection"/>
        <w:spacing w:before="120"/>
      </w:pPr>
      <w:r>
        <w:tab/>
      </w:r>
      <w:r>
        <w:tab/>
        <w:t>For the purposes of the CPA section 60, the offences listed in Schedule 4 are prescribed as listed simple offences.</w:t>
      </w:r>
    </w:p>
    <w:p>
      <w:pPr>
        <w:pStyle w:val="Heading5"/>
      </w:pPr>
      <w:bookmarkStart w:id="45" w:name="_Toc853870"/>
      <w:r>
        <w:rPr>
          <w:rStyle w:val="CharSectno"/>
        </w:rPr>
        <w:t>13A</w:t>
      </w:r>
      <w:r>
        <w:t>.</w:t>
      </w:r>
      <w:r>
        <w:tab/>
        <w:t>Recording of matters on prosecution notice (Act s. 47(1) and 68)</w:t>
      </w:r>
      <w:bookmarkEnd w:id="4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Gazette 26 Sep 2014 p. 3559.]</w:t>
      </w:r>
    </w:p>
    <w:p>
      <w:pPr>
        <w:pStyle w:val="Heading5"/>
        <w:keepNext w:val="0"/>
      </w:pPr>
      <w:bookmarkStart w:id="46" w:name="_Toc853871"/>
      <w:r>
        <w:rPr>
          <w:rStyle w:val="CharSectno"/>
        </w:rPr>
        <w:t>13B</w:t>
      </w:r>
      <w:r>
        <w:t>.</w:t>
      </w:r>
      <w:r>
        <w:tab/>
        <w:t>Recording of service information in service certificate</w:t>
      </w:r>
      <w:bookmarkEnd w:id="46"/>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w:t>
      </w:r>
    </w:p>
    <w:p>
      <w:pPr>
        <w:pStyle w:val="Heading3"/>
        <w:spacing w:before="220"/>
      </w:pPr>
      <w:bookmarkStart w:id="47" w:name="_Toc775201"/>
      <w:bookmarkStart w:id="48" w:name="_Toc775295"/>
      <w:bookmarkStart w:id="49" w:name="_Toc775446"/>
      <w:bookmarkStart w:id="50" w:name="_Toc775540"/>
      <w:bookmarkStart w:id="51" w:name="_Toc853872"/>
      <w:r>
        <w:rPr>
          <w:rStyle w:val="CharDivNo"/>
        </w:rPr>
        <w:t>Division 2</w:t>
      </w:r>
      <w:r>
        <w:t> — </w:t>
      </w:r>
      <w:r>
        <w:rPr>
          <w:rStyle w:val="CharDivText"/>
        </w:rPr>
        <w:t>Applications to courts of summary jurisdiction</w:t>
      </w:r>
      <w:bookmarkEnd w:id="47"/>
      <w:bookmarkEnd w:id="48"/>
      <w:bookmarkEnd w:id="49"/>
      <w:bookmarkEnd w:id="50"/>
      <w:bookmarkEnd w:id="51"/>
    </w:p>
    <w:p>
      <w:pPr>
        <w:pStyle w:val="Heading4"/>
      </w:pPr>
      <w:bookmarkStart w:id="52" w:name="_Toc775202"/>
      <w:bookmarkStart w:id="53" w:name="_Toc775296"/>
      <w:bookmarkStart w:id="54" w:name="_Toc775447"/>
      <w:bookmarkStart w:id="55" w:name="_Toc775541"/>
      <w:bookmarkStart w:id="56" w:name="_Toc853873"/>
      <w:r>
        <w:t>Subdivision 1 — Applications in or after a prosecution</w:t>
      </w:r>
      <w:bookmarkEnd w:id="52"/>
      <w:bookmarkEnd w:id="53"/>
      <w:bookmarkEnd w:id="54"/>
      <w:bookmarkEnd w:id="55"/>
      <w:bookmarkEnd w:id="56"/>
    </w:p>
    <w:p>
      <w:pPr>
        <w:pStyle w:val="Footnoteheading"/>
        <w:keepNext/>
      </w:pPr>
      <w:r>
        <w:tab/>
        <w:t>[Heading inserted: Gazette 9 Nov 2007 p. 5612.]</w:t>
      </w:r>
    </w:p>
    <w:p>
      <w:pPr>
        <w:pStyle w:val="Heading5"/>
      </w:pPr>
      <w:bookmarkStart w:id="57" w:name="_Toc853874"/>
      <w:r>
        <w:rPr>
          <w:rStyle w:val="CharSectno"/>
        </w:rPr>
        <w:t>13</w:t>
      </w:r>
      <w:r>
        <w:t>.</w:t>
      </w:r>
      <w:r>
        <w:tab/>
        <w:t>Application of Subdivision</w:t>
      </w:r>
      <w:bookmarkEnd w:id="5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58" w:name="_Toc853875"/>
      <w:r>
        <w:rPr>
          <w:rStyle w:val="CharSectno"/>
        </w:rPr>
        <w:t>13AA</w:t>
      </w:r>
      <w:r>
        <w:t>.</w:t>
      </w:r>
      <w:r>
        <w:tab/>
        <w:t xml:space="preserve">Applications under </w:t>
      </w:r>
      <w:r>
        <w:rPr>
          <w:i/>
        </w:rPr>
        <w:t>Bail Act 1982</w:t>
      </w:r>
      <w:r>
        <w:t xml:space="preserve"> section 54</w:t>
      </w:r>
      <w:bookmarkEnd w:id="58"/>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59" w:name="_Toc853876"/>
      <w:r>
        <w:rPr>
          <w:rStyle w:val="CharSectno"/>
        </w:rPr>
        <w:t>14</w:t>
      </w:r>
      <w:r>
        <w:t>.</w:t>
      </w:r>
      <w:r>
        <w:tab/>
        <w:t>Other applications under this Subdivision</w:t>
      </w:r>
      <w:bookmarkEnd w:id="59"/>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Ednotesubsection"/>
      </w:pPr>
      <w:r>
        <w:tab/>
        <w:t>[(4), (5)</w:t>
      </w:r>
      <w:r>
        <w:tab/>
        <w:t>deleted]</w:t>
      </w:r>
    </w:p>
    <w:p>
      <w:pPr>
        <w:pStyle w:val="Footnotesection"/>
      </w:pPr>
      <w:r>
        <w:tab/>
        <w:t>[Regulation 14 amended: Gazette 26 Jun 2018 p. 2422.]</w:t>
      </w:r>
    </w:p>
    <w:p>
      <w:pPr>
        <w:pStyle w:val="Heading5"/>
      </w:pPr>
      <w:bookmarkStart w:id="60" w:name="_Toc853877"/>
      <w:r>
        <w:rPr>
          <w:rStyle w:val="CharSectno"/>
        </w:rPr>
        <w:t>14A</w:t>
      </w:r>
      <w:r>
        <w:t>.</w:t>
      </w:r>
      <w:r>
        <w:tab/>
        <w:t>Procedure for applications under Subdivision</w:t>
      </w:r>
      <w:bookmarkEnd w:id="60"/>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61" w:name="_Toc853878"/>
      <w:r>
        <w:rPr>
          <w:rStyle w:val="CharSectno"/>
        </w:rPr>
        <w:t>15</w:t>
      </w:r>
      <w:r>
        <w:t>.</w:t>
      </w:r>
      <w:r>
        <w:tab/>
        <w:t>Applications that can be made orally</w:t>
      </w:r>
      <w:bookmarkEnd w:id="61"/>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Pr>
      <w:bookmarkStart w:id="62" w:name="_Toc853879"/>
      <w:r>
        <w:rPr>
          <w:rStyle w:val="CharSectno"/>
        </w:rPr>
        <w:t>16</w:t>
      </w:r>
      <w:r>
        <w:t>.</w:t>
      </w:r>
      <w:r>
        <w:tab/>
        <w:t>Arrest warrant for accused, application for (Act s. 28)</w:t>
      </w:r>
      <w:bookmarkEnd w:id="62"/>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3" w:name="_Toc853880"/>
      <w:r>
        <w:rPr>
          <w:rStyle w:val="CharSectno"/>
        </w:rPr>
        <w:t>17</w:t>
      </w:r>
      <w:r>
        <w:t>.</w:t>
      </w:r>
      <w:r>
        <w:tab/>
        <w:t>Adjournment due to non-disclosure, application for (Act s. 63(2))</w:t>
      </w:r>
      <w:bookmarkEnd w:id="6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4" w:name="_Toc853881"/>
      <w:r>
        <w:rPr>
          <w:rStyle w:val="CharSectno"/>
        </w:rPr>
        <w:t>18</w:t>
      </w:r>
      <w:r>
        <w:t>.</w:t>
      </w:r>
      <w:r>
        <w:tab/>
        <w:t>Decision made in absence of party, application to set aside (Act s. 71)</w:t>
      </w:r>
      <w:bookmarkEnd w:id="64"/>
    </w:p>
    <w:p>
      <w:pPr>
        <w:pStyle w:val="Subsection"/>
      </w:pPr>
      <w:r>
        <w:tab/>
      </w:r>
      <w:r>
        <w:tab/>
        <w:t>An application under the CPA section 71 must be made by lodging a Form 7 together with an affidavit verifying the grounds for the application.</w:t>
      </w:r>
    </w:p>
    <w:p>
      <w:pPr>
        <w:pStyle w:val="Heading5"/>
      </w:pPr>
      <w:bookmarkStart w:id="65" w:name="_Toc853882"/>
      <w:r>
        <w:rPr>
          <w:rStyle w:val="CharSectno"/>
        </w:rPr>
        <w:t>19</w:t>
      </w:r>
      <w:r>
        <w:t>.</w:t>
      </w:r>
      <w:r>
        <w:tab/>
        <w:t>Video link, application for use of (Act s. 77)</w:t>
      </w:r>
      <w:bookmarkEnd w:id="65"/>
    </w:p>
    <w:p>
      <w:pPr>
        <w:pStyle w:val="Subsection"/>
      </w:pPr>
      <w:r>
        <w:tab/>
      </w:r>
      <w:r>
        <w:tab/>
        <w:t>An application for an order under the CPA section 77(2) or (3) may be dealt with in chambers.</w:t>
      </w:r>
    </w:p>
    <w:p>
      <w:pPr>
        <w:pStyle w:val="Heading5"/>
      </w:pPr>
      <w:bookmarkStart w:id="66" w:name="_Toc853883"/>
      <w:r>
        <w:rPr>
          <w:rStyle w:val="CharSectno"/>
        </w:rPr>
        <w:t>20</w:t>
      </w:r>
      <w:r>
        <w:t>.</w:t>
      </w:r>
      <w:r>
        <w:tab/>
        <w:t>Applications, non-appearance at hearing of</w:t>
      </w:r>
      <w:bookmarkEnd w:id="6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67" w:name="_Toc775213"/>
      <w:bookmarkStart w:id="68" w:name="_Toc775307"/>
      <w:bookmarkStart w:id="69" w:name="_Toc775458"/>
      <w:bookmarkStart w:id="70" w:name="_Toc775552"/>
      <w:bookmarkStart w:id="71" w:name="_Toc853884"/>
      <w:r>
        <w:t>Subdivision 2 — Applications not in or after a prosecution</w:t>
      </w:r>
      <w:bookmarkEnd w:id="67"/>
      <w:bookmarkEnd w:id="68"/>
      <w:bookmarkEnd w:id="69"/>
      <w:bookmarkEnd w:id="70"/>
      <w:bookmarkEnd w:id="71"/>
    </w:p>
    <w:p>
      <w:pPr>
        <w:pStyle w:val="Footnoteheading"/>
      </w:pPr>
      <w:r>
        <w:tab/>
        <w:t>[Heading inserted: Gazette 9 Nov 2007 p. 5612.]</w:t>
      </w:r>
    </w:p>
    <w:p>
      <w:pPr>
        <w:pStyle w:val="Heading5"/>
      </w:pPr>
      <w:bookmarkStart w:id="72" w:name="_Toc853885"/>
      <w:r>
        <w:rPr>
          <w:rStyle w:val="CharSectno"/>
        </w:rPr>
        <w:t>20A</w:t>
      </w:r>
      <w:r>
        <w:t>.</w:t>
      </w:r>
      <w:r>
        <w:tab/>
      </w:r>
      <w:r>
        <w:rPr>
          <w:i/>
          <w:iCs/>
        </w:rPr>
        <w:t>Crimes Act 1914</w:t>
      </w:r>
      <w:r>
        <w:t xml:space="preserve"> (Cwlth) s. 9, applications under</w:t>
      </w:r>
      <w:bookmarkEnd w:id="72"/>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73" w:name="_Toc775215"/>
      <w:bookmarkStart w:id="74" w:name="_Toc775309"/>
      <w:bookmarkStart w:id="75" w:name="_Toc775460"/>
      <w:bookmarkStart w:id="76" w:name="_Toc775554"/>
      <w:bookmarkStart w:id="77" w:name="_Toc853886"/>
      <w:r>
        <w:rPr>
          <w:rStyle w:val="CharPartNo"/>
        </w:rPr>
        <w:t>Part 5</w:t>
      </w:r>
      <w:r>
        <w:rPr>
          <w:rStyle w:val="CharDivNo"/>
        </w:rPr>
        <w:t> </w:t>
      </w:r>
      <w:r>
        <w:t>—</w:t>
      </w:r>
      <w:r>
        <w:rPr>
          <w:rStyle w:val="CharDivText"/>
        </w:rPr>
        <w:t> </w:t>
      </w:r>
      <w:r>
        <w:rPr>
          <w:rStyle w:val="CharPartText"/>
        </w:rPr>
        <w:t>Witnesses</w:t>
      </w:r>
      <w:bookmarkEnd w:id="73"/>
      <w:bookmarkEnd w:id="74"/>
      <w:bookmarkEnd w:id="75"/>
      <w:bookmarkEnd w:id="76"/>
      <w:bookmarkEnd w:id="77"/>
    </w:p>
    <w:p>
      <w:pPr>
        <w:pStyle w:val="Heading5"/>
      </w:pPr>
      <w:bookmarkStart w:id="78" w:name="_Toc853887"/>
      <w:r>
        <w:rPr>
          <w:rStyle w:val="CharSectno"/>
        </w:rPr>
        <w:t>21</w:t>
      </w:r>
      <w:r>
        <w:t>.</w:t>
      </w:r>
      <w:r>
        <w:tab/>
        <w:t>Term used: trial date</w:t>
      </w:r>
      <w:bookmarkEnd w:id="7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9" w:name="_Toc853888"/>
      <w:r>
        <w:rPr>
          <w:rStyle w:val="CharSectno"/>
        </w:rPr>
        <w:t>22</w:t>
      </w:r>
      <w:r>
        <w:t>.</w:t>
      </w:r>
      <w:r>
        <w:tab/>
        <w:t>Application of Part</w:t>
      </w:r>
      <w:bookmarkEnd w:id="79"/>
    </w:p>
    <w:p>
      <w:pPr>
        <w:pStyle w:val="Subsection"/>
      </w:pPr>
      <w:r>
        <w:tab/>
      </w:r>
      <w:r>
        <w:tab/>
        <w:t>This Part does not apply to or in respect of a prosecution in a superior court.</w:t>
      </w:r>
    </w:p>
    <w:p>
      <w:pPr>
        <w:pStyle w:val="Heading5"/>
      </w:pPr>
      <w:bookmarkStart w:id="80" w:name="_Toc853889"/>
      <w:r>
        <w:rPr>
          <w:rStyle w:val="CharSectno"/>
        </w:rPr>
        <w:t>23</w:t>
      </w:r>
      <w:r>
        <w:t>.</w:t>
      </w:r>
      <w:r>
        <w:tab/>
        <w:t>Court officers prescribed (Act s. 159)</w:t>
      </w:r>
      <w:bookmarkEnd w:id="80"/>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1" w:name="_Toc853890"/>
      <w:r>
        <w:rPr>
          <w:rStyle w:val="CharSectno"/>
        </w:rPr>
        <w:t>24</w:t>
      </w:r>
      <w:r>
        <w:t>.</w:t>
      </w:r>
      <w:r>
        <w:tab/>
        <w:t>Witness in custody, request for presence of</w:t>
      </w:r>
      <w:bookmarkEnd w:id="81"/>
    </w:p>
    <w:p>
      <w:pPr>
        <w:pStyle w:val="Subsection"/>
      </w:pPr>
      <w:r>
        <w:tab/>
      </w:r>
      <w:r>
        <w:tab/>
        <w:t>If a party or other person wants a person who is in legal custody to be present to give oral evidence in a case, he or she must lodge a Form 8.</w:t>
      </w:r>
    </w:p>
    <w:p>
      <w:pPr>
        <w:pStyle w:val="Heading5"/>
      </w:pPr>
      <w:bookmarkStart w:id="82" w:name="_Toc853891"/>
      <w:r>
        <w:rPr>
          <w:rStyle w:val="CharSectno"/>
        </w:rPr>
        <w:t>25</w:t>
      </w:r>
      <w:r>
        <w:t>.</w:t>
      </w:r>
      <w:r>
        <w:tab/>
        <w:t>Witness summons, application for (Act s. 159)</w:t>
      </w:r>
      <w:bookmarkEnd w:id="82"/>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3" w:name="_Toc853892"/>
      <w:r>
        <w:rPr>
          <w:rStyle w:val="CharSectno"/>
        </w:rPr>
        <w:t>26</w:t>
      </w:r>
      <w:r>
        <w:t>.</w:t>
      </w:r>
      <w:r>
        <w:tab/>
        <w:t>Summons to produce, early compliance with</w:t>
      </w:r>
      <w:bookmarkEnd w:id="8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4" w:name="_Toc853893"/>
      <w:r>
        <w:rPr>
          <w:rStyle w:val="CharSectno"/>
        </w:rPr>
        <w:t>27</w:t>
      </w:r>
      <w:r>
        <w:t>.</w:t>
      </w:r>
      <w:r>
        <w:tab/>
        <w:t>Arrest warrant for a witness, form of</w:t>
      </w:r>
      <w:bookmarkEnd w:id="8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5" w:name="_Toc853894"/>
      <w:r>
        <w:rPr>
          <w:rStyle w:val="CharSectno"/>
        </w:rPr>
        <w:t>28</w:t>
      </w:r>
      <w:r>
        <w:t>.</w:t>
      </w:r>
      <w:r>
        <w:tab/>
        <w:t>Warrant to imprison a witness, form of</w:t>
      </w:r>
      <w:bookmarkEnd w:id="85"/>
    </w:p>
    <w:p>
      <w:pPr>
        <w:pStyle w:val="Subsection"/>
      </w:pPr>
      <w:r>
        <w:tab/>
      </w:r>
      <w:r>
        <w:tab/>
        <w:t>A warrant to imprison a witness under the CPA Schedule 4 clause 2 must be in the form of Form 13.</w:t>
      </w:r>
    </w:p>
    <w:p>
      <w:pPr>
        <w:pStyle w:val="Heading2"/>
      </w:pPr>
      <w:bookmarkStart w:id="86" w:name="_Toc775224"/>
      <w:bookmarkStart w:id="87" w:name="_Toc775318"/>
      <w:bookmarkStart w:id="88" w:name="_Toc775469"/>
      <w:bookmarkStart w:id="89" w:name="_Toc775563"/>
      <w:bookmarkStart w:id="90" w:name="_Toc853895"/>
      <w:r>
        <w:rPr>
          <w:rStyle w:val="CharPartNo"/>
        </w:rPr>
        <w:t>Part 6</w:t>
      </w:r>
      <w:r>
        <w:rPr>
          <w:rStyle w:val="CharDivNo"/>
        </w:rPr>
        <w:t> </w:t>
      </w:r>
      <w:r>
        <w:t>—</w:t>
      </w:r>
      <w:r>
        <w:rPr>
          <w:rStyle w:val="CharDivText"/>
        </w:rPr>
        <w:t> </w:t>
      </w:r>
      <w:r>
        <w:rPr>
          <w:rStyle w:val="CharPartText"/>
        </w:rPr>
        <w:t>CPA Part 6 regulations</w:t>
      </w:r>
      <w:bookmarkEnd w:id="86"/>
      <w:bookmarkEnd w:id="87"/>
      <w:bookmarkEnd w:id="88"/>
      <w:bookmarkEnd w:id="89"/>
      <w:bookmarkEnd w:id="90"/>
    </w:p>
    <w:p>
      <w:pPr>
        <w:pStyle w:val="Heading5"/>
      </w:pPr>
      <w:bookmarkStart w:id="91" w:name="_Toc853896"/>
      <w:r>
        <w:rPr>
          <w:rStyle w:val="CharSectno"/>
        </w:rPr>
        <w:t>28A</w:t>
      </w:r>
      <w:r>
        <w:t>.</w:t>
      </w:r>
      <w:r>
        <w:tab/>
        <w:t>Unclaimed exhibits, destruction or disposal of</w:t>
      </w:r>
      <w:bookmarkEnd w:id="9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92" w:name="_Toc853897"/>
      <w:r>
        <w:rPr>
          <w:rStyle w:val="CharSectno"/>
        </w:rPr>
        <w:t>28B</w:t>
      </w:r>
      <w:r>
        <w:t>.</w:t>
      </w:r>
      <w:r>
        <w:tab/>
        <w:t>Additional copy of served document, fee for (Act s. 175A)</w:t>
      </w:r>
      <w:bookmarkEnd w:id="92"/>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Gazette 16 May 2008 p. 1910.]</w:t>
      </w:r>
    </w:p>
    <w:p>
      <w:pPr>
        <w:pStyle w:val="Heading5"/>
      </w:pPr>
      <w:bookmarkStart w:id="93" w:name="_Toc853898"/>
      <w:r>
        <w:rPr>
          <w:rStyle w:val="CharSectno"/>
        </w:rPr>
        <w:t>29</w:t>
      </w:r>
      <w:r>
        <w:t>.</w:t>
      </w:r>
      <w:r>
        <w:tab/>
        <w:t>Correction of court record, application for (Act s. 179)</w:t>
      </w:r>
      <w:bookmarkEnd w:id="93"/>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94" w:name="_Toc853899"/>
      <w:r>
        <w:rPr>
          <w:rStyle w:val="CharSectno"/>
        </w:rPr>
        <w:t>30</w:t>
      </w:r>
      <w:r>
        <w:t>.</w:t>
      </w:r>
      <w:r>
        <w:tab/>
        <w:t>Review of court officer’s decision, application for (Act s. 184)</w:t>
      </w:r>
      <w:bookmarkEnd w:id="94"/>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95" w:name="_Toc775229"/>
      <w:bookmarkStart w:id="96" w:name="_Toc775323"/>
      <w:bookmarkStart w:id="97" w:name="_Toc775474"/>
      <w:bookmarkStart w:id="98" w:name="_Toc775568"/>
      <w:bookmarkStart w:id="99" w:name="_Toc853900"/>
      <w:r>
        <w:rPr>
          <w:rStyle w:val="CharPartNo"/>
        </w:rPr>
        <w:t>Part 7</w:t>
      </w:r>
      <w:r>
        <w:rPr>
          <w:rStyle w:val="CharDivNo"/>
        </w:rPr>
        <w:t> </w:t>
      </w:r>
      <w:r>
        <w:t>—</w:t>
      </w:r>
      <w:r>
        <w:rPr>
          <w:rStyle w:val="CharDivText"/>
        </w:rPr>
        <w:t> </w:t>
      </w:r>
      <w:r>
        <w:rPr>
          <w:rStyle w:val="CharPartText"/>
        </w:rPr>
        <w:t>CPA Schedule 3 regulations</w:t>
      </w:r>
      <w:bookmarkEnd w:id="95"/>
      <w:bookmarkEnd w:id="96"/>
      <w:bookmarkEnd w:id="97"/>
      <w:bookmarkEnd w:id="98"/>
      <w:bookmarkEnd w:id="99"/>
    </w:p>
    <w:p>
      <w:pPr>
        <w:pStyle w:val="Heading5"/>
      </w:pPr>
      <w:bookmarkStart w:id="100" w:name="_Toc853901"/>
      <w:r>
        <w:rPr>
          <w:rStyle w:val="CharSectno"/>
        </w:rPr>
        <w:t>31</w:t>
      </w:r>
      <w:r>
        <w:t>.</w:t>
      </w:r>
      <w:r>
        <w:tab/>
        <w:t>Transcripts, certification of (Act Sch. 3 cl. 6)</w:t>
      </w:r>
      <w:bookmarkEnd w:id="10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01" w:name="_Toc775231"/>
      <w:bookmarkStart w:id="102" w:name="_Toc775325"/>
      <w:bookmarkStart w:id="103" w:name="_Toc775476"/>
      <w:bookmarkStart w:id="104" w:name="_Toc775570"/>
      <w:bookmarkStart w:id="105" w:name="_Toc853902"/>
      <w:r>
        <w:rPr>
          <w:rStyle w:val="CharPartNo"/>
        </w:rPr>
        <w:t>Part 8</w:t>
      </w:r>
      <w:r>
        <w:rPr>
          <w:b w:val="0"/>
        </w:rPr>
        <w:t> </w:t>
      </w:r>
      <w:r>
        <w:t>—</w:t>
      </w:r>
      <w:r>
        <w:rPr>
          <w:b w:val="0"/>
        </w:rPr>
        <w:t> </w:t>
      </w:r>
      <w:r>
        <w:rPr>
          <w:rStyle w:val="CharPartText"/>
        </w:rPr>
        <w:t>Miscellaneous matters</w:t>
      </w:r>
      <w:bookmarkEnd w:id="101"/>
      <w:bookmarkEnd w:id="102"/>
      <w:bookmarkEnd w:id="103"/>
      <w:bookmarkEnd w:id="104"/>
      <w:bookmarkEnd w:id="105"/>
    </w:p>
    <w:p>
      <w:pPr>
        <w:pStyle w:val="Footnoteheading"/>
      </w:pPr>
      <w:r>
        <w:tab/>
        <w:t>[Heading inserted: Gazette 14 Nov 2006 p. 4728.]</w:t>
      </w:r>
    </w:p>
    <w:p>
      <w:pPr>
        <w:pStyle w:val="Heading5"/>
      </w:pPr>
      <w:bookmarkStart w:id="106" w:name="_Toc853903"/>
      <w:r>
        <w:rPr>
          <w:rStyle w:val="CharSectno"/>
        </w:rPr>
        <w:t>32</w:t>
      </w:r>
      <w:r>
        <w:t>.</w:t>
      </w:r>
      <w:r>
        <w:tab/>
      </w:r>
      <w:r>
        <w:rPr>
          <w:i/>
        </w:rPr>
        <w:t>Dangerous Sexual Offenders Act 2006</w:t>
      </w:r>
      <w:r>
        <w:t xml:space="preserve"> s. 21, applications under</w:t>
      </w:r>
      <w:bookmarkEnd w:id="10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7" w:name="_Toc775233"/>
      <w:bookmarkStart w:id="108" w:name="_Toc775327"/>
      <w:bookmarkStart w:id="109" w:name="_Toc775478"/>
      <w:bookmarkStart w:id="110" w:name="_Toc775572"/>
      <w:bookmarkStart w:id="111" w:name="_Toc853904"/>
      <w:r>
        <w:rPr>
          <w:rStyle w:val="CharSchNo"/>
        </w:rPr>
        <w:t>Schedule 1</w:t>
      </w:r>
      <w:r>
        <w:rPr>
          <w:rStyle w:val="CharSDivNo"/>
        </w:rPr>
        <w:t> </w:t>
      </w:r>
      <w:r>
        <w:t>—</w:t>
      </w:r>
      <w:r>
        <w:rPr>
          <w:rStyle w:val="CharSDivText"/>
        </w:rPr>
        <w:t> </w:t>
      </w:r>
      <w:r>
        <w:rPr>
          <w:rStyle w:val="CharSchText"/>
        </w:rPr>
        <w:t>Forms</w:t>
      </w:r>
      <w:bookmarkEnd w:id="107"/>
      <w:bookmarkEnd w:id="108"/>
      <w:bookmarkEnd w:id="109"/>
      <w:bookmarkEnd w:id="110"/>
      <w:bookmarkEnd w:id="111"/>
    </w:p>
    <w:p>
      <w:pPr>
        <w:pStyle w:val="yShoulderClause"/>
        <w:spacing w:before="60"/>
      </w:pPr>
      <w:r>
        <w:t>[r. 4]</w:t>
      </w:r>
    </w:p>
    <w:p>
      <w:pPr>
        <w:pStyle w:val="yHeading5"/>
        <w:spacing w:before="0" w:after="120"/>
      </w:pPr>
      <w:bookmarkStart w:id="112" w:name="_Toc853905"/>
      <w:r>
        <w:rPr>
          <w:rStyle w:val="CharSClsNo"/>
        </w:rPr>
        <w:t>1</w:t>
      </w:r>
      <w:r>
        <w:t>.</w:t>
      </w:r>
      <w:r>
        <w:tab/>
        <w:t>Arrest warrant</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113" w:name="_Toc853906"/>
      <w:r>
        <w:rPr>
          <w:rStyle w:val="CharSClsNo"/>
        </w:rPr>
        <w:t>2</w:t>
      </w:r>
      <w:r>
        <w:t>.</w:t>
      </w:r>
      <w:r>
        <w:tab/>
        <w:t>Remand warrant</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14" w:name="_Toc853907"/>
      <w:r>
        <w:rPr>
          <w:rStyle w:val="CharSClsNo"/>
        </w:rPr>
        <w:t>3</w:t>
      </w:r>
      <w:r>
        <w:t>.</w:t>
      </w:r>
      <w:r>
        <w:tab/>
        <w:t>Prosecution notice (r. 8)</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15" w:name="_Toc853908"/>
      <w:r>
        <w:rPr>
          <w:rStyle w:val="CharSClsNo"/>
        </w:rPr>
        <w:t>4</w:t>
      </w:r>
      <w:r>
        <w:t>.</w:t>
      </w:r>
      <w:r>
        <w:tab/>
        <w:t>Summons to an accused</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16" w:name="_Toc853909"/>
      <w:r>
        <w:rPr>
          <w:rStyle w:val="CharSClsNo"/>
        </w:rPr>
        <w:t>5</w:t>
      </w:r>
      <w:r>
        <w:t>.</w:t>
      </w:r>
      <w:r>
        <w:tab/>
        <w:t>Court hearing notice</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117" w:name="_Toc853910"/>
      <w:r>
        <w:rPr>
          <w:rStyle w:val="CharSClsNo"/>
        </w:rPr>
        <w:t>5A</w:t>
      </w:r>
      <w:r>
        <w:t>.</w:t>
      </w:r>
      <w:r>
        <w:tab/>
        <w:t xml:space="preserve">Application under </w:t>
      </w:r>
      <w:r>
        <w:rPr>
          <w:i/>
        </w:rPr>
        <w:t>Bail Act 1982</w:t>
      </w:r>
      <w:r>
        <w:t xml:space="preserve"> s. 54 (r. 13AA)</w:t>
      </w:r>
      <w:bookmarkEnd w:id="117"/>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after="120"/>
      </w:pPr>
      <w:bookmarkStart w:id="118" w:name="_Toc853911"/>
      <w:r>
        <w:rPr>
          <w:rStyle w:val="CharSClsNo"/>
        </w:rPr>
        <w:t>6</w:t>
      </w:r>
      <w:r>
        <w:t>.</w:t>
      </w:r>
      <w:r>
        <w:tab/>
        <w:t>Application in or after a prosecution (r. 14)</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19" w:name="_Toc853912"/>
      <w:r>
        <w:rPr>
          <w:rStyle w:val="CharSClsNo"/>
        </w:rPr>
        <w:t>6A</w:t>
      </w:r>
      <w:r>
        <w:t>.</w:t>
      </w:r>
      <w:r>
        <w:tab/>
      </w:r>
      <w:r>
        <w:rPr>
          <w:i/>
          <w:iCs/>
        </w:rPr>
        <w:t>Crimes Act 1914</w:t>
      </w:r>
      <w:r>
        <w:t xml:space="preserve"> (Cwlth) s. 9, application under (r. 20A)</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20" w:name="_Toc853913"/>
      <w:r>
        <w:rPr>
          <w:rStyle w:val="CharSClsNo"/>
        </w:rPr>
        <w:t>7</w:t>
      </w:r>
      <w:r>
        <w:t>.</w:t>
      </w:r>
      <w:r>
        <w:tab/>
        <w:t>Decision made in absence of a party, application to set aside (r. 18)</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21" w:name="_Toc853914"/>
      <w:r>
        <w:rPr>
          <w:rStyle w:val="CharSClsNo"/>
        </w:rPr>
        <w:t>8</w:t>
      </w:r>
      <w:r>
        <w:t>.</w:t>
      </w:r>
      <w:r>
        <w:tab/>
        <w:t>Request that person in custody be present to give evidence (r. 24)</w:t>
      </w:r>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22" w:name="_Toc853915"/>
      <w:r>
        <w:rPr>
          <w:rStyle w:val="CharSClsNo"/>
        </w:rPr>
        <w:t>9</w:t>
      </w:r>
      <w:r>
        <w:t>.</w:t>
      </w:r>
      <w:r>
        <w:tab/>
        <w:t>Witness summons, application for (r. 25(1))</w:t>
      </w:r>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23" w:name="_Toc853916"/>
      <w:r>
        <w:rPr>
          <w:rStyle w:val="CharSClsNo"/>
        </w:rPr>
        <w:t>10</w:t>
      </w:r>
      <w:r>
        <w:t>.</w:t>
      </w:r>
      <w:r>
        <w:tab/>
        <w:t>Witness summons to give oral evidence (r. 25(1)(a))</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24" w:name="_Toc853917"/>
      <w:r>
        <w:rPr>
          <w:rStyle w:val="CharSClsNo"/>
        </w:rPr>
        <w:t>11</w:t>
      </w:r>
      <w:r>
        <w:t>.</w:t>
      </w:r>
      <w:r>
        <w:tab/>
        <w:t>Witness summons to produce a record or thing (r. 25(1)(b))</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25" w:name="_Toc853918"/>
      <w:r>
        <w:rPr>
          <w:rStyle w:val="CharSClsNo"/>
        </w:rPr>
        <w:t>12</w:t>
      </w:r>
      <w:r>
        <w:t>.</w:t>
      </w:r>
      <w:r>
        <w:tab/>
        <w:t>Arrest warrant for a witness (r. 27)</w:t>
      </w:r>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26" w:name="_Toc853919"/>
      <w:r>
        <w:rPr>
          <w:rStyle w:val="CharSClsNo"/>
        </w:rPr>
        <w:t>13</w:t>
      </w:r>
      <w:r>
        <w:t>.</w:t>
      </w:r>
      <w:r>
        <w:tab/>
        <w:t>Warrant to imprison a witness (r. 28)</w:t>
      </w:r>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27" w:name="_Toc853920"/>
      <w:r>
        <w:rPr>
          <w:rStyle w:val="CharSClsNo"/>
        </w:rPr>
        <w:t>14</w:t>
      </w:r>
      <w:r>
        <w:t>.</w:t>
      </w:r>
      <w:r>
        <w:tab/>
        <w:t>Review of court officer’s decision, application for (r. 30)</w:t>
      </w:r>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9" w:name="_Toc775250"/>
      <w:bookmarkStart w:id="130" w:name="_Toc775344"/>
      <w:bookmarkStart w:id="131" w:name="_Toc775495"/>
      <w:bookmarkStart w:id="132" w:name="_Toc775589"/>
      <w:bookmarkStart w:id="133" w:name="_Toc853921"/>
      <w:r>
        <w:rPr>
          <w:rStyle w:val="CharSchNo"/>
        </w:rPr>
        <w:t>Schedule 1A</w:t>
      </w:r>
      <w:r>
        <w:t> —</w:t>
      </w:r>
      <w:r>
        <w:rPr>
          <w:rStyle w:val="CharSchText"/>
        </w:rPr>
        <w:t> Infringement notices: prescribed Acts</w:t>
      </w:r>
      <w:bookmarkEnd w:id="129"/>
      <w:bookmarkEnd w:id="130"/>
      <w:bookmarkEnd w:id="131"/>
      <w:bookmarkEnd w:id="132"/>
      <w:bookmarkEnd w:id="133"/>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w:t>
      </w:r>
    </w:p>
    <w:p>
      <w:pPr>
        <w:pStyle w:val="yScheduleHeading"/>
      </w:pPr>
      <w:bookmarkStart w:id="134" w:name="_Toc775251"/>
      <w:bookmarkStart w:id="135" w:name="_Toc775345"/>
      <w:bookmarkStart w:id="136" w:name="_Toc775496"/>
      <w:bookmarkStart w:id="137" w:name="_Toc775590"/>
      <w:bookmarkStart w:id="138" w:name="_Toc853922"/>
      <w:r>
        <w:rPr>
          <w:rStyle w:val="CharSchNo"/>
        </w:rPr>
        <w:t>Schedule 2</w:t>
      </w:r>
      <w:r>
        <w:rPr>
          <w:rStyle w:val="CharSDivNo"/>
        </w:rPr>
        <w:t> </w:t>
      </w:r>
      <w:r>
        <w:t>—</w:t>
      </w:r>
      <w:r>
        <w:rPr>
          <w:rStyle w:val="CharSDivText"/>
        </w:rPr>
        <w:t> </w:t>
      </w:r>
      <w:r>
        <w:rPr>
          <w:rStyle w:val="CharSchText"/>
        </w:rPr>
        <w:t>Information for witnesses</w:t>
      </w:r>
      <w:bookmarkEnd w:id="134"/>
      <w:bookmarkEnd w:id="135"/>
      <w:bookmarkEnd w:id="136"/>
      <w:bookmarkEnd w:id="137"/>
      <w:bookmarkEnd w:id="13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9" w:name="_Toc775252"/>
      <w:bookmarkStart w:id="140" w:name="_Toc775346"/>
      <w:bookmarkStart w:id="141" w:name="_Toc775497"/>
      <w:bookmarkStart w:id="142" w:name="_Toc775591"/>
      <w:bookmarkStart w:id="143" w:name="_Toc853923"/>
      <w:r>
        <w:rPr>
          <w:rStyle w:val="CharSchNo"/>
        </w:rPr>
        <w:t>Schedule 3</w:t>
      </w:r>
      <w:r>
        <w:rPr>
          <w:rStyle w:val="CharSDivNo"/>
        </w:rPr>
        <w:t> </w:t>
      </w:r>
      <w:r>
        <w:t>—</w:t>
      </w:r>
      <w:r>
        <w:rPr>
          <w:rStyle w:val="CharSDivText"/>
        </w:rPr>
        <w:t> </w:t>
      </w:r>
      <w:r>
        <w:rPr>
          <w:rStyle w:val="CharSchText"/>
        </w:rPr>
        <w:t>Prescribed simple offences</w:t>
      </w:r>
      <w:bookmarkEnd w:id="139"/>
      <w:bookmarkEnd w:id="140"/>
      <w:bookmarkEnd w:id="141"/>
      <w:bookmarkEnd w:id="142"/>
      <w:bookmarkEnd w:id="143"/>
    </w:p>
    <w:p>
      <w:pPr>
        <w:pStyle w:val="yShoulderClause"/>
      </w:pPr>
      <w:r>
        <w:t>[r. 10]</w:t>
      </w:r>
    </w:p>
    <w:p>
      <w:pPr>
        <w:pStyle w:val="yHeading5"/>
      </w:pPr>
      <w:bookmarkStart w:id="144" w:name="_Toc853924"/>
      <w:r>
        <w:rPr>
          <w:rStyle w:val="CharSClsNo"/>
        </w:rPr>
        <w:t>1</w:t>
      </w:r>
      <w:r>
        <w:t>.</w:t>
      </w:r>
      <w:r>
        <w:tab/>
      </w:r>
      <w:r>
        <w:rPr>
          <w:i/>
        </w:rPr>
        <w:t xml:space="preserve">Criminal Code </w:t>
      </w:r>
      <w:r>
        <w:t>offence</w:t>
      </w:r>
      <w:bookmarkEnd w:id="144"/>
    </w:p>
    <w:p>
      <w:pPr>
        <w:pStyle w:val="ySubsection"/>
      </w:pPr>
      <w:r>
        <w:tab/>
      </w:r>
      <w:r>
        <w:tab/>
        <w:t xml:space="preserve">The offence under </w:t>
      </w:r>
      <w:r>
        <w:rPr>
          <w:i/>
        </w:rPr>
        <w:t>The Criminal Code</w:t>
      </w:r>
      <w:r>
        <w:t xml:space="preserve"> section 338E (Stalking).</w:t>
      </w:r>
    </w:p>
    <w:p>
      <w:pPr>
        <w:pStyle w:val="yHeading5"/>
      </w:pPr>
      <w:bookmarkStart w:id="145" w:name="_Toc853925"/>
      <w:r>
        <w:rPr>
          <w:rStyle w:val="CharSClsNo"/>
        </w:rPr>
        <w:t>2.</w:t>
      </w:r>
      <w:r>
        <w:tab/>
      </w:r>
      <w:r>
        <w:rPr>
          <w:i/>
        </w:rPr>
        <w:t>Prostitution Act 2000</w:t>
      </w:r>
      <w:r>
        <w:t xml:space="preserve"> offence</w:t>
      </w:r>
      <w:bookmarkEnd w:id="145"/>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46" w:name="_Toc853926"/>
      <w:r>
        <w:rPr>
          <w:rStyle w:val="CharSClsNo"/>
        </w:rPr>
        <w:t>3.</w:t>
      </w:r>
      <w:r>
        <w:tab/>
      </w:r>
      <w:r>
        <w:rPr>
          <w:i/>
        </w:rPr>
        <w:t xml:space="preserve">Restraining Orders Act 1997 </w:t>
      </w:r>
      <w:r>
        <w:t>offences</w:t>
      </w:r>
      <w:bookmarkEnd w:id="146"/>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47" w:name="_Toc853927"/>
      <w:r>
        <w:rPr>
          <w:rStyle w:val="CharSClsNo"/>
        </w:rPr>
        <w:t>4.</w:t>
      </w:r>
      <w:r>
        <w:tab/>
      </w:r>
      <w:r>
        <w:rPr>
          <w:i/>
        </w:rPr>
        <w:t>Road Traffic Act 1974</w:t>
      </w:r>
      <w:r>
        <w:t xml:space="preserve"> offence</w:t>
      </w:r>
      <w:bookmarkEnd w:id="14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48" w:name="_Toc775257"/>
      <w:bookmarkStart w:id="149" w:name="_Toc775351"/>
      <w:bookmarkStart w:id="150" w:name="_Toc775502"/>
      <w:bookmarkStart w:id="151" w:name="_Toc775596"/>
      <w:bookmarkStart w:id="152" w:name="_Toc853928"/>
      <w:r>
        <w:rPr>
          <w:rStyle w:val="CharSchNo"/>
        </w:rPr>
        <w:t>Schedule 4</w:t>
      </w:r>
      <w:r>
        <w:rPr>
          <w:rStyle w:val="CharSDivNo"/>
        </w:rPr>
        <w:t> </w:t>
      </w:r>
      <w:r>
        <w:t>—</w:t>
      </w:r>
      <w:r>
        <w:rPr>
          <w:rStyle w:val="CharSDivText"/>
        </w:rPr>
        <w:t> </w:t>
      </w:r>
      <w:r>
        <w:rPr>
          <w:rStyle w:val="CharSchText"/>
        </w:rPr>
        <w:t>Listed simple offences</w:t>
      </w:r>
      <w:bookmarkEnd w:id="148"/>
      <w:bookmarkEnd w:id="149"/>
      <w:bookmarkEnd w:id="150"/>
      <w:bookmarkEnd w:id="151"/>
      <w:bookmarkEnd w:id="152"/>
    </w:p>
    <w:p>
      <w:pPr>
        <w:pStyle w:val="yShoulderClause"/>
      </w:pPr>
      <w:r>
        <w:t>[r. 12]</w:t>
      </w:r>
    </w:p>
    <w:p>
      <w:pPr>
        <w:pStyle w:val="yFootnoteheading"/>
        <w:spacing w:before="80"/>
      </w:pPr>
      <w:r>
        <w:tab/>
        <w:t>[Heading inserted: Gazette 9 Nov 2007 p. 5613.]</w:t>
      </w:r>
    </w:p>
    <w:p>
      <w:pPr>
        <w:pStyle w:val="yHeading5"/>
      </w:pPr>
      <w:bookmarkStart w:id="153" w:name="_Toc853929"/>
      <w:r>
        <w:rPr>
          <w:rStyle w:val="CharSClsNo"/>
        </w:rPr>
        <w:t>1A</w:t>
      </w:r>
      <w:r>
        <w:t>.</w:t>
      </w:r>
      <w:r>
        <w:tab/>
      </w:r>
      <w:r>
        <w:rPr>
          <w:i/>
          <w:iCs/>
        </w:rPr>
        <w:t xml:space="preserve">Biodiversity Conservation Act 2016 </w:t>
      </w:r>
      <w:r>
        <w:t>offences</w:t>
      </w:r>
      <w:bookmarkEnd w:id="153"/>
    </w:p>
    <w:p>
      <w:pPr>
        <w:pStyle w:val="ySubsection"/>
      </w:pPr>
      <w:r>
        <w:tab/>
      </w:r>
      <w:r>
        <w:tab/>
        <w:t>Any simple offence under the Biodiversity Conservation Act 2016.</w:t>
      </w:r>
    </w:p>
    <w:p>
      <w:pPr>
        <w:pStyle w:val="yFootnotesection"/>
      </w:pPr>
      <w:r>
        <w:tab/>
        <w:t>[Clause 1A inserted: Gazette 14 Sep 2018 p. 3315.]</w:t>
      </w:r>
    </w:p>
    <w:p>
      <w:pPr>
        <w:pStyle w:val="yHeading5"/>
      </w:pPr>
      <w:bookmarkStart w:id="154" w:name="_Toc853930"/>
      <w:r>
        <w:rPr>
          <w:rStyle w:val="CharSClsNo"/>
        </w:rPr>
        <w:t>1</w:t>
      </w:r>
      <w:r>
        <w:t>.</w:t>
      </w:r>
      <w:r>
        <w:tab/>
      </w:r>
      <w:r>
        <w:rPr>
          <w:i/>
          <w:iCs/>
        </w:rPr>
        <w:t>Criminal Code</w:t>
      </w:r>
      <w:r>
        <w:t xml:space="preserve"> offence</w:t>
      </w:r>
      <w:bookmarkEnd w:id="154"/>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55" w:name="_Toc853931"/>
      <w:r>
        <w:rPr>
          <w:rStyle w:val="CharSClsNo"/>
        </w:rPr>
        <w:t>2</w:t>
      </w:r>
      <w:r>
        <w:t>.</w:t>
      </w:r>
      <w:r>
        <w:tab/>
      </w:r>
      <w:r>
        <w:rPr>
          <w:i/>
          <w:iCs/>
        </w:rPr>
        <w:t>Environmental Protection Act 1986</w:t>
      </w:r>
      <w:r>
        <w:t xml:space="preserve"> offences</w:t>
      </w:r>
      <w:bookmarkEnd w:id="155"/>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56" w:name="_Toc853932"/>
      <w:r>
        <w:rPr>
          <w:rStyle w:val="CharSClsNo"/>
        </w:rPr>
        <w:t>3</w:t>
      </w:r>
      <w:r>
        <w:t>.</w:t>
      </w:r>
      <w:r>
        <w:tab/>
      </w:r>
      <w:r>
        <w:rPr>
          <w:i/>
          <w:iCs/>
        </w:rPr>
        <w:t>Fish Resources Management Act 1994</w:t>
      </w:r>
      <w:r>
        <w:t xml:space="preserve"> offences</w:t>
      </w:r>
      <w:bookmarkEnd w:id="156"/>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57" w:name="_Toc853933"/>
      <w:r>
        <w:rPr>
          <w:rStyle w:val="CharSClsNo"/>
        </w:rPr>
        <w:t>4</w:t>
      </w:r>
      <w:r>
        <w:t>.</w:t>
      </w:r>
      <w:r>
        <w:tab/>
      </w:r>
      <w:r>
        <w:rPr>
          <w:i/>
        </w:rPr>
        <w:t>Liquor Control Act </w:t>
      </w:r>
      <w:r>
        <w:rPr>
          <w:i/>
          <w:iCs/>
        </w:rPr>
        <w:t>1988</w:t>
      </w:r>
      <w:r>
        <w:t xml:space="preserve"> offences</w:t>
      </w:r>
      <w:bookmarkEnd w:id="157"/>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58" w:name="_Toc853934"/>
      <w:r>
        <w:rPr>
          <w:rStyle w:val="CharSClsNo"/>
        </w:rPr>
        <w:t>5</w:t>
      </w:r>
      <w:r>
        <w:t>.</w:t>
      </w:r>
      <w:r>
        <w:tab/>
      </w:r>
      <w:r>
        <w:rPr>
          <w:i/>
          <w:iCs/>
        </w:rPr>
        <w:t>Mines Safety and Inspection Act 1994</w:t>
      </w:r>
      <w:r>
        <w:t xml:space="preserve"> offences</w:t>
      </w:r>
      <w:bookmarkEnd w:id="158"/>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59" w:name="_Toc853935"/>
      <w:r>
        <w:rPr>
          <w:rStyle w:val="CharSClsNo"/>
        </w:rPr>
        <w:t>6</w:t>
      </w:r>
      <w:r>
        <w:t>.</w:t>
      </w:r>
      <w:r>
        <w:tab/>
      </w:r>
      <w:r>
        <w:rPr>
          <w:i/>
          <w:iCs/>
        </w:rPr>
        <w:t>Occupational Safety and Health Act 1984</w:t>
      </w:r>
      <w:r>
        <w:t xml:space="preserve"> offences</w:t>
      </w:r>
      <w:bookmarkEnd w:id="159"/>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Pr>
      <w:bookmarkStart w:id="160" w:name="_Toc853936"/>
      <w:r>
        <w:rPr>
          <w:rStyle w:val="CharSClsNo"/>
        </w:rPr>
        <w:t>7</w:t>
      </w:r>
      <w:r>
        <w:t>.</w:t>
      </w:r>
      <w:r>
        <w:tab/>
      </w:r>
      <w:r>
        <w:rPr>
          <w:i/>
          <w:iCs/>
        </w:rPr>
        <w:t>Prostitution Act 2000</w:t>
      </w:r>
      <w:r>
        <w:t xml:space="preserve"> offence</w:t>
      </w:r>
      <w:bookmarkEnd w:id="16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161" w:name="_Toc853937"/>
      <w:r>
        <w:rPr>
          <w:rStyle w:val="CharSClsNo"/>
        </w:rPr>
        <w:t>8</w:t>
      </w:r>
      <w:r>
        <w:t>.</w:t>
      </w:r>
      <w:r>
        <w:tab/>
      </w:r>
      <w:r>
        <w:rPr>
          <w:i/>
          <w:iCs/>
        </w:rPr>
        <w:t>Restraining Orders Act 1997</w:t>
      </w:r>
      <w:r>
        <w:t xml:space="preserve"> offences</w:t>
      </w:r>
      <w:bookmarkEnd w:id="16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62" w:name="_Toc853938"/>
      <w:r>
        <w:rPr>
          <w:rStyle w:val="CharSClsNo"/>
        </w:rPr>
        <w:t>9</w:t>
      </w:r>
      <w:r>
        <w:t>.</w:t>
      </w:r>
      <w:r>
        <w:tab/>
      </w:r>
      <w:r>
        <w:rPr>
          <w:i/>
          <w:iCs/>
        </w:rPr>
        <w:t>Road Traffic Act 1974</w:t>
      </w:r>
      <w:r>
        <w:t xml:space="preserve"> offence</w:t>
      </w:r>
      <w:bookmarkEnd w:id="16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63" w:name="_Toc775268"/>
      <w:bookmarkStart w:id="164" w:name="_Toc775362"/>
      <w:bookmarkStart w:id="165" w:name="_Toc775513"/>
      <w:bookmarkStart w:id="166" w:name="_Toc775607"/>
      <w:bookmarkStart w:id="167" w:name="_Toc853939"/>
      <w:r>
        <w:t>Notes</w:t>
      </w:r>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68" w:name="_Toc853940"/>
      <w:r>
        <w:t>Compilation table</w:t>
      </w:r>
      <w:bookmarkEnd w:id="1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spacing w:after="40"/>
              <w:rPr>
                <w:i/>
              </w:rPr>
            </w:pPr>
            <w:r>
              <w:rPr>
                <w:i/>
              </w:rPr>
              <w:t>Criminal Procedure Amendment Regulations 2017</w:t>
            </w:r>
          </w:p>
        </w:tc>
        <w:tc>
          <w:tcPr>
            <w:tcW w:w="1276" w:type="dxa"/>
            <w:shd w:val="clear" w:color="auto" w:fill="auto"/>
          </w:tcPr>
          <w:p>
            <w:pPr>
              <w:pStyle w:val="nTable"/>
              <w:spacing w:after="40"/>
            </w:pPr>
            <w:r>
              <w:t>25 Aug 2017 p. 4568</w:t>
            </w:r>
            <w:r>
              <w:noBreakHyphen/>
              <w:t>9</w:t>
            </w:r>
          </w:p>
        </w:tc>
        <w:tc>
          <w:tcPr>
            <w:tcW w:w="2693" w:type="dxa"/>
            <w:shd w:val="clear" w:color="auto" w:fill="auto"/>
          </w:tcPr>
          <w:p>
            <w:pPr>
              <w:pStyle w:val="nTable"/>
              <w:spacing w:after="40"/>
            </w:pPr>
            <w:r>
              <w:rPr>
                <w:snapToGrid w:val="0"/>
                <w:spacing w:val="-2"/>
              </w:rPr>
              <w:t>r. 1 and 2: 25 Aug 2017 (see r. 2(a));</w:t>
            </w:r>
            <w:r>
              <w:rPr>
                <w:snapToGrid w:val="0"/>
                <w:spacing w:val="-2"/>
              </w:rPr>
              <w:br/>
              <w:t>Regulations other than r. 1 and 2: 26 Aug 2017 (see r. 2(b))</w:t>
            </w:r>
          </w:p>
        </w:tc>
      </w:tr>
      <w:tr>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c>
          <w:tcPr>
            <w:tcW w:w="3118" w:type="dxa"/>
            <w:tcBorders>
              <w:bottom w:val="single" w:sz="4" w:space="0" w:color="auto"/>
            </w:tcBorders>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tcBorders>
              <w:bottom w:val="single" w:sz="4" w:space="0" w:color="auto"/>
            </w:tcBorders>
            <w:shd w:val="clear" w:color="auto" w:fill="auto"/>
          </w:tcPr>
          <w:p>
            <w:pPr>
              <w:pStyle w:val="nTable"/>
              <w:keepNext/>
              <w:spacing w:after="40"/>
            </w:pPr>
            <w:r>
              <w:t>12 Feb 2019 p. 265</w:t>
            </w:r>
            <w:r>
              <w:noBreakHyphen/>
              <w:t>6</w:t>
            </w:r>
          </w:p>
        </w:tc>
        <w:tc>
          <w:tcPr>
            <w:tcW w:w="2693" w:type="dxa"/>
            <w:tcBorders>
              <w:bottom w:val="single" w:sz="4" w:space="0" w:color="auto"/>
            </w:tcBorders>
            <w:shd w:val="clear" w:color="auto" w:fill="auto"/>
          </w:tcPr>
          <w:p>
            <w:pPr>
              <w:pStyle w:val="nTable"/>
              <w:keepNext/>
              <w:spacing w:after="40"/>
            </w:pPr>
            <w:r>
              <w:t>13 Feb 2019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pPr>
      <w:r>
        <w:rPr>
          <w:vertAlign w:val="superscript"/>
        </w:rPr>
        <w:t>4</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0" w:name="_Toc775364"/>
      <w:bookmarkStart w:id="171" w:name="_Toc775515"/>
      <w:bookmarkStart w:id="172" w:name="_Toc775609"/>
      <w:bookmarkStart w:id="173" w:name="_Toc853941"/>
      <w:r>
        <w:rPr>
          <w:sz w:val="28"/>
        </w:rPr>
        <w:t>Defined terms</w:t>
      </w:r>
      <w:bookmarkEnd w:id="170"/>
      <w:bookmarkEnd w:id="171"/>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8" w:name="Schedule"/>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11102756"/>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11837</Words>
  <Characters>56230</Characters>
  <Application>Microsoft Office Word</Application>
  <DocSecurity>0</DocSecurity>
  <Lines>2249</Lines>
  <Paragraphs>1546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2005 - 03-t0-00</dc:title>
  <dc:subject/>
  <dc:creator/>
  <cp:keywords/>
  <dc:description/>
  <cp:lastModifiedBy>svcMRProcess</cp:lastModifiedBy>
  <cp:revision>4</cp:revision>
  <cp:lastPrinted>2012-12-18T06:07:00Z</cp:lastPrinted>
  <dcterms:created xsi:type="dcterms:W3CDTF">2019-02-12T04:33:00Z</dcterms:created>
  <dcterms:modified xsi:type="dcterms:W3CDTF">2019-02-12T04:33:00Z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AsAtDate">
    <vt:lpwstr>13 Feb 2019</vt:lpwstr>
  </property>
  <property fmtid="{D5CDD505-2E9C-101B-9397-08002B2CF9AE}" pid="8" name="Suffix">
    <vt:lpwstr>03-t0-00</vt:lpwstr>
  </property>
  <property fmtid="{D5CDD505-2E9C-101B-9397-08002B2CF9AE}" pid="9" name="CommencementDate">
    <vt:lpwstr>20190213</vt:lpwstr>
  </property>
</Properties>
</file>