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Rates and Charges (Rebates and Deferments) Act 1992</w:t>
      </w:r>
    </w:p>
    <w:p>
      <w:pPr>
        <w:pStyle w:val="NameofActReg"/>
        <w:spacing w:before="3760" w:after="4200"/>
      </w:pPr>
      <w:r>
        <w:rPr>
          <w:noProof/>
        </w:rPr>
        <w:t>Rates and Charges (Rebates and Deferments) Regulations 1992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5 May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Rates and Charges (Rebates and Deferments) Regulations 1992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_Toc137360279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Urban drainage charges</w:t>
      </w:r>
      <w:r>
        <w:tab/>
      </w:r>
      <w:r>
        <w:fldChar w:fldCharType="begin"/>
      </w:r>
      <w:r>
        <w:instrText xml:space="preserve"> PAGEREF _Toc137360280 \h </w:instrText>
      </w:r>
      <w:r>
        <w:fldChar w:fldCharType="separate"/>
      </w:r>
      <w:r>
        <w:t>1</w:t>
      </w:r>
      <w:r>
        <w:fldChar w:fldCharType="end"/>
      </w:r>
    </w:p>
    <w:p>
      <w:pPr>
        <w:pStyle w:val="TOC8"/>
        <w:rPr>
          <w:sz w:val="24"/>
          <w:szCs w:val="24"/>
        </w:rPr>
      </w:pPr>
      <w:r>
        <w:rPr>
          <w:szCs w:val="24"/>
        </w:rPr>
        <w:t>3.</w:t>
      </w:r>
      <w:r>
        <w:rPr>
          <w:szCs w:val="24"/>
        </w:rPr>
        <w:tab/>
        <w:t>Maximum limit for rebate</w:t>
      </w:r>
      <w:r>
        <w:tab/>
      </w:r>
      <w:r>
        <w:fldChar w:fldCharType="begin"/>
      </w:r>
      <w:r>
        <w:instrText xml:space="preserve"> PAGEREF _Toc137360281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Allowances prescribed for the purposes of section 23</w:t>
      </w:r>
      <w:r>
        <w:tab/>
      </w:r>
      <w:r>
        <w:fldChar w:fldCharType="begin"/>
      </w:r>
      <w:r>
        <w:instrText xml:space="preserve"> PAGEREF _Toc137360282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_Toc137360284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5</w:t>
            </w:r>
            <w:r>
              <w:rPr>
                <w:b/>
                <w:snapToGrid w:val="0"/>
                <w:sz w:val="22"/>
              </w:rPr>
              <w:t xml:space="preserve"> May 2006</w:t>
            </w:r>
          </w:p>
        </w:tc>
      </w:tr>
    </w:tbl>
    <w:p>
      <w:pPr>
        <w:pStyle w:val="WA"/>
        <w:spacing w:before="120"/>
      </w:pPr>
      <w:r>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1" w:name="_Toc486225181"/>
      <w:bookmarkStart w:id="2" w:name="_Toc13129952"/>
      <w:bookmarkStart w:id="3" w:name="_Toc107801755"/>
      <w:bookmarkStart w:id="4" w:name="_Toc137360279"/>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5" w:name="_Toc486225182"/>
      <w:bookmarkStart w:id="6" w:name="_Toc13129953"/>
      <w:bookmarkStart w:id="7" w:name="_Toc107801756"/>
      <w:bookmarkStart w:id="8" w:name="_Toc137360280"/>
      <w:r>
        <w:rPr>
          <w:rStyle w:val="CharSectno"/>
        </w:rPr>
        <w:t>2</w:t>
      </w:r>
      <w:r>
        <w:rPr>
          <w:snapToGrid w:val="0"/>
        </w:rPr>
        <w:t>.</w:t>
      </w:r>
      <w:r>
        <w:rPr>
          <w:snapToGrid w:val="0"/>
        </w:rPr>
        <w:tab/>
        <w:t>Urban drainage charges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(c) of the definition of “prescribed charge” in section 3(1) of the Act.</w:t>
      </w:r>
    </w:p>
    <w:p>
      <w:pPr>
        <w:pStyle w:val="Heading5"/>
        <w:spacing w:before="260"/>
      </w:pPr>
      <w:bookmarkStart w:id="9" w:name="_Toc107801757"/>
      <w:bookmarkStart w:id="10" w:name="_Toc137360281"/>
      <w:bookmarkStart w:id="11" w:name="_Toc486225184"/>
      <w:bookmarkStart w:id="12" w:name="_Toc13129955"/>
      <w:r>
        <w:rPr>
          <w:rStyle w:val="CharSectno"/>
        </w:rPr>
        <w:t>3</w:t>
      </w:r>
      <w:r>
        <w:t>.</w:t>
      </w:r>
      <w:r>
        <w:tab/>
        <w:t>Maximum limit for rebate</w:t>
      </w:r>
      <w:bookmarkEnd w:id="9"/>
      <w:bookmarkEnd w:id="10"/>
      <w:r>
        <w:t xml:space="preserve"> </w:t>
      </w:r>
    </w:p>
    <w:p>
      <w:pPr>
        <w:pStyle w:val="Subsection"/>
        <w:spacing w:before="20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p>
      <w:pPr>
        <w:pStyle w:val="MiscellaneousHeading"/>
        <w:rPr>
          <w:b/>
          <w:bCs/>
        </w:rPr>
      </w:pPr>
    </w:p>
    <w:tbl>
      <w:tblPr>
        <w:tblW w:w="0" w:type="auto"/>
        <w:tblInd w:w="879"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tcPr>
          <w:p>
            <w:pPr>
              <w:pStyle w:val="Table"/>
              <w:keepNext/>
              <w:spacing w:before="0"/>
              <w:rPr>
                <w:b/>
              </w:rPr>
            </w:pPr>
            <w:r>
              <w:rPr>
                <w:b/>
              </w:rPr>
              <w:br/>
            </w:r>
            <w:r>
              <w:rPr>
                <w:b/>
              </w:rPr>
              <w:br/>
              <w:t>Rating year</w:t>
            </w:r>
          </w:p>
        </w:tc>
        <w:tc>
          <w:tcPr>
            <w:tcW w:w="4266" w:type="dxa"/>
            <w:gridSpan w:val="4"/>
            <w:tcBorders>
              <w:top w:val="single" w:sz="4" w:space="0" w:color="auto"/>
            </w:tcBorders>
          </w:tcPr>
          <w:p>
            <w:pPr>
              <w:pStyle w:val="Table"/>
              <w:keepNext/>
              <w:spacing w:before="0"/>
              <w:rPr>
                <w:b/>
              </w:rPr>
            </w:pPr>
            <w:r>
              <w:rPr>
                <w:b/>
              </w:rPr>
              <w:t>Service to which charge relates</w:t>
            </w:r>
          </w:p>
        </w:tc>
      </w:tr>
      <w:tr>
        <w:trPr>
          <w:cantSplit/>
        </w:trPr>
        <w:tc>
          <w:tcPr>
            <w:tcW w:w="1923" w:type="dxa"/>
            <w:vMerge/>
            <w:tcBorders>
              <w:top w:val="single" w:sz="4" w:space="0" w:color="auto"/>
              <w:bottom w:val="single" w:sz="4" w:space="0" w:color="auto"/>
            </w:tcBorders>
          </w:tcPr>
          <w:p>
            <w:pPr>
              <w:pStyle w:val="Table"/>
              <w:spacing w:before="0"/>
              <w:rPr>
                <w:b/>
              </w:rPr>
            </w:pPr>
          </w:p>
        </w:tc>
        <w:tc>
          <w:tcPr>
            <w:tcW w:w="1134" w:type="dxa"/>
            <w:tcBorders>
              <w:bottom w:val="single" w:sz="4" w:space="0" w:color="auto"/>
            </w:tcBorders>
          </w:tcPr>
          <w:p>
            <w:pPr>
              <w:pStyle w:val="Table"/>
              <w:spacing w:before="0"/>
              <w:rPr>
                <w:b/>
              </w:rPr>
            </w:pPr>
            <w:r>
              <w:rPr>
                <w:b/>
              </w:rPr>
              <w:t>water supply</w:t>
            </w:r>
          </w:p>
        </w:tc>
        <w:tc>
          <w:tcPr>
            <w:tcW w:w="1099" w:type="dxa"/>
            <w:tcBorders>
              <w:bottom w:val="single" w:sz="4" w:space="0" w:color="auto"/>
            </w:tcBorders>
          </w:tcPr>
          <w:p>
            <w:pPr>
              <w:pStyle w:val="Table"/>
              <w:spacing w:before="0"/>
              <w:rPr>
                <w:b/>
              </w:rPr>
            </w:pPr>
            <w:r>
              <w:rPr>
                <w:b/>
              </w:rPr>
              <w:br/>
              <w:t>sewerage</w:t>
            </w:r>
          </w:p>
        </w:tc>
        <w:tc>
          <w:tcPr>
            <w:tcW w:w="1073" w:type="dxa"/>
            <w:tcBorders>
              <w:bottom w:val="single" w:sz="4" w:space="0" w:color="auto"/>
            </w:tcBorders>
          </w:tcPr>
          <w:p>
            <w:pPr>
              <w:pStyle w:val="Table"/>
              <w:spacing w:before="0"/>
              <w:rPr>
                <w:b/>
              </w:rPr>
            </w:pPr>
            <w:r>
              <w:rPr>
                <w:b/>
              </w:rPr>
              <w:br/>
              <w:t>drainage</w:t>
            </w:r>
          </w:p>
        </w:tc>
        <w:tc>
          <w:tcPr>
            <w:tcW w:w="960" w:type="dxa"/>
            <w:tcBorders>
              <w:bottom w:val="single" w:sz="4" w:space="0" w:color="auto"/>
            </w:tcBorders>
          </w:tcPr>
          <w:p>
            <w:pPr>
              <w:pStyle w:val="Table"/>
              <w:spacing w:before="0"/>
              <w:rPr>
                <w:b/>
              </w:rPr>
            </w:pPr>
            <w:r>
              <w:rPr>
                <w:b/>
              </w:rPr>
              <w:br/>
              <w:t>rates</w:t>
            </w:r>
          </w:p>
        </w:tc>
      </w:tr>
      <w:tr>
        <w:tc>
          <w:tcPr>
            <w:tcW w:w="1923" w:type="dxa"/>
            <w:tcBorders>
              <w:top w:val="single" w:sz="4" w:space="0" w:color="auto"/>
            </w:tcBorders>
          </w:tcPr>
          <w:p>
            <w:pPr>
              <w:pStyle w:val="Table"/>
              <w:spacing w:before="40" w:after="40"/>
            </w:pPr>
            <w:r>
              <w:t>1/7/02 — 30/6/03</w:t>
            </w:r>
          </w:p>
        </w:tc>
        <w:tc>
          <w:tcPr>
            <w:tcW w:w="1134" w:type="dxa"/>
            <w:tcBorders>
              <w:top w:val="single" w:sz="4" w:space="0" w:color="auto"/>
            </w:tcBorders>
          </w:tcPr>
          <w:p>
            <w:pPr>
              <w:pStyle w:val="Table"/>
              <w:spacing w:before="40" w:after="40"/>
            </w:pPr>
            <w:r>
              <w:t>$66.25</w:t>
            </w:r>
          </w:p>
        </w:tc>
        <w:tc>
          <w:tcPr>
            <w:tcW w:w="1099" w:type="dxa"/>
            <w:tcBorders>
              <w:top w:val="single" w:sz="4" w:space="0" w:color="auto"/>
            </w:tcBorders>
          </w:tcPr>
          <w:p>
            <w:pPr>
              <w:pStyle w:val="Table"/>
              <w:spacing w:before="40" w:after="40"/>
            </w:pPr>
            <w:r>
              <w:t>$107.15</w:t>
            </w:r>
          </w:p>
        </w:tc>
        <w:tc>
          <w:tcPr>
            <w:tcW w:w="1073" w:type="dxa"/>
            <w:tcBorders>
              <w:top w:val="single" w:sz="4" w:space="0" w:color="auto"/>
            </w:tcBorders>
          </w:tcPr>
          <w:p>
            <w:pPr>
              <w:pStyle w:val="Table"/>
              <w:spacing w:before="40" w:after="40"/>
            </w:pPr>
            <w:r>
              <w:t>$12.65</w:t>
            </w:r>
          </w:p>
        </w:tc>
        <w:tc>
          <w:tcPr>
            <w:tcW w:w="960" w:type="dxa"/>
            <w:tcBorders>
              <w:top w:val="single" w:sz="4" w:space="0" w:color="auto"/>
            </w:tcBorders>
          </w:tcPr>
          <w:p>
            <w:pPr>
              <w:pStyle w:val="Table"/>
              <w:spacing w:before="40" w:after="40"/>
            </w:pPr>
            <w:r>
              <w:t>$193.55</w:t>
            </w:r>
          </w:p>
        </w:tc>
      </w:tr>
      <w:tr>
        <w:tc>
          <w:tcPr>
            <w:tcW w:w="1923" w:type="dxa"/>
          </w:tcPr>
          <w:p>
            <w:pPr>
              <w:pStyle w:val="Table"/>
              <w:spacing w:before="40" w:after="40"/>
            </w:pPr>
            <w:r>
              <w:t>1/7/03 — 30/6/04</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$199.95</w:t>
            </w:r>
          </w:p>
        </w:tc>
      </w:tr>
      <w:tr>
        <w:tc>
          <w:tcPr>
            <w:tcW w:w="1923" w:type="dxa"/>
          </w:tcPr>
          <w:p>
            <w:pPr>
              <w:pStyle w:val="Table"/>
              <w:spacing w:before="40" w:after="40"/>
            </w:pPr>
            <w:r>
              <w:t>1/7/04 — 30/6/05</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$204.75</w:t>
            </w:r>
          </w:p>
        </w:tc>
      </w:tr>
      <w:tr>
        <w:tc>
          <w:tcPr>
            <w:tcW w:w="1923" w:type="dxa"/>
            <w:tcBorders>
              <w:bottom w:val="single" w:sz="4" w:space="0" w:color="auto"/>
            </w:tcBorders>
          </w:tcPr>
          <w:p>
            <w:pPr>
              <w:pStyle w:val="Table"/>
              <w:spacing w:before="40" w:after="40"/>
            </w:pPr>
            <w:r>
              <w:t>1/7/05 — 30/6/06</w:t>
            </w:r>
          </w:p>
        </w:tc>
        <w:tc>
          <w:tcPr>
            <w:tcW w:w="1134" w:type="dxa"/>
            <w:tcBorders>
              <w:bottom w:val="single" w:sz="4" w:space="0" w:color="auto"/>
            </w:tcBorders>
          </w:tcPr>
          <w:p>
            <w:pPr>
              <w:pStyle w:val="Table"/>
              <w:spacing w:before="40" w:after="40"/>
            </w:pPr>
            <w:r>
              <w:t>$70.00</w:t>
            </w:r>
          </w:p>
        </w:tc>
        <w:tc>
          <w:tcPr>
            <w:tcW w:w="1099" w:type="dxa"/>
            <w:tcBorders>
              <w:bottom w:val="single" w:sz="4" w:space="0" w:color="auto"/>
            </w:tcBorders>
          </w:tcPr>
          <w:p>
            <w:pPr>
              <w:pStyle w:val="Table"/>
              <w:spacing w:before="40" w:after="40"/>
            </w:pPr>
            <w:r>
              <w:t>$132.85</w:t>
            </w:r>
          </w:p>
        </w:tc>
        <w:tc>
          <w:tcPr>
            <w:tcW w:w="1073" w:type="dxa"/>
            <w:tcBorders>
              <w:bottom w:val="single" w:sz="4" w:space="0" w:color="auto"/>
            </w:tcBorders>
          </w:tcPr>
          <w:p>
            <w:pPr>
              <w:pStyle w:val="Table"/>
              <w:spacing w:before="40" w:after="40"/>
            </w:pPr>
            <w:r>
              <w:t>$13.35</w:t>
            </w:r>
          </w:p>
        </w:tc>
        <w:tc>
          <w:tcPr>
            <w:tcW w:w="960" w:type="dxa"/>
            <w:tcBorders>
              <w:bottom w:val="single" w:sz="4" w:space="0" w:color="auto"/>
            </w:tcBorders>
          </w:tcPr>
          <w:p>
            <w:pPr>
              <w:pStyle w:val="Table"/>
              <w:spacing w:before="40" w:after="40"/>
            </w:pPr>
            <w:r>
              <w:t>$209.25</w:t>
            </w:r>
          </w:p>
        </w:tc>
      </w:tr>
    </w:tbl>
    <w:p>
      <w:pPr>
        <w:pStyle w:val="Footnotesection"/>
      </w:pPr>
      <w:r>
        <w:tab/>
        <w:t>[Regulation 3 inserted in Gazette 29 Jun 2004 p. 2549; amended in Gazette 28 Jun 2005 p. 2934.]</w:t>
      </w:r>
    </w:p>
    <w:p>
      <w:pPr>
        <w:pStyle w:val="Heading5"/>
        <w:rPr>
          <w:snapToGrid w:val="0"/>
        </w:rPr>
      </w:pPr>
      <w:bookmarkStart w:id="13" w:name="_Toc107801758"/>
      <w:bookmarkStart w:id="14" w:name="_Toc137360282"/>
      <w:r>
        <w:rPr>
          <w:rStyle w:val="CharSectno"/>
        </w:rPr>
        <w:t>4</w:t>
      </w:r>
      <w:r>
        <w:rPr>
          <w:snapToGrid w:val="0"/>
        </w:rPr>
        <w:t>.</w:t>
      </w:r>
      <w:r>
        <w:rPr>
          <w:snapToGrid w:val="0"/>
        </w:rPr>
        <w:tab/>
        <w:t>Allowances prescribed for the purposes of section 23</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Under section 23(1)(aa)(v) of the Act the following allowances are prescribed for the purposes of section 23 of the Act — </w:t>
      </w:r>
    </w:p>
    <w:p>
      <w:pPr>
        <w:pStyle w:val="Indenta"/>
        <w:rPr>
          <w:snapToGrid w:val="0"/>
        </w:rPr>
      </w:pPr>
      <w:r>
        <w:rPr>
          <w:snapToGrid w:val="0"/>
        </w:rPr>
        <w:tab/>
        <w:t>(a)</w:t>
      </w:r>
      <w:r>
        <w:rPr>
          <w:snapToGrid w:val="0"/>
        </w:rPr>
        <w:tab/>
        <w:t>the Mature Age Allowance;</w:t>
      </w:r>
    </w:p>
    <w:p>
      <w:pPr>
        <w:pStyle w:val="Indenta"/>
        <w:rPr>
          <w:snapToGrid w:val="0"/>
        </w:rPr>
      </w:pPr>
      <w:r>
        <w:rPr>
          <w:snapToGrid w:val="0"/>
        </w:rPr>
        <w:tab/>
        <w:t>(b)</w:t>
      </w:r>
      <w:r>
        <w:rPr>
          <w:snapToGrid w:val="0"/>
        </w:rPr>
        <w:tab/>
        <w:t>the Mature Age Partner Allowance;</w:t>
      </w:r>
    </w:p>
    <w:p>
      <w:pPr>
        <w:pStyle w:val="Indenta"/>
        <w:rPr>
          <w:snapToGrid w:val="0"/>
        </w:rPr>
      </w:pPr>
      <w:r>
        <w:rPr>
          <w:snapToGrid w:val="0"/>
        </w:rPr>
        <w:tab/>
        <w:t>(c)</w:t>
      </w:r>
      <w:r>
        <w:rPr>
          <w:snapToGrid w:val="0"/>
        </w:rPr>
        <w:tab/>
        <w:t>the Parenting Allowance;</w:t>
      </w:r>
    </w:p>
    <w:p>
      <w:pPr>
        <w:pStyle w:val="Indenta"/>
        <w:rPr>
          <w:snapToGrid w:val="0"/>
        </w:rPr>
      </w:pPr>
      <w:r>
        <w:rPr>
          <w:snapToGrid w:val="0"/>
        </w:rPr>
        <w:tab/>
        <w:t>(d)</w:t>
      </w:r>
      <w:r>
        <w:rPr>
          <w:snapToGrid w:val="0"/>
        </w:rPr>
        <w:tab/>
        <w:t>the Partner Allowance; and</w:t>
      </w:r>
    </w:p>
    <w:p>
      <w:pPr>
        <w:pStyle w:val="Indenta"/>
        <w:rPr>
          <w:snapToGrid w:val="0"/>
        </w:rPr>
      </w:pPr>
      <w:r>
        <w:rPr>
          <w:snapToGrid w:val="0"/>
        </w:rPr>
        <w:tab/>
        <w:t>(e)</w:t>
      </w:r>
      <w:r>
        <w:rPr>
          <w:snapToGrid w:val="0"/>
        </w:rPr>
        <w:tab/>
        <w:t>the Widow Allowance.</w:t>
      </w:r>
    </w:p>
    <w:p>
      <w:pPr>
        <w:pStyle w:val="Footnotesection"/>
      </w:pPr>
      <w:r>
        <w:tab/>
        <w:t xml:space="preserve">[Regulation 4 inserted in Gazette 17 Mar 1998 p. 1493.]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9"/>
      </w:pPr>
      <w:bookmarkStart w:id="15" w:name="_Toc76542481"/>
      <w:bookmarkStart w:id="16" w:name="_Toc107801759"/>
      <w:bookmarkStart w:id="17" w:name="_Toc131405278"/>
      <w:bookmarkStart w:id="18" w:name="_Toc132094342"/>
      <w:bookmarkStart w:id="19" w:name="_Toc132185227"/>
      <w:bookmarkStart w:id="20" w:name="_Toc133633228"/>
      <w:bookmarkStart w:id="21" w:name="_Toc137359964"/>
      <w:bookmarkStart w:id="22" w:name="_Toc137360283"/>
      <w:r>
        <w:t>Notes</w:t>
      </w:r>
      <w:bookmarkEnd w:id="15"/>
      <w:bookmarkEnd w:id="16"/>
      <w:bookmarkEnd w:id="17"/>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reprint is a compilation as at 5 May 2006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outlineLvl w:val="9"/>
        <w:rPr>
          <w:snapToGrid w:val="0"/>
        </w:rPr>
      </w:pPr>
      <w:bookmarkStart w:id="23" w:name="_Toc137360284"/>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Borders>
              <w:bottom w:val="single" w:sz="8" w:space="0" w:color="auto"/>
            </w:tcBorders>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838</Words>
  <Characters>4170</Characters>
  <Application>Microsoft Office Word</Application>
  <DocSecurity>0</DocSecurity>
  <Lines>245</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4857</CharactersWithSpaces>
  <SharedDoc>false</SharedDoc>
  <HLinks>
    <vt:vector size="12" baseType="variant">
      <vt:variant>
        <vt:i4>3014716</vt:i4>
      </vt:variant>
      <vt:variant>
        <vt:i4>1997</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1992 - 02-a0-02</dc:title>
  <dc:subject/>
  <dc:creator/>
  <cp:keywords/>
  <dc:description/>
  <cp:lastModifiedBy>svcMRProcess</cp:lastModifiedBy>
  <cp:revision>4</cp:revision>
  <cp:lastPrinted>2006-04-24T01:12:00Z</cp:lastPrinted>
  <dcterms:created xsi:type="dcterms:W3CDTF">2020-02-27T19:20:00Z</dcterms:created>
  <dcterms:modified xsi:type="dcterms:W3CDTF">2020-02-27T19:20:00Z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4731</vt:i4>
  </property>
  <property fmtid="{D5CDD505-2E9C-101B-9397-08002B2CF9AE}" pid="6" name="ReprintNo">
    <vt:lpwstr>2</vt:lpwstr>
  </property>
  <property fmtid="{D5CDD505-2E9C-101B-9397-08002B2CF9AE}" pid="7" name="AsAtDate">
    <vt:lpwstr>05 May 2006</vt:lpwstr>
  </property>
  <property fmtid="{D5CDD505-2E9C-101B-9397-08002B2CF9AE}" pid="8" name="Suffix">
    <vt:lpwstr>02-a0-02</vt:lpwstr>
  </property>
</Properties>
</file>