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_Toc137360279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Urban drainage charges</w:t>
      </w:r>
      <w:r>
        <w:tab/>
      </w:r>
      <w:r>
        <w:fldChar w:fldCharType="begin"/>
      </w:r>
      <w:r>
        <w:instrText xml:space="preserve"> PAGEREF _Toc137360280 \h </w:instrText>
      </w:r>
      <w:r>
        <w:fldChar w:fldCharType="separate"/>
      </w:r>
      <w:r>
        <w:t>1</w:t>
      </w:r>
      <w:r>
        <w:fldChar w:fldCharType="end"/>
      </w:r>
    </w:p>
    <w:p>
      <w:pPr>
        <w:pStyle w:val="TOC8"/>
        <w:rPr>
          <w:sz w:val="24"/>
          <w:szCs w:val="24"/>
        </w:rPr>
      </w:pPr>
      <w:r>
        <w:rPr>
          <w:szCs w:val="24"/>
        </w:rPr>
        <w:t>3.</w:t>
      </w:r>
      <w:r>
        <w:rPr>
          <w:szCs w:val="24"/>
        </w:rPr>
        <w:tab/>
        <w:t>Maximum limit for rebate</w:t>
      </w:r>
      <w:r>
        <w:tab/>
      </w:r>
      <w:r>
        <w:fldChar w:fldCharType="begin"/>
      </w:r>
      <w:r>
        <w:instrText xml:space="preserve"> PAGEREF _Toc137360281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Allowances prescribed for the purposes of section 23</w:t>
      </w:r>
      <w:r>
        <w:tab/>
      </w:r>
      <w:r>
        <w:fldChar w:fldCharType="begin"/>
      </w:r>
      <w:r>
        <w:instrText xml:space="preserve"> PAGEREF _Toc137360282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_Toc137360284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2" w:name="_Toc486225181"/>
      <w:bookmarkStart w:id="3" w:name="_Toc13129952"/>
      <w:bookmarkStart w:id="4" w:name="_Toc107801755"/>
      <w:bookmarkStart w:id="5" w:name="_Toc137360279"/>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6" w:name="_Toc486225182"/>
      <w:bookmarkStart w:id="7" w:name="_Toc13129953"/>
      <w:bookmarkStart w:id="8" w:name="_Toc107801756"/>
      <w:bookmarkStart w:id="9" w:name="_Toc137360280"/>
      <w:r>
        <w:rPr>
          <w:rStyle w:val="CharSectno"/>
        </w:rPr>
        <w:t>2</w:t>
      </w:r>
      <w:r>
        <w:rPr>
          <w:snapToGrid w:val="0"/>
        </w:rPr>
        <w:t>.</w:t>
      </w:r>
      <w:r>
        <w:rPr>
          <w:snapToGrid w:val="0"/>
        </w:rPr>
        <w:tab/>
        <w:t>Urban drainage charges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10" w:name="_Toc107801757"/>
      <w:bookmarkStart w:id="11" w:name="_Toc137360281"/>
      <w:bookmarkStart w:id="12" w:name="_Toc486225184"/>
      <w:bookmarkStart w:id="13" w:name="_Toc13129955"/>
      <w:r>
        <w:rPr>
          <w:rStyle w:val="CharSectno"/>
        </w:rPr>
        <w:t>3</w:t>
      </w:r>
      <w:r>
        <w:t>.</w:t>
      </w:r>
      <w:r>
        <w:tab/>
        <w:t>Maximum limit for rebate</w:t>
      </w:r>
      <w:bookmarkEnd w:id="10"/>
      <w:bookmarkEnd w:id="11"/>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Pr>
          <w:p>
            <w:pPr>
              <w:pStyle w:val="Table"/>
              <w:spacing w:before="40" w:after="40"/>
            </w:pPr>
            <w:r>
              <w:t>1/7/05 — 30/6/06</w:t>
            </w:r>
          </w:p>
        </w:tc>
        <w:tc>
          <w:tcPr>
            <w:tcW w:w="1134" w:type="dxa"/>
          </w:tcPr>
          <w:p>
            <w:pPr>
              <w:pStyle w:val="Table"/>
              <w:spacing w:before="40" w:after="40"/>
            </w:pPr>
            <w:r>
              <w:t>$70.00</w:t>
            </w:r>
          </w:p>
        </w:tc>
        <w:tc>
          <w:tcPr>
            <w:tcW w:w="1099" w:type="dxa"/>
          </w:tcPr>
          <w:p>
            <w:pPr>
              <w:pStyle w:val="Table"/>
              <w:spacing w:before="40" w:after="40"/>
            </w:pPr>
            <w:r>
              <w:t>$132.85</w:t>
            </w:r>
          </w:p>
        </w:tc>
        <w:tc>
          <w:tcPr>
            <w:tcW w:w="1073" w:type="dxa"/>
          </w:tcPr>
          <w:p>
            <w:pPr>
              <w:pStyle w:val="Table"/>
              <w:spacing w:before="40" w:after="40"/>
            </w:pPr>
            <w:r>
              <w:t>$13.35</w:t>
            </w:r>
          </w:p>
        </w:tc>
        <w:tc>
          <w:tcPr>
            <w:tcW w:w="960" w:type="dxa"/>
          </w:tcPr>
          <w:p>
            <w:pPr>
              <w:pStyle w:val="Table"/>
              <w:spacing w:before="40" w:after="40"/>
            </w:pPr>
            <w:r>
              <w:t>$209.25</w:t>
            </w:r>
          </w:p>
        </w:tc>
      </w:tr>
      <w:tr>
        <w:tc>
          <w:tcPr>
            <w:tcW w:w="1923" w:type="dxa"/>
            <w:tcBorders>
              <w:bottom w:val="single" w:sz="4" w:space="0" w:color="auto"/>
            </w:tcBorders>
          </w:tcPr>
          <w:p>
            <w:pPr>
              <w:pStyle w:val="Table"/>
              <w:spacing w:before="40" w:after="40"/>
            </w:pPr>
            <w:r>
              <w:t>1/7/06 — 30/6/07</w:t>
            </w:r>
          </w:p>
        </w:tc>
        <w:tc>
          <w:tcPr>
            <w:tcW w:w="1134" w:type="dxa"/>
            <w:tcBorders>
              <w:bottom w:val="single" w:sz="4" w:space="0" w:color="auto"/>
            </w:tcBorders>
          </w:tcPr>
          <w:p>
            <w:pPr>
              <w:pStyle w:val="Table"/>
              <w:spacing w:before="40" w:after="40"/>
            </w:pPr>
            <w:r>
              <w:t>$72.55</w:t>
            </w:r>
          </w:p>
        </w:tc>
        <w:tc>
          <w:tcPr>
            <w:tcW w:w="1099" w:type="dxa"/>
            <w:tcBorders>
              <w:bottom w:val="single" w:sz="4" w:space="0" w:color="auto"/>
            </w:tcBorders>
          </w:tcPr>
          <w:p>
            <w:pPr>
              <w:pStyle w:val="Table"/>
              <w:spacing w:before="40" w:after="40"/>
            </w:pPr>
            <w:r>
              <w:t>$139.50</w:t>
            </w:r>
          </w:p>
        </w:tc>
        <w:tc>
          <w:tcPr>
            <w:tcW w:w="1073" w:type="dxa"/>
            <w:tcBorders>
              <w:bottom w:val="single" w:sz="4" w:space="0" w:color="auto"/>
            </w:tcBorders>
          </w:tcPr>
          <w:p>
            <w:pPr>
              <w:pStyle w:val="Table"/>
              <w:spacing w:before="40" w:after="40"/>
            </w:pPr>
            <w:r>
              <w:t>$14.00</w:t>
            </w:r>
          </w:p>
        </w:tc>
        <w:tc>
          <w:tcPr>
            <w:tcW w:w="960" w:type="dxa"/>
            <w:tcBorders>
              <w:bottom w:val="single" w:sz="4" w:space="0" w:color="auto"/>
            </w:tcBorders>
          </w:tcPr>
          <w:p>
            <w:pPr>
              <w:pStyle w:val="Table"/>
              <w:spacing w:before="40" w:after="40"/>
            </w:pPr>
            <w:r>
              <w:t>$216.80</w:t>
            </w:r>
          </w:p>
        </w:tc>
      </w:tr>
    </w:tbl>
    <w:p>
      <w:pPr>
        <w:pStyle w:val="Footnotesection"/>
      </w:pPr>
      <w:r>
        <w:tab/>
        <w:t>[Regulation 3 inserted in Gazette 29 Jun 2004 p. 2549; amended in Gazette 28 Jun 2005 p. 2934; 27 Jun 2006 p. 2307.]</w:t>
      </w:r>
    </w:p>
    <w:p>
      <w:pPr>
        <w:pStyle w:val="Heading5"/>
        <w:rPr>
          <w:snapToGrid w:val="0"/>
        </w:rPr>
      </w:pPr>
      <w:bookmarkStart w:id="14" w:name="_Toc107801758"/>
      <w:bookmarkStart w:id="15" w:name="_Toc137360282"/>
      <w:r>
        <w:rPr>
          <w:rStyle w:val="CharSectno"/>
        </w:rPr>
        <w:t>4</w:t>
      </w:r>
      <w:r>
        <w:rPr>
          <w:snapToGrid w:val="0"/>
        </w:rPr>
        <w:t>.</w:t>
      </w:r>
      <w:r>
        <w:rPr>
          <w:snapToGrid w:val="0"/>
        </w:rPr>
        <w:tab/>
        <w:t>Allowances prescribed for the purposes of section 23</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outlineLvl w:val="9"/>
      </w:pPr>
      <w:bookmarkStart w:id="16" w:name="_Toc76542481"/>
      <w:bookmarkStart w:id="17" w:name="_Toc107801759"/>
      <w:bookmarkStart w:id="18" w:name="_Toc131405278"/>
      <w:bookmarkStart w:id="19" w:name="_Toc132094342"/>
      <w:bookmarkStart w:id="20" w:name="_Toc132185227"/>
      <w:bookmarkStart w:id="21" w:name="_Toc133633228"/>
      <w:bookmarkStart w:id="22" w:name="_Toc137359964"/>
      <w:bookmarkStart w:id="23" w:name="_Toc137360283"/>
      <w:r>
        <w:t>Notes</w:t>
      </w:r>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as at 5 May 2006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24" w:name="_Toc137360284"/>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Rates and Charges (Rebates and Deferments) Amendment Regulations 2006</w:t>
            </w:r>
          </w:p>
        </w:tc>
        <w:tc>
          <w:tcPr>
            <w:tcW w:w="1276" w:type="dxa"/>
            <w:tcBorders>
              <w:bottom w:val="single" w:sz="4" w:space="0" w:color="auto"/>
            </w:tcBorders>
          </w:tcPr>
          <w:p>
            <w:pPr>
              <w:pStyle w:val="nTable"/>
              <w:keepNext/>
              <w:keepLines/>
              <w:spacing w:after="40"/>
              <w:rPr>
                <w:sz w:val="19"/>
              </w:rPr>
            </w:pPr>
            <w:r>
              <w:rPr>
                <w:sz w:val="19"/>
              </w:rPr>
              <w:t>27 Jun 2006 p. 2307</w:t>
            </w:r>
          </w:p>
        </w:tc>
        <w:tc>
          <w:tcPr>
            <w:tcW w:w="2693" w:type="dxa"/>
            <w:tcBorders>
              <w:bottom w:val="single" w:sz="4" w:space="0" w:color="auto"/>
            </w:tcBorders>
          </w:tcPr>
          <w:p>
            <w:pPr>
              <w:pStyle w:val="nTable"/>
              <w:keepNext/>
              <w:keepLines/>
              <w:spacing w:after="40"/>
              <w:rPr>
                <w:sz w:val="19"/>
              </w:rPr>
            </w:pPr>
            <w:r>
              <w:rPr>
                <w:sz w:val="19"/>
              </w:rPr>
              <w:t>1 Jul 2006 (see r.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840</Words>
  <Characters>4192</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1992 - 02-b0-02</dc:title>
  <dc:subject/>
  <dc:creator/>
  <cp:keywords/>
  <dc:description/>
  <cp:lastModifiedBy>svcMRProcess</cp:lastModifiedBy>
  <cp:revision>4</cp:revision>
  <cp:lastPrinted>2006-04-24T01:12:00Z</cp:lastPrinted>
  <dcterms:created xsi:type="dcterms:W3CDTF">2020-02-27T19:25:00Z</dcterms:created>
  <dcterms:modified xsi:type="dcterms:W3CDTF">2020-02-27T19:25:00Z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02-b0-02</vt:lpwstr>
  </property>
</Properties>
</file>