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Marine Navigational Aids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Navigational Aids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_Toc33602841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_Toc33602842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Marine navigational aids</w:t>
      </w:r>
      <w:r>
        <w:tab/>
      </w:r>
      <w:r>
        <w:fldChar w:fldCharType="begin"/>
      </w:r>
      <w:r>
        <w:instrText xml:space="preserve"> PAGEREF _Toc33602843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Fees payable in respect of fishing boats</w:t>
      </w:r>
      <w:r>
        <w:tab/>
      </w:r>
      <w:r>
        <w:fldChar w:fldCharType="begin"/>
      </w:r>
      <w:r>
        <w:instrText xml:space="preserve"> PAGEREF _Toc33602844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Protection from actions</w:t>
      </w:r>
      <w:r>
        <w:tab/>
      </w:r>
      <w:r>
        <w:fldChar w:fldCharType="begin"/>
      </w:r>
      <w:r>
        <w:instrText xml:space="preserve"> PAGEREF _Toc33602845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Offence</w:t>
      </w:r>
      <w:r>
        <w:tab/>
      </w:r>
      <w:r>
        <w:fldChar w:fldCharType="begin"/>
      </w:r>
      <w:r>
        <w:instrText xml:space="preserve"> PAGEREF _Toc33602846 \h </w:instrText>
      </w:r>
      <w:r>
        <w:fldChar w:fldCharType="separate"/>
      </w:r>
      <w:r>
        <w:t>4</w:t>
      </w:r>
      <w:r>
        <w:fldChar w:fldCharType="end"/>
      </w:r>
    </w:p>
    <w:p>
      <w:pPr>
        <w:pStyle w:val="TOC8"/>
        <w:rPr>
          <w:rFonts w:asciiTheme="minorHAnsi" w:eastAsiaTheme="minorEastAsia" w:hAnsiTheme="minorHAnsi" w:cstheme="minorBidi"/>
          <w:szCs w:val="22"/>
        </w:rPr>
      </w:pPr>
      <w:r>
        <w:t>6.</w:t>
      </w:r>
      <w:r>
        <w:tab/>
        <w:t>Delegation</w:t>
      </w:r>
      <w:r>
        <w:tab/>
      </w:r>
      <w:r>
        <w:fldChar w:fldCharType="begin"/>
      </w:r>
      <w:r>
        <w:instrText xml:space="preserve"> PAGEREF _Toc33602847 \h </w:instrText>
      </w:r>
      <w:r>
        <w:fldChar w:fldCharType="separate"/>
      </w:r>
      <w:r>
        <w:t>4</w:t>
      </w:r>
      <w:r>
        <w:fldChar w:fldCharType="end"/>
      </w:r>
    </w:p>
    <w:p>
      <w:pPr>
        <w:pStyle w:val="TOC8"/>
        <w:rPr>
          <w:rFonts w:asciiTheme="minorHAnsi" w:eastAsiaTheme="minorEastAsia" w:hAnsiTheme="minorHAnsi" w:cstheme="minorBidi"/>
          <w:szCs w:val="22"/>
        </w:rPr>
      </w:pPr>
      <w:r>
        <w:t>7.</w:t>
      </w:r>
      <w:r>
        <w:tab/>
        <w:t>Regulations</w:t>
      </w:r>
      <w:r>
        <w:tab/>
      </w:r>
      <w:r>
        <w:fldChar w:fldCharType="begin"/>
      </w:r>
      <w:r>
        <w:instrText xml:space="preserve"> PAGEREF _Toc33602848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_Toc33602850 \h </w:instrText>
      </w:r>
      <w:r>
        <w:fldChar w:fldCharType="separate"/>
      </w:r>
      <w:r>
        <w:t>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_Toc33602851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Marine Navigational Aids Act 1973 </w:t>
      </w:r>
    </w:p>
    <w:p>
      <w:pPr>
        <w:pStyle w:val="LongTitle"/>
        <w:spacing w:after="200"/>
        <w:rPr>
          <w:snapToGrid w:val="0"/>
        </w:rPr>
      </w:pPr>
      <w:r>
        <w:rPr>
          <w:snapToGrid w:val="0"/>
        </w:rPr>
        <w:t xml:space="preserve">An Act relating to the establishment, maintenance and use of marine navigational aids. </w:t>
      </w:r>
    </w:p>
    <w:p>
      <w:pPr>
        <w:pStyle w:val="Heading5"/>
        <w:rPr>
          <w:snapToGrid w:val="0"/>
        </w:rPr>
      </w:pPr>
      <w:bookmarkStart w:id="3" w:name="_Toc3360284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Marine Navigational Aids Act 1973</w:t>
      </w:r>
      <w:r>
        <w:rPr>
          <w:snapToGrid w:val="0"/>
        </w:rPr>
        <w:t>.</w:t>
      </w:r>
    </w:p>
    <w:p>
      <w:pPr>
        <w:pStyle w:val="Heading5"/>
        <w:rPr>
          <w:snapToGrid w:val="0"/>
        </w:rPr>
      </w:pPr>
      <w:bookmarkStart w:id="4" w:name="_Toc33602842"/>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marine navigational aid</w:t>
      </w:r>
      <w:r>
        <w:t xml:space="preserve"> means a lighthouse, light ship, port light, buoy, beacon, signal, or other structure, mark, device or apparatus that is or is intended to be an aid to marine navigation, and includes a radio beacon or an electronic aid;</w:t>
      </w:r>
    </w:p>
    <w:p>
      <w:pPr>
        <w:pStyle w:val="Defstart"/>
      </w:pPr>
      <w:r>
        <w:tab/>
      </w:r>
      <w:r>
        <w:rPr>
          <w:rStyle w:val="CharDefText"/>
        </w:rPr>
        <w:t>port authority</w:t>
      </w:r>
      <w:r>
        <w:t xml:space="preserve"> means a port authority established under the </w:t>
      </w:r>
      <w:r>
        <w:rPr>
          <w:i/>
        </w:rPr>
        <w:t>Port Authorities Act 1999</w:t>
      </w:r>
      <w:r>
        <w:t>.</w:t>
      </w:r>
    </w:p>
    <w:p>
      <w:pPr>
        <w:pStyle w:val="Footnotesection"/>
      </w:pPr>
      <w:r>
        <w:tab/>
        <w:t xml:space="preserve">[Section 2 amended: No. 47 of 1993 s. 25; No. 2 of 2019 s. 37.] </w:t>
      </w:r>
    </w:p>
    <w:p>
      <w:pPr>
        <w:pStyle w:val="Heading5"/>
        <w:rPr>
          <w:snapToGrid w:val="0"/>
        </w:rPr>
      </w:pPr>
      <w:bookmarkStart w:id="5" w:name="_Toc33602843"/>
      <w:r>
        <w:rPr>
          <w:rStyle w:val="CharSectno"/>
        </w:rPr>
        <w:t>3</w:t>
      </w:r>
      <w:r>
        <w:rPr>
          <w:snapToGrid w:val="0"/>
        </w:rPr>
        <w:t>.</w:t>
      </w:r>
      <w:r>
        <w:rPr>
          <w:snapToGrid w:val="0"/>
        </w:rPr>
        <w:tab/>
        <w:t>Marine navigational aids</w:t>
      </w:r>
      <w:bookmarkEnd w:id="5"/>
      <w:r>
        <w:rPr>
          <w:snapToGrid w:val="0"/>
        </w:rPr>
        <w:t xml:space="preserve"> </w:t>
      </w:r>
    </w:p>
    <w:p>
      <w:pPr>
        <w:pStyle w:val="Subsection"/>
        <w:keepNext/>
        <w:rPr>
          <w:snapToGrid w:val="0"/>
        </w:rPr>
      </w:pPr>
      <w:r>
        <w:rPr>
          <w:snapToGrid w:val="0"/>
        </w:rPr>
        <w:tab/>
        <w:t>(1)</w:t>
      </w:r>
      <w:r>
        <w:rPr>
          <w:snapToGrid w:val="0"/>
        </w:rPr>
        <w:tab/>
      </w:r>
      <w:r>
        <w:t xml:space="preserve">The chief executive officer, </w:t>
      </w:r>
      <w:r>
        <w:rPr>
          <w:snapToGrid w:val="0"/>
        </w:rPr>
        <w:t>and a port authority in relation to the</w:t>
      </w:r>
      <w:r>
        <w:t xml:space="preserve"> approaches to a port under its control and management — </w:t>
      </w:r>
    </w:p>
    <w:p>
      <w:pPr>
        <w:pStyle w:val="Indenta"/>
      </w:pPr>
      <w:r>
        <w:rPr>
          <w:snapToGrid w:val="0"/>
        </w:rPr>
        <w:tab/>
        <w:t>(a)</w:t>
      </w:r>
      <w:r>
        <w:rPr>
          <w:snapToGrid w:val="0"/>
        </w:rPr>
        <w:tab/>
        <w:t>may, subject to subsection (1A), establish any marine navigational aid; and</w:t>
      </w:r>
    </w:p>
    <w:p>
      <w:pPr>
        <w:pStyle w:val="Indenta"/>
        <w:rPr>
          <w:snapToGrid w:val="0"/>
        </w:rPr>
      </w:pPr>
      <w:r>
        <w:rPr>
          <w:snapToGrid w:val="0"/>
        </w:rPr>
        <w:tab/>
        <w:t>(aa)</w:t>
      </w:r>
      <w:r>
        <w:rPr>
          <w:snapToGrid w:val="0"/>
        </w:rPr>
        <w:tab/>
        <w:t>may enter into an agreement with any person who has established or who proposes to establish a marine navigational aid providing for the transfer from that person of the control of that aid;</w:t>
      </w:r>
      <w:r>
        <w:t xml:space="preserve"> and</w:t>
      </w:r>
    </w:p>
    <w:p>
      <w:pPr>
        <w:pStyle w:val="Indenta"/>
        <w:rPr>
          <w:snapToGrid w:val="0"/>
        </w:rPr>
      </w:pPr>
      <w:r>
        <w:rPr>
          <w:snapToGrid w:val="0"/>
        </w:rPr>
        <w:tab/>
        <w:t>(b)</w:t>
      </w:r>
      <w:r>
        <w:rPr>
          <w:snapToGrid w:val="0"/>
        </w:rPr>
        <w:tab/>
        <w:t>may add to, alter or remove any such aid;</w:t>
      </w:r>
      <w:r>
        <w:t xml:space="preserve"> and</w:t>
      </w:r>
    </w:p>
    <w:p>
      <w:pPr>
        <w:pStyle w:val="Indenta"/>
        <w:rPr>
          <w:snapToGrid w:val="0"/>
        </w:rPr>
      </w:pPr>
      <w:r>
        <w:rPr>
          <w:snapToGrid w:val="0"/>
        </w:rPr>
        <w:tab/>
        <w:t>(c)</w:t>
      </w:r>
      <w:r>
        <w:rPr>
          <w:snapToGrid w:val="0"/>
        </w:rPr>
        <w:tab/>
        <w:t>may alter the character of any such aid; and</w:t>
      </w:r>
    </w:p>
    <w:p>
      <w:pPr>
        <w:pStyle w:val="Indenta"/>
        <w:rPr>
          <w:snapToGrid w:val="0"/>
        </w:rPr>
      </w:pPr>
      <w:r>
        <w:rPr>
          <w:snapToGrid w:val="0"/>
        </w:rPr>
        <w:tab/>
        <w:t>(d)</w:t>
      </w:r>
      <w:r>
        <w:rPr>
          <w:snapToGrid w:val="0"/>
        </w:rPr>
        <w:tab/>
        <w:t>shall maintain every such aid under its control.</w:t>
      </w:r>
    </w:p>
    <w:p>
      <w:pPr>
        <w:pStyle w:val="Subsection"/>
      </w:pPr>
      <w:r>
        <w:tab/>
        <w:t>(1A)</w:t>
      </w:r>
      <w:r>
        <w:tab/>
        <w:t>The chief executive officer cannot establish a navigational aid within the boundaries of a port under the control and management of a port authority without the agreement of that port authority.</w:t>
      </w:r>
    </w:p>
    <w:p>
      <w:pPr>
        <w:pStyle w:val="Subsection"/>
        <w:rPr>
          <w:snapToGrid w:val="0"/>
        </w:rPr>
      </w:pPr>
      <w:r>
        <w:rPr>
          <w:snapToGrid w:val="0"/>
        </w:rPr>
        <w:tab/>
        <w:t>(2)</w:t>
      </w:r>
      <w:r>
        <w:rPr>
          <w:snapToGrid w:val="0"/>
        </w:rPr>
        <w:tab/>
        <w:t xml:space="preserve">Any marine navigational aid established by the </w:t>
      </w:r>
      <w:r>
        <w:t>chief executive officer</w:t>
      </w:r>
      <w:r>
        <w:rPr>
          <w:snapToGrid w:val="0"/>
        </w:rPr>
        <w:t xml:space="preserve"> or a port authority before the commencement of this Act shall be deemed to have been established under this Act.</w:t>
      </w:r>
    </w:p>
    <w:p>
      <w:pPr>
        <w:pStyle w:val="Subsection"/>
        <w:rPr>
          <w:snapToGrid w:val="0"/>
        </w:rPr>
      </w:pPr>
      <w:r>
        <w:rPr>
          <w:snapToGrid w:val="0"/>
        </w:rPr>
        <w:tab/>
        <w:t>(3)</w:t>
      </w:r>
      <w:r>
        <w:rPr>
          <w:snapToGrid w:val="0"/>
        </w:rPr>
        <w:tab/>
        <w:t xml:space="preserve">Where the </w:t>
      </w:r>
      <w:r>
        <w:t>chief executive officer</w:t>
      </w:r>
      <w:r>
        <w:rPr>
          <w:snapToGrid w:val="0"/>
        </w:rPr>
        <w:t xml:space="preserve"> or a port authority enters into an agreement pursuant to paragraph (aa) of subsection (1) — </w:t>
      </w:r>
    </w:p>
    <w:p>
      <w:pPr>
        <w:pStyle w:val="Indenta"/>
        <w:rPr>
          <w:snapToGrid w:val="0"/>
        </w:rPr>
      </w:pPr>
      <w:r>
        <w:rPr>
          <w:snapToGrid w:val="0"/>
        </w:rPr>
        <w:tab/>
        <w:t>(a)</w:t>
      </w:r>
      <w:r>
        <w:rPr>
          <w:snapToGrid w:val="0"/>
        </w:rPr>
        <w:tab/>
        <w:t>any marine navigational aid to which the agreement applies shall be deemed to have been or to be established under this Act; and</w:t>
      </w:r>
    </w:p>
    <w:p>
      <w:pPr>
        <w:pStyle w:val="Indenta"/>
        <w:rPr>
          <w:snapToGrid w:val="0"/>
        </w:rPr>
      </w:pPr>
      <w:r>
        <w:rPr>
          <w:snapToGrid w:val="0"/>
        </w:rPr>
        <w:tab/>
        <w:t>(b)</w:t>
      </w:r>
      <w:r>
        <w:rPr>
          <w:snapToGrid w:val="0"/>
        </w:rPr>
        <w:tab/>
        <w:t>provision shall be made in the agreement for the payment from time to time of the expense incurred in the exercise of the powers conferred by paragraphs (b), (c) and (d) of that subsection.</w:t>
      </w:r>
    </w:p>
    <w:p>
      <w:pPr>
        <w:pStyle w:val="Footnotesection"/>
      </w:pPr>
      <w:r>
        <w:tab/>
        <w:t xml:space="preserve">[Section 3 amended: No. 66 of 1977 s. 2; No. 31 of 1980 s. 3; No. 2 of 2019 s. 38.] </w:t>
      </w:r>
    </w:p>
    <w:p>
      <w:pPr>
        <w:pStyle w:val="Heading5"/>
        <w:rPr>
          <w:snapToGrid w:val="0"/>
        </w:rPr>
      </w:pPr>
      <w:bookmarkStart w:id="6" w:name="_Toc33602844"/>
      <w:r>
        <w:rPr>
          <w:rStyle w:val="CharSectno"/>
        </w:rPr>
        <w:t>3A</w:t>
      </w:r>
      <w:r>
        <w:rPr>
          <w:snapToGrid w:val="0"/>
        </w:rPr>
        <w:t>.</w:t>
      </w:r>
      <w:r>
        <w:rPr>
          <w:snapToGrid w:val="0"/>
        </w:rPr>
        <w:tab/>
        <w:t>Fees payable in respect of fishing boats</w:t>
      </w:r>
      <w:bookmarkEnd w:id="6"/>
      <w:r>
        <w:rPr>
          <w:snapToGrid w:val="0"/>
        </w:rPr>
        <w:t xml:space="preserve"> </w:t>
      </w:r>
    </w:p>
    <w:p>
      <w:pPr>
        <w:pStyle w:val="Subsection"/>
        <w:rPr>
          <w:snapToGrid w:val="0"/>
        </w:rPr>
      </w:pPr>
      <w:r>
        <w:rPr>
          <w:snapToGrid w:val="0"/>
        </w:rPr>
        <w:tab/>
        <w:t>(1)</w:t>
      </w:r>
      <w:r>
        <w:rPr>
          <w:snapToGrid w:val="0"/>
        </w:rPr>
        <w:tab/>
        <w:t xml:space="preserve">Subject to subsection (2), there are payable to the department in respect of every fishing boat fees at such rates as are prescribed in respect of the provision of marine navigational aids outside any port under the control </w:t>
      </w:r>
      <w:r>
        <w:t>and management</w:t>
      </w:r>
      <w:r>
        <w:rPr>
          <w:snapToGrid w:val="0"/>
        </w:rPr>
        <w:t xml:space="preserve"> of a port authority and the approaches to that port.</w:t>
      </w:r>
    </w:p>
    <w:p>
      <w:pPr>
        <w:pStyle w:val="Subsection"/>
        <w:rPr>
          <w:snapToGrid w:val="0"/>
        </w:rPr>
      </w:pPr>
      <w:r>
        <w:rPr>
          <w:snapToGrid w:val="0"/>
        </w:rPr>
        <w:tab/>
        <w:t>(2)</w:t>
      </w:r>
      <w:r>
        <w:rPr>
          <w:snapToGrid w:val="0"/>
        </w:rPr>
        <w:tab/>
        <w:t>Regulations prescribing fees payable under subsection (1) may provide that fishing boats of a specified class, or of specified classes, are exempt from the payment of those fees.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fishing boat</w:t>
      </w:r>
      <w:r>
        <w:t xml:space="preserve"> means a vessel licensed, or required to be licensed, by or under the </w:t>
      </w:r>
      <w:r>
        <w:rPr>
          <w:i/>
        </w:rPr>
        <w:t>Fish Resources Management Act 1994</w:t>
      </w:r>
      <w:r>
        <w:t xml:space="preserve"> or the </w:t>
      </w:r>
      <w:r>
        <w:rPr>
          <w:i/>
        </w:rPr>
        <w:t>Pearling Act 1990</w:t>
      </w:r>
      <w:r>
        <w:t>.</w:t>
      </w:r>
    </w:p>
    <w:p>
      <w:pPr>
        <w:pStyle w:val="Footnotesection"/>
      </w:pPr>
      <w:r>
        <w:tab/>
        <w:t xml:space="preserve">[Section 3A inserted: No. 83 of 1978 s. 3; amended: No. 53 of 1994 s. 264; No. 2 of 2019 s. 39.] </w:t>
      </w:r>
    </w:p>
    <w:p>
      <w:pPr>
        <w:pStyle w:val="Heading5"/>
        <w:rPr>
          <w:snapToGrid w:val="0"/>
        </w:rPr>
      </w:pPr>
      <w:bookmarkStart w:id="7" w:name="_Toc33602845"/>
      <w:r>
        <w:rPr>
          <w:rStyle w:val="CharSectno"/>
        </w:rPr>
        <w:t>4</w:t>
      </w:r>
      <w:r>
        <w:rPr>
          <w:snapToGrid w:val="0"/>
        </w:rPr>
        <w:t>.</w:t>
      </w:r>
      <w:r>
        <w:rPr>
          <w:snapToGrid w:val="0"/>
        </w:rPr>
        <w:tab/>
        <w:t>Protection from actions</w:t>
      </w:r>
      <w:bookmarkEnd w:id="7"/>
      <w:r>
        <w:rPr>
          <w:snapToGrid w:val="0"/>
        </w:rPr>
        <w:t xml:space="preserve"> </w:t>
      </w:r>
    </w:p>
    <w:p>
      <w:pPr>
        <w:pStyle w:val="Subsection"/>
        <w:rPr>
          <w:snapToGrid w:val="0"/>
        </w:rPr>
      </w:pPr>
      <w:r>
        <w:rPr>
          <w:snapToGrid w:val="0"/>
        </w:rPr>
        <w:tab/>
      </w:r>
      <w:r>
        <w:rPr>
          <w:snapToGrid w:val="0"/>
        </w:rPr>
        <w:tab/>
        <w:t>No civil action, claim or demand lies, or shall be commenced or allowed, by or in favour of any person against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the Minister or the department;</w:t>
      </w:r>
    </w:p>
    <w:p>
      <w:pPr>
        <w:pStyle w:val="Indenta"/>
        <w:rPr>
          <w:snapToGrid w:val="0"/>
        </w:rPr>
      </w:pPr>
      <w:r>
        <w:rPr>
          <w:snapToGrid w:val="0"/>
        </w:rPr>
        <w:tab/>
        <w:t>(c)</w:t>
      </w:r>
      <w:r>
        <w:rPr>
          <w:snapToGrid w:val="0"/>
        </w:rPr>
        <w:tab/>
        <w:t>a port authority;</w:t>
      </w:r>
    </w:p>
    <w:p>
      <w:pPr>
        <w:pStyle w:val="Indenta"/>
        <w:rPr>
          <w:snapToGrid w:val="0"/>
        </w:rPr>
      </w:pPr>
      <w:r>
        <w:rPr>
          <w:snapToGrid w:val="0"/>
        </w:rPr>
        <w:tab/>
        <w:t>(d)</w:t>
      </w:r>
      <w:r>
        <w:rPr>
          <w:snapToGrid w:val="0"/>
        </w:rPr>
        <w:tab/>
        <w:t>any officer of the department or a port authority or other person acting in good faith for the purposes of this Act; or</w:t>
      </w:r>
    </w:p>
    <w:p>
      <w:pPr>
        <w:pStyle w:val="Indenta"/>
        <w:rPr>
          <w:snapToGrid w:val="0"/>
        </w:rPr>
      </w:pPr>
      <w:r>
        <w:rPr>
          <w:snapToGrid w:val="0"/>
        </w:rPr>
        <w:tab/>
        <w:t>(e)</w:t>
      </w:r>
      <w:r>
        <w:rPr>
          <w:snapToGrid w:val="0"/>
        </w:rPr>
        <w:tab/>
        <w:t>where the control of the marine navigational aid is transferred to the department or a port authority under an agreement entered into pursuant to section 3(1)(aa), a person who is or was the owner, lessee or bailee of the marine navigational aid,</w:t>
      </w:r>
    </w:p>
    <w:p>
      <w:pPr>
        <w:pStyle w:val="Subsection"/>
        <w:rPr>
          <w:snapToGrid w:val="0"/>
        </w:rPr>
      </w:pPr>
      <w:r>
        <w:rPr>
          <w:snapToGrid w:val="0"/>
        </w:rPr>
        <w:tab/>
      </w:r>
      <w:r>
        <w:rPr>
          <w:snapToGrid w:val="0"/>
        </w:rPr>
        <w:tab/>
        <w:t>by reason of any act, matter or thing done or omitted to be done in good faith, but whether negligently or otherwise, in relation to, or by reason of any defect in, a marine navigational aid established or deemed to have been established under this Act or maintained under this Act.</w:t>
      </w:r>
    </w:p>
    <w:p>
      <w:pPr>
        <w:pStyle w:val="Footnotesection"/>
      </w:pPr>
      <w:r>
        <w:tab/>
        <w:t xml:space="preserve">[Section 4 amended: No. 30 of 1980 s. 2.] </w:t>
      </w:r>
    </w:p>
    <w:p>
      <w:pPr>
        <w:pStyle w:val="Heading5"/>
        <w:rPr>
          <w:snapToGrid w:val="0"/>
        </w:rPr>
      </w:pPr>
      <w:bookmarkStart w:id="8" w:name="_Toc33602846"/>
      <w:r>
        <w:rPr>
          <w:rStyle w:val="CharSectno"/>
        </w:rPr>
        <w:t>5</w:t>
      </w:r>
      <w:r>
        <w:rPr>
          <w:snapToGrid w:val="0"/>
        </w:rPr>
        <w:t>.</w:t>
      </w:r>
      <w:r>
        <w:rPr>
          <w:snapToGrid w:val="0"/>
        </w:rPr>
        <w:tab/>
        <w:t>Offence</w:t>
      </w:r>
      <w:bookmarkEnd w:id="8"/>
      <w:r>
        <w:rPr>
          <w:snapToGrid w:val="0"/>
        </w:rPr>
        <w:t xml:space="preserve"> </w:t>
      </w:r>
    </w:p>
    <w:p>
      <w:pPr>
        <w:pStyle w:val="Subsection"/>
        <w:rPr>
          <w:snapToGrid w:val="0"/>
        </w:rPr>
      </w:pPr>
      <w:r>
        <w:rPr>
          <w:snapToGrid w:val="0"/>
        </w:rPr>
        <w:tab/>
        <w:t>(1)</w:t>
      </w:r>
      <w:r>
        <w:rPr>
          <w:snapToGrid w:val="0"/>
        </w:rPr>
        <w:tab/>
        <w:t xml:space="preserve">A person who wilfully or negligently does anything which </w:t>
      </w:r>
      <w:r>
        <w:t>causes damage to or</w:t>
      </w:r>
      <w:r>
        <w:rPr>
          <w:snapToGrid w:val="0"/>
        </w:rPr>
        <w:t xml:space="preserve"> interferes with the operation of, or the use by a person of, a marine navigational aid established or deemed to have been established under this Act so as to hinder the effective operation, or use, of the aid commits an offence.</w:t>
      </w:r>
    </w:p>
    <w:p>
      <w:pPr>
        <w:pStyle w:val="Penstart"/>
      </w:pPr>
      <w:r>
        <w:tab/>
        <w:t>Penalty for this subsection: a fine of $12 000.</w:t>
      </w:r>
    </w:p>
    <w:p>
      <w:pPr>
        <w:pStyle w:val="Subsection"/>
        <w:rPr>
          <w:snapToGrid w:val="0"/>
        </w:rPr>
      </w:pPr>
      <w:r>
        <w:rPr>
          <w:snapToGrid w:val="0"/>
        </w:rPr>
        <w:tab/>
        <w:t>(2)</w:t>
      </w:r>
      <w:r>
        <w:rPr>
          <w:snapToGrid w:val="0"/>
        </w:rPr>
        <w:tab/>
        <w:t>In addition to the penalty, a person convicted of an offence against subsection (1) may be ordered to pay the amount of the damage to the marine navigational aid caused by the commission of the offence, or the cost of repairing, replacing or reinstating the aid.</w:t>
      </w:r>
    </w:p>
    <w:p>
      <w:pPr>
        <w:pStyle w:val="Footnotesection"/>
      </w:pPr>
      <w:r>
        <w:tab/>
        <w:t xml:space="preserve">[Section 5 amended: No. 30 of 1980 s. 3; No. 2 of 2019 s. 40.] </w:t>
      </w:r>
    </w:p>
    <w:p>
      <w:pPr>
        <w:pStyle w:val="Heading5"/>
      </w:pPr>
      <w:bookmarkStart w:id="9" w:name="_Toc33602847"/>
      <w:r>
        <w:rPr>
          <w:rStyle w:val="CharSectno"/>
        </w:rPr>
        <w:t>6</w:t>
      </w:r>
      <w:r>
        <w:t>.</w:t>
      </w:r>
      <w:r>
        <w:tab/>
        <w:t>Delegation</w:t>
      </w:r>
      <w:bookmarkEnd w:id="9"/>
    </w:p>
    <w:p>
      <w:pPr>
        <w:pStyle w:val="Subsection"/>
      </w:pPr>
      <w:r>
        <w:tab/>
        <w:t>(1)</w:t>
      </w:r>
      <w:r>
        <w:tab/>
        <w:t>The chief executive officer may delegate to an officer of the department any power or duty the chief executive officer has under another provision of this Act.</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 officer to perform a function through an officer of the department or an agent.</w:t>
      </w:r>
    </w:p>
    <w:p>
      <w:pPr>
        <w:pStyle w:val="Footnotesection"/>
      </w:pPr>
      <w:r>
        <w:tab/>
        <w:t xml:space="preserve">[Section 6 inserted: No. 2 of 2019 s. 41.] </w:t>
      </w:r>
    </w:p>
    <w:p>
      <w:pPr>
        <w:pStyle w:val="Heading5"/>
      </w:pPr>
      <w:bookmarkStart w:id="10" w:name="_Toc33602848"/>
      <w:r>
        <w:rPr>
          <w:rStyle w:val="CharSectno"/>
        </w:rPr>
        <w:t>7</w:t>
      </w:r>
      <w:r>
        <w:t>.</w:t>
      </w:r>
      <w:r>
        <w:tab/>
        <w:t>Regulations</w:t>
      </w:r>
      <w:bookmarkEnd w:id="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provide for the following — </w:t>
      </w:r>
    </w:p>
    <w:p>
      <w:pPr>
        <w:pStyle w:val="Indenta"/>
      </w:pPr>
      <w:r>
        <w:tab/>
        <w:t>(a)</w:t>
      </w:r>
      <w:r>
        <w:tab/>
        <w:t>require a person to report the details of an incident that results in damage to a marine navigational aid;</w:t>
      </w:r>
    </w:p>
    <w:p>
      <w:pPr>
        <w:pStyle w:val="Indenta"/>
      </w:pPr>
      <w:r>
        <w:tab/>
        <w:t>(b)</w:t>
      </w:r>
      <w:r>
        <w:tab/>
        <w:t>prohibit a person from attaching or fastening a vessel or any other thing to a marine navigational aid;</w:t>
      </w:r>
    </w:p>
    <w:p>
      <w:pPr>
        <w:pStyle w:val="Indenta"/>
      </w:pPr>
      <w:r>
        <w:tab/>
        <w:t>(c)</w:t>
      </w:r>
      <w:r>
        <w:tab/>
        <w:t>require a person, when directed to do so by an inspector or an authorised person, to detach or unfasten a vessel or any other thing attached or fastened to a marine navigational aid;</w:t>
      </w:r>
    </w:p>
    <w:p>
      <w:pPr>
        <w:pStyle w:val="Indenta"/>
      </w:pPr>
      <w:r>
        <w:tab/>
        <w:t>(d)</w:t>
      </w:r>
      <w:r>
        <w:tab/>
        <w:t>prohibit a person from using a vessel or any other thing in a way that might damage a marine navigational aid;</w:t>
      </w:r>
    </w:p>
    <w:p>
      <w:pPr>
        <w:pStyle w:val="Indenta"/>
      </w:pPr>
      <w:r>
        <w:tab/>
        <w:t>(e)</w:t>
      </w:r>
      <w:r>
        <w:tab/>
        <w:t>provide that contravention of a regulation is an offence and, for an offence against the regulations, provide for a penalty not exceeding a fine of $12 000;</w:t>
      </w:r>
    </w:p>
    <w:p>
      <w:pPr>
        <w:pStyle w:val="Indenta"/>
      </w:pPr>
      <w:r>
        <w:tab/>
        <w:t>(f)</w:t>
      </w:r>
      <w:r>
        <w:tab/>
        <w:t>provide that a person convicted of an offence against the regulations may be ordered to pay the amount of the damage to a marine navigational aid caused by the commission of the offence, or the cost of repairing, replacing or reinstating the aid.</w:t>
      </w:r>
    </w:p>
    <w:p>
      <w:pPr>
        <w:pStyle w:val="Footnotesection"/>
      </w:pPr>
      <w:r>
        <w:tab/>
        <w:t xml:space="preserve">[Section 7 inserted: No. 2 of 2019 s. 41.]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1" w:name="_Toc32496082"/>
      <w:bookmarkStart w:id="12" w:name="_Toc32496094"/>
      <w:bookmarkStart w:id="13" w:name="_Toc33602849"/>
      <w:r>
        <w:t>Notes</w:t>
      </w:r>
      <w:bookmarkEnd w:id="11"/>
      <w:bookmarkEnd w:id="12"/>
      <w:bookmarkEnd w:id="13"/>
    </w:p>
    <w:p>
      <w:pPr>
        <w:pStyle w:val="nStatement"/>
      </w:pPr>
      <w:r>
        <w:t xml:space="preserve">This is a compilation of the </w:t>
      </w:r>
      <w:r>
        <w:rPr>
          <w:i/>
          <w:noProof/>
        </w:rPr>
        <w:t>Marine Navigational Aids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 w:name="_Toc33602850"/>
      <w: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66"/>
      </w:tblGrid>
      <w:tr>
        <w:trPr>
          <w:cantSplit/>
          <w:tblHeader/>
        </w:trPr>
        <w:tc>
          <w:tcPr>
            <w:tcW w:w="2273" w:type="dxa"/>
            <w:tcBorders>
              <w:top w:val="single" w:sz="12" w:space="0" w:color="auto"/>
              <w:bottom w:val="single" w:sz="12" w:space="0" w:color="auto"/>
            </w:tcBorders>
          </w:tcPr>
          <w:p>
            <w:pPr>
              <w:pStyle w:val="nTable"/>
              <w:spacing w:before="60" w:after="60"/>
              <w:ind w:right="113"/>
              <w:rPr>
                <w:b/>
              </w:rPr>
            </w:pPr>
            <w:r>
              <w:rPr>
                <w:b/>
              </w:rPr>
              <w:t>Short title</w:t>
            </w:r>
          </w:p>
        </w:tc>
        <w:tc>
          <w:tcPr>
            <w:tcW w:w="1139" w:type="dxa"/>
            <w:tcBorders>
              <w:top w:val="single" w:sz="12" w:space="0" w:color="auto"/>
              <w:bottom w:val="single" w:sz="12" w:space="0" w:color="auto"/>
            </w:tcBorders>
          </w:tcPr>
          <w:p>
            <w:pPr>
              <w:pStyle w:val="nTable"/>
              <w:spacing w:before="60" w:after="60"/>
              <w:rPr>
                <w:b/>
              </w:rPr>
            </w:pPr>
            <w:r>
              <w:rPr>
                <w:b/>
              </w:rPr>
              <w:t>Number and year</w:t>
            </w:r>
          </w:p>
        </w:tc>
        <w:tc>
          <w:tcPr>
            <w:tcW w:w="1138" w:type="dxa"/>
            <w:tcBorders>
              <w:top w:val="single" w:sz="12" w:space="0" w:color="auto"/>
              <w:bottom w:val="single" w:sz="12" w:space="0" w:color="auto"/>
            </w:tcBorders>
          </w:tcPr>
          <w:p>
            <w:pPr>
              <w:pStyle w:val="nTable"/>
              <w:spacing w:before="60" w:after="60"/>
              <w:rPr>
                <w:b/>
              </w:rPr>
            </w:pPr>
            <w:r>
              <w:rPr>
                <w:b/>
              </w:rPr>
              <w:t>Assent</w:t>
            </w:r>
          </w:p>
        </w:tc>
        <w:tc>
          <w:tcPr>
            <w:tcW w:w="2566"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73" w:type="dxa"/>
          </w:tcPr>
          <w:p>
            <w:pPr>
              <w:pStyle w:val="nTable"/>
              <w:spacing w:before="120"/>
              <w:ind w:right="113"/>
            </w:pPr>
            <w:r>
              <w:rPr>
                <w:i/>
              </w:rPr>
              <w:t>Marine Navigational Aids Act 1973</w:t>
            </w:r>
          </w:p>
        </w:tc>
        <w:tc>
          <w:tcPr>
            <w:tcW w:w="1139" w:type="dxa"/>
          </w:tcPr>
          <w:p>
            <w:pPr>
              <w:pStyle w:val="nTable"/>
              <w:spacing w:before="120"/>
            </w:pPr>
            <w:r>
              <w:t>27 of 1973</w:t>
            </w:r>
          </w:p>
        </w:tc>
        <w:tc>
          <w:tcPr>
            <w:tcW w:w="1138" w:type="dxa"/>
          </w:tcPr>
          <w:p>
            <w:pPr>
              <w:pStyle w:val="nTable"/>
              <w:spacing w:before="120"/>
            </w:pPr>
            <w:r>
              <w:t>6 Jun 1973</w:t>
            </w:r>
          </w:p>
        </w:tc>
        <w:tc>
          <w:tcPr>
            <w:tcW w:w="2566" w:type="dxa"/>
          </w:tcPr>
          <w:p>
            <w:pPr>
              <w:pStyle w:val="nTable"/>
              <w:spacing w:before="120"/>
            </w:pPr>
            <w:r>
              <w:t>6 Jun 1973</w:t>
            </w:r>
          </w:p>
        </w:tc>
      </w:tr>
      <w:tr>
        <w:trPr>
          <w:cantSplit/>
        </w:trPr>
        <w:tc>
          <w:tcPr>
            <w:tcW w:w="2273" w:type="dxa"/>
          </w:tcPr>
          <w:p>
            <w:pPr>
              <w:pStyle w:val="nTable"/>
              <w:spacing w:before="120"/>
              <w:ind w:right="113"/>
              <w:rPr>
                <w:i/>
              </w:rPr>
            </w:pPr>
            <w:r>
              <w:rPr>
                <w:i/>
              </w:rPr>
              <w:t>Marine Navigational Aids Act Amendment Act 1977</w:t>
            </w:r>
          </w:p>
        </w:tc>
        <w:tc>
          <w:tcPr>
            <w:tcW w:w="1139" w:type="dxa"/>
          </w:tcPr>
          <w:p>
            <w:pPr>
              <w:pStyle w:val="nTable"/>
              <w:spacing w:before="120"/>
            </w:pPr>
            <w:r>
              <w:t>66 of 1977</w:t>
            </w:r>
          </w:p>
        </w:tc>
        <w:tc>
          <w:tcPr>
            <w:tcW w:w="1138" w:type="dxa"/>
          </w:tcPr>
          <w:p>
            <w:pPr>
              <w:pStyle w:val="nTable"/>
              <w:spacing w:before="120"/>
            </w:pPr>
            <w:r>
              <w:t>28 Nov 1977</w:t>
            </w:r>
          </w:p>
        </w:tc>
        <w:tc>
          <w:tcPr>
            <w:tcW w:w="2566" w:type="dxa"/>
          </w:tcPr>
          <w:p>
            <w:pPr>
              <w:pStyle w:val="nTable"/>
              <w:spacing w:before="120"/>
            </w:pPr>
            <w:r>
              <w:t>28 Nov 1977</w:t>
            </w:r>
          </w:p>
        </w:tc>
      </w:tr>
      <w:tr>
        <w:trPr>
          <w:cantSplit/>
        </w:trPr>
        <w:tc>
          <w:tcPr>
            <w:tcW w:w="2273" w:type="dxa"/>
          </w:tcPr>
          <w:p>
            <w:pPr>
              <w:pStyle w:val="nTable"/>
              <w:spacing w:before="120"/>
              <w:ind w:right="113"/>
              <w:rPr>
                <w:i/>
              </w:rPr>
            </w:pPr>
            <w:r>
              <w:rPr>
                <w:i/>
              </w:rPr>
              <w:t>Marine Navigational Aids Act Amendment Act 1978</w:t>
            </w:r>
          </w:p>
        </w:tc>
        <w:tc>
          <w:tcPr>
            <w:tcW w:w="1139" w:type="dxa"/>
          </w:tcPr>
          <w:p>
            <w:pPr>
              <w:pStyle w:val="nTable"/>
              <w:spacing w:before="120"/>
            </w:pPr>
            <w:r>
              <w:t>83 of 1978</w:t>
            </w:r>
          </w:p>
        </w:tc>
        <w:tc>
          <w:tcPr>
            <w:tcW w:w="1138" w:type="dxa"/>
          </w:tcPr>
          <w:p>
            <w:pPr>
              <w:pStyle w:val="nTable"/>
              <w:spacing w:before="120"/>
            </w:pPr>
            <w:r>
              <w:t>27 Oct 1978</w:t>
            </w:r>
          </w:p>
        </w:tc>
        <w:tc>
          <w:tcPr>
            <w:tcW w:w="2566" w:type="dxa"/>
          </w:tcPr>
          <w:p>
            <w:pPr>
              <w:pStyle w:val="nTable"/>
              <w:spacing w:before="120"/>
            </w:pPr>
            <w:r>
              <w:t xml:space="preserve">1 Jul 1985 (see s. 2 and </w:t>
            </w:r>
            <w:r>
              <w:rPr>
                <w:i/>
              </w:rPr>
              <w:t>Gazette</w:t>
            </w:r>
            <w:r>
              <w:t xml:space="preserve"> 28 Jun 1985 p. 2292)</w:t>
            </w:r>
          </w:p>
        </w:tc>
      </w:tr>
      <w:tr>
        <w:trPr>
          <w:cantSplit/>
        </w:trPr>
        <w:tc>
          <w:tcPr>
            <w:tcW w:w="2273" w:type="dxa"/>
          </w:tcPr>
          <w:p>
            <w:pPr>
              <w:pStyle w:val="nTable"/>
              <w:spacing w:before="120"/>
              <w:ind w:right="113"/>
              <w:rPr>
                <w:i/>
              </w:rPr>
            </w:pPr>
            <w:r>
              <w:rPr>
                <w:i/>
              </w:rPr>
              <w:t>Marine Navigational Aids Amendment Act 1980</w:t>
            </w:r>
          </w:p>
        </w:tc>
        <w:tc>
          <w:tcPr>
            <w:tcW w:w="1139" w:type="dxa"/>
          </w:tcPr>
          <w:p>
            <w:pPr>
              <w:pStyle w:val="nTable"/>
              <w:spacing w:before="120"/>
            </w:pPr>
            <w:r>
              <w:t>31 of 1980</w:t>
            </w:r>
          </w:p>
        </w:tc>
        <w:tc>
          <w:tcPr>
            <w:tcW w:w="1138" w:type="dxa"/>
          </w:tcPr>
          <w:p>
            <w:pPr>
              <w:pStyle w:val="nTable"/>
              <w:spacing w:before="120"/>
            </w:pPr>
            <w:r>
              <w:t>28 Oct 1980</w:t>
            </w:r>
          </w:p>
        </w:tc>
        <w:tc>
          <w:tcPr>
            <w:tcW w:w="2566" w:type="dxa"/>
          </w:tcPr>
          <w:p>
            <w:pPr>
              <w:pStyle w:val="nTable"/>
              <w:spacing w:before="120"/>
            </w:pPr>
            <w:r>
              <w:t>28 Oct 1980</w:t>
            </w:r>
          </w:p>
        </w:tc>
      </w:tr>
      <w:tr>
        <w:trPr>
          <w:cantSplit/>
        </w:trPr>
        <w:tc>
          <w:tcPr>
            <w:tcW w:w="2273" w:type="dxa"/>
          </w:tcPr>
          <w:p>
            <w:pPr>
              <w:pStyle w:val="nTable"/>
              <w:spacing w:before="120"/>
              <w:ind w:right="113"/>
            </w:pPr>
            <w:r>
              <w:rPr>
                <w:i/>
              </w:rPr>
              <w:t>Acts Amendment (Department of Transport) Act 1993</w:t>
            </w:r>
            <w:r>
              <w:t xml:space="preserve"> Pt. 10</w:t>
            </w:r>
          </w:p>
        </w:tc>
        <w:tc>
          <w:tcPr>
            <w:tcW w:w="1139" w:type="dxa"/>
          </w:tcPr>
          <w:p>
            <w:pPr>
              <w:pStyle w:val="nTable"/>
              <w:spacing w:before="120"/>
            </w:pPr>
            <w:r>
              <w:t>47 of 1993</w:t>
            </w:r>
          </w:p>
        </w:tc>
        <w:tc>
          <w:tcPr>
            <w:tcW w:w="1138" w:type="dxa"/>
          </w:tcPr>
          <w:p>
            <w:pPr>
              <w:pStyle w:val="nTable"/>
              <w:spacing w:before="120"/>
            </w:pPr>
            <w:r>
              <w:t>20 Dec 1993</w:t>
            </w:r>
          </w:p>
        </w:tc>
        <w:tc>
          <w:tcPr>
            <w:tcW w:w="2566" w:type="dxa"/>
          </w:tcPr>
          <w:p>
            <w:pPr>
              <w:pStyle w:val="nTable"/>
              <w:spacing w:before="120"/>
            </w:pPr>
            <w:r>
              <w:t xml:space="preserve">1 Jan 1994 (see s. 2 and </w:t>
            </w:r>
            <w:r>
              <w:rPr>
                <w:i/>
              </w:rPr>
              <w:t>Gazette</w:t>
            </w:r>
            <w:r>
              <w:t xml:space="preserve"> 31 Dec 1993 p. 6861)</w:t>
            </w:r>
          </w:p>
        </w:tc>
      </w:tr>
      <w:tr>
        <w:trPr>
          <w:cantSplit/>
        </w:trPr>
        <w:tc>
          <w:tcPr>
            <w:tcW w:w="2273" w:type="dxa"/>
          </w:tcPr>
          <w:p>
            <w:pPr>
              <w:pStyle w:val="nTable"/>
              <w:spacing w:before="120"/>
              <w:ind w:right="113"/>
            </w:pPr>
            <w:r>
              <w:rPr>
                <w:i/>
              </w:rPr>
              <w:t>Fish Resources Management Act 1994</w:t>
            </w:r>
            <w:r>
              <w:t xml:space="preserve"> s. 264</w:t>
            </w:r>
          </w:p>
        </w:tc>
        <w:tc>
          <w:tcPr>
            <w:tcW w:w="1139" w:type="dxa"/>
          </w:tcPr>
          <w:p>
            <w:pPr>
              <w:pStyle w:val="nTable"/>
              <w:spacing w:before="120"/>
            </w:pPr>
            <w:r>
              <w:t>53 of 1994</w:t>
            </w:r>
          </w:p>
        </w:tc>
        <w:tc>
          <w:tcPr>
            <w:tcW w:w="1138" w:type="dxa"/>
          </w:tcPr>
          <w:p>
            <w:pPr>
              <w:pStyle w:val="nTable"/>
              <w:spacing w:before="120"/>
            </w:pPr>
            <w:r>
              <w:t>2 Nov 1994</w:t>
            </w:r>
          </w:p>
        </w:tc>
        <w:tc>
          <w:tcPr>
            <w:tcW w:w="2566" w:type="dxa"/>
          </w:tcPr>
          <w:p>
            <w:pPr>
              <w:pStyle w:val="nTable"/>
              <w:spacing w:before="120"/>
            </w:pPr>
            <w:r>
              <w:t xml:space="preserve">1 Oct 1995 (see s. 2 and </w:t>
            </w:r>
            <w:r>
              <w:rPr>
                <w:i/>
              </w:rPr>
              <w:t>Gazette</w:t>
            </w:r>
            <w:r>
              <w:t xml:space="preserve"> 29 Sep 1995 p. 4649)</w:t>
            </w:r>
          </w:p>
        </w:tc>
      </w:tr>
      <w:tr>
        <w:trPr>
          <w:cantSplit/>
        </w:trPr>
        <w:tc>
          <w:tcPr>
            <w:tcW w:w="7116" w:type="dxa"/>
            <w:gridSpan w:val="4"/>
          </w:tcPr>
          <w:p>
            <w:pPr>
              <w:pStyle w:val="nTable"/>
              <w:spacing w:before="120"/>
            </w:pPr>
            <w:r>
              <w:rPr>
                <w:b/>
              </w:rPr>
              <w:t xml:space="preserve">Reprint of the </w:t>
            </w:r>
            <w:r>
              <w:rPr>
                <w:b/>
                <w:i/>
              </w:rPr>
              <w:t xml:space="preserve">Marine Navigational Aids Act 1973 </w:t>
            </w:r>
            <w:r>
              <w:rPr>
                <w:b/>
              </w:rPr>
              <w:t>as at 31 May 2002</w:t>
            </w:r>
            <w:r>
              <w:rPr>
                <w:b/>
              </w:rPr>
              <w:br/>
            </w:r>
            <w:r>
              <w:t>(includes amendments listed above)</w:t>
            </w:r>
          </w:p>
        </w:tc>
      </w:tr>
      <w:tr>
        <w:trPr>
          <w:cantSplit/>
        </w:trPr>
        <w:tc>
          <w:tcPr>
            <w:tcW w:w="2273" w:type="dxa"/>
            <w:tcBorders>
              <w:bottom w:val="single" w:sz="8" w:space="0" w:color="auto"/>
            </w:tcBorders>
          </w:tcPr>
          <w:p>
            <w:pPr>
              <w:pStyle w:val="nTable"/>
              <w:spacing w:after="40"/>
              <w:ind w:right="113"/>
              <w:rPr>
                <w:snapToGrid w:val="0"/>
              </w:rPr>
            </w:pPr>
            <w:r>
              <w:rPr>
                <w:i/>
              </w:rPr>
              <w:t>Ports Legislation Amendment Act 2019</w:t>
            </w:r>
            <w:r>
              <w:t xml:space="preserve"> Pt. 5</w:t>
            </w:r>
          </w:p>
        </w:tc>
        <w:tc>
          <w:tcPr>
            <w:tcW w:w="1139" w:type="dxa"/>
            <w:tcBorders>
              <w:bottom w:val="single" w:sz="8" w:space="0" w:color="auto"/>
            </w:tcBorders>
          </w:tcPr>
          <w:p>
            <w:pPr>
              <w:pStyle w:val="nTable"/>
              <w:spacing w:after="40"/>
              <w:rPr>
                <w:snapToGrid w:val="0"/>
              </w:rPr>
            </w:pPr>
            <w:r>
              <w:rPr>
                <w:snapToGrid w:val="0"/>
              </w:rPr>
              <w:t>2 of 2019</w:t>
            </w:r>
          </w:p>
        </w:tc>
        <w:tc>
          <w:tcPr>
            <w:tcW w:w="1138" w:type="dxa"/>
            <w:tcBorders>
              <w:bottom w:val="single" w:sz="8" w:space="0" w:color="auto"/>
            </w:tcBorders>
          </w:tcPr>
          <w:p>
            <w:pPr>
              <w:pStyle w:val="nTable"/>
              <w:spacing w:after="40"/>
            </w:pPr>
            <w:r>
              <w:t>26 Feb 2019</w:t>
            </w:r>
          </w:p>
        </w:tc>
        <w:tc>
          <w:tcPr>
            <w:tcW w:w="2566" w:type="dxa"/>
            <w:tcBorders>
              <w:bottom w:val="single" w:sz="8" w:space="0" w:color="auto"/>
            </w:tcBorders>
          </w:tcPr>
          <w:p>
            <w:pPr>
              <w:pStyle w:val="nTable"/>
              <w:spacing w:after="40"/>
              <w:rPr>
                <w:snapToGrid w:val="0"/>
              </w:rPr>
            </w:pPr>
            <w:r>
              <w:rPr>
                <w:snapToGrid w:val="0"/>
              </w:rPr>
              <w:t>27 Feb 2019 (see s. 2(b))</w:t>
            </w:r>
          </w:p>
        </w:tc>
      </w:tr>
    </w:tbl>
    <w:p>
      <w:pPr>
        <w:pStyle w:val="nHeading3"/>
      </w:pPr>
      <w:bookmarkStart w:id="15" w:name="_Toc33602851"/>
      <w:r>
        <w:t>Uncommenced provisions table</w:t>
      </w:r>
      <w:bookmarkEnd w:id="1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top w:val="nil"/>
            </w:tcBorders>
          </w:tcPr>
          <w:p>
            <w:pPr>
              <w:pStyle w:val="nTable"/>
              <w:keepNext/>
              <w:spacing w:after="40"/>
              <w:rPr>
                <w:i/>
                <w:noProof/>
              </w:rPr>
            </w:pPr>
            <w:r>
              <w:rPr>
                <w:i/>
                <w:snapToGrid w:val="0"/>
              </w:rPr>
              <w:t>Aquatic Resources Management Act 2016</w:t>
            </w:r>
            <w:r>
              <w:rPr>
                <w:snapToGrid w:val="0"/>
              </w:rPr>
              <w:t xml:space="preserve"> s. 368</w:t>
            </w:r>
          </w:p>
        </w:tc>
        <w:tc>
          <w:tcPr>
            <w:tcW w:w="1134" w:type="dxa"/>
            <w:tcBorders>
              <w:top w:val="nil"/>
            </w:tcBorders>
          </w:tcPr>
          <w:p>
            <w:pPr>
              <w:pStyle w:val="nTable"/>
              <w:keepNext/>
              <w:spacing w:after="40"/>
            </w:pPr>
            <w:r>
              <w:t>53 of 2016</w:t>
            </w:r>
          </w:p>
        </w:tc>
        <w:tc>
          <w:tcPr>
            <w:tcW w:w="1134" w:type="dxa"/>
            <w:tcBorders>
              <w:top w:val="nil"/>
            </w:tcBorders>
          </w:tcPr>
          <w:p>
            <w:pPr>
              <w:pStyle w:val="nTable"/>
              <w:keepNext/>
              <w:spacing w:after="40"/>
            </w:pPr>
            <w:r>
              <w:t>29 Nov 2016</w:t>
            </w:r>
          </w:p>
        </w:tc>
        <w:tc>
          <w:tcPr>
            <w:tcW w:w="2552" w:type="dxa"/>
            <w:tcBorders>
              <w:top w:val="nil"/>
            </w:tcBorders>
          </w:tcPr>
          <w:p>
            <w:pPr>
              <w:pStyle w:val="nTable"/>
              <w:keepNext/>
              <w:spacing w:after="40"/>
            </w:pPr>
            <w:r>
              <w:rPr>
                <w:snapToGrid w:val="0"/>
              </w:rPr>
              <w:t>To be proclaimed (see s. 2(b))</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7" w:name="_Toc32496085"/>
      <w:bookmarkStart w:id="18" w:name="_Toc32496097"/>
      <w:bookmarkStart w:id="19" w:name="_Toc33602852"/>
      <w:r>
        <w:rPr>
          <w:sz w:val="28"/>
        </w:rPr>
        <w:t>Defined terms</w:t>
      </w:r>
      <w:bookmarkEnd w:id="17"/>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executive officer</w:t>
      </w:r>
      <w:r>
        <w:tab/>
        <w:t>2</w:t>
      </w:r>
    </w:p>
    <w:p>
      <w:pPr>
        <w:pStyle w:val="DefinedTerms"/>
      </w:pPr>
      <w:r>
        <w:t>department</w:t>
      </w:r>
      <w:r>
        <w:tab/>
        <w:t>2</w:t>
      </w:r>
    </w:p>
    <w:p>
      <w:pPr>
        <w:pStyle w:val="DefinedTerms"/>
      </w:pPr>
      <w:r>
        <w:t>fishing boat</w:t>
      </w:r>
      <w:r>
        <w:tab/>
        <w:t>3A(3)</w:t>
      </w:r>
    </w:p>
    <w:p>
      <w:pPr>
        <w:pStyle w:val="DefinedTerms"/>
      </w:pPr>
      <w:r>
        <w:t>marine navigational aid</w:t>
      </w:r>
      <w:r>
        <w:tab/>
        <w:t>2</w:t>
      </w:r>
    </w:p>
    <w:p>
      <w:pPr>
        <w:pStyle w:val="DefinedTerms"/>
      </w:pPr>
      <w:r>
        <w:t>port authority</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0138"/>
    <w:docVar w:name="WAFER_20140204085717" w:val="RemoveTocBookmarks,RemoveUnusedBookmarks,RemoveLanguageTags,UsedStyles,ResetPageSize,UpdateArrangement"/>
    <w:docVar w:name="WAFER_20140204085717_GUID" w:val="6e8e532d-9e14-4447-8d47-8d1756343b88"/>
    <w:docVar w:name="WAFER_20140204090329" w:val="RemoveTocBookmarks,RunningHeaders"/>
    <w:docVar w:name="WAFER_20140204090329_GUID" w:val="e87be41a-d9bc-492b-94be-e1fdae436111"/>
    <w:docVar w:name="WAFER_20150603152923" w:val="ResetPageSize,UpdateArrangement,UpdateNTable"/>
    <w:docVar w:name="WAFER_20150603152923_GUID" w:val="20ae070b-0dc7-46ab-b4ac-4869a75489a0"/>
    <w:docVar w:name="WAFER_20151106160749" w:val="UpdateStyles,UsedStyles"/>
    <w:docVar w:name="WAFER_20151106160749_GUID" w:val="166a55f8-c98c-4bcc-b0c9-0106d9977f39"/>
    <w:docVar w:name="WAFER_20190227105106" w:val="RemoveTocBookmarks,RemoveUnusedBookmarks,RemoveLanguageTags,UpdateStyles,UsedStyles,ResetPageSize"/>
    <w:docVar w:name="WAFER_20190227105106_GUID" w:val="fd5fe6ea-0be7-4281-8844-480440ed9c31"/>
    <w:docVar w:name="WAFER_202002131401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138_GUID" w:val="0c4f5406-17c8-45b2-83d7-109c1ffc0a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1711</Words>
  <Characters>7978</Characters>
  <Application>Microsoft Office Word</Application>
  <DocSecurity>0</DocSecurity>
  <Lines>265</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Navigational Aids Act 1973 - 01-c0-02</dc:title>
  <dc:subject/>
  <dc:creator/>
  <cp:keywords/>
  <dc:description/>
  <cp:lastModifiedBy>svcMRProcess</cp:lastModifiedBy>
  <cp:revision>4</cp:revision>
  <cp:lastPrinted>2019-02-27T08:49:00Z</cp:lastPrinted>
  <dcterms:created xsi:type="dcterms:W3CDTF">2020-02-26T01:50:00Z</dcterms:created>
  <dcterms:modified xsi:type="dcterms:W3CDTF">2020-02-26T01:50:00Z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1973</vt:lpwstr>
  </property>
  <property fmtid="{D5CDD505-2E9C-101B-9397-08002B2CF9AE}" pid="3" name="DocumentType">
    <vt:lpwstr>Act</vt:lpwstr>
  </property>
  <property fmtid="{D5CDD505-2E9C-101B-9397-08002B2CF9AE}" pid="4" name="CommencementDate">
    <vt:lpwstr>20190227</vt:lpwstr>
  </property>
  <property fmtid="{D5CDD505-2E9C-101B-9397-08002B2CF9AE}" pid="5" name="AsAtDate">
    <vt:lpwstr>27 Feb 2019</vt:lpwstr>
  </property>
  <property fmtid="{D5CDD505-2E9C-101B-9397-08002B2CF9AE}" pid="6" name="Suffix">
    <vt:lpwstr>01-c0-02</vt:lpwstr>
  </property>
</Properties>
</file>