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Shipping and Pilotage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Shipping and Pilotage Act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_Toc32409438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_Toc32409439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_Toc32409440 \h </w:instrText>
      </w:r>
      <w:r>
        <w:fldChar w:fldCharType="separate"/>
      </w:r>
      <w:r>
        <w:t>2</w:t>
      </w:r>
      <w:r>
        <w:fldChar w:fldCharType="end"/>
      </w:r>
    </w:p>
    <w:p>
      <w:pPr>
        <w:pStyle w:val="TOC8"/>
        <w:rPr>
          <w:rFonts w:asciiTheme="minorHAnsi" w:eastAsiaTheme="minorEastAsia" w:hAnsiTheme="minorHAnsi" w:cstheme="minorBidi"/>
          <w:szCs w:val="22"/>
        </w:rPr>
      </w:pPr>
      <w:r>
        <w:t>4.</w:t>
      </w:r>
      <w:r>
        <w:tab/>
        <w:t>Appointment of harbour masters</w:t>
      </w:r>
      <w:r>
        <w:tab/>
      </w:r>
      <w:r>
        <w:fldChar w:fldCharType="begin"/>
      </w:r>
      <w:r>
        <w:instrText xml:space="preserve"> PAGEREF _Toc32409441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Powers and duties of harbour masters</w:t>
      </w:r>
      <w:r>
        <w:tab/>
      </w:r>
      <w:r>
        <w:fldChar w:fldCharType="begin"/>
      </w:r>
      <w:r>
        <w:instrText xml:space="preserve"> PAGEREF _Toc32409442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unserviceable vessels</w:t>
      </w:r>
      <w:r>
        <w:tab/>
      </w:r>
      <w:r>
        <w:fldChar w:fldCharType="begin"/>
      </w:r>
      <w:r>
        <w:instrText xml:space="preserve"> PAGEREF _Toc32409443 \h </w:instrText>
      </w:r>
      <w:r>
        <w:fldChar w:fldCharType="separate"/>
      </w:r>
      <w:r>
        <w:t>4</w:t>
      </w:r>
      <w:r>
        <w:fldChar w:fldCharType="end"/>
      </w:r>
    </w:p>
    <w:p>
      <w:pPr>
        <w:pStyle w:val="TOC8"/>
        <w:rPr>
          <w:rFonts w:asciiTheme="minorHAnsi" w:eastAsiaTheme="minorEastAsia" w:hAnsiTheme="minorHAnsi" w:cstheme="minorBidi"/>
          <w:szCs w:val="22"/>
        </w:rPr>
      </w:pPr>
      <w:r>
        <w:t>6A.</w:t>
      </w:r>
      <w:r>
        <w:tab/>
        <w:t>Extended application of sections 5 and 6</w:t>
      </w:r>
      <w:r>
        <w:tab/>
      </w:r>
      <w:r>
        <w:fldChar w:fldCharType="begin"/>
      </w:r>
      <w:r>
        <w:instrText xml:space="preserve"> PAGEREF _Toc32409444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Special powers of harbour master in emergencies</w:t>
      </w:r>
      <w:r>
        <w:tab/>
      </w:r>
      <w:r>
        <w:fldChar w:fldCharType="begin"/>
      </w:r>
      <w:r>
        <w:instrText xml:space="preserve"> PAGEREF _Toc32409445 \h </w:instrText>
      </w:r>
      <w:r>
        <w:fldChar w:fldCharType="separate"/>
      </w:r>
      <w:r>
        <w:t>6</w:t>
      </w:r>
      <w:r>
        <w:fldChar w:fldCharType="end"/>
      </w:r>
    </w:p>
    <w:p>
      <w:pPr>
        <w:pStyle w:val="TOC8"/>
        <w:rPr>
          <w:rFonts w:asciiTheme="minorHAnsi" w:eastAsiaTheme="minorEastAsia" w:hAnsiTheme="minorHAnsi" w:cstheme="minorBidi"/>
          <w:szCs w:val="22"/>
        </w:rPr>
      </w:pPr>
      <w:r>
        <w:t>7A.</w:t>
      </w:r>
      <w:r>
        <w:tab/>
        <w:t>Deputy harbour masters: appointment and functions</w:t>
      </w:r>
      <w:r>
        <w:tab/>
      </w:r>
      <w:r>
        <w:fldChar w:fldCharType="begin"/>
      </w:r>
      <w:r>
        <w:instrText xml:space="preserve"> PAGEREF _Toc32409446 \h </w:instrText>
      </w:r>
      <w:r>
        <w:fldChar w:fldCharType="separate"/>
      </w:r>
      <w:r>
        <w:t>6</w:t>
      </w:r>
      <w:r>
        <w:fldChar w:fldCharType="end"/>
      </w:r>
    </w:p>
    <w:p>
      <w:pPr>
        <w:pStyle w:val="TOC8"/>
        <w:rPr>
          <w:rFonts w:asciiTheme="minorHAnsi" w:eastAsiaTheme="minorEastAsia" w:hAnsiTheme="minorHAnsi" w:cstheme="minorBidi"/>
          <w:szCs w:val="22"/>
        </w:rPr>
      </w:pPr>
      <w:r>
        <w:t>8A.</w:t>
      </w:r>
      <w:r>
        <w:tab/>
        <w:t>Protection from liability for wrongdoing</w:t>
      </w:r>
      <w:r>
        <w:tab/>
      </w:r>
      <w:r>
        <w:fldChar w:fldCharType="begin"/>
      </w:r>
      <w:r>
        <w:instrText xml:space="preserve"> PAGEREF _Toc32409447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Conservancy dues</w:t>
      </w:r>
      <w:r>
        <w:tab/>
      </w:r>
      <w:r>
        <w:fldChar w:fldCharType="begin"/>
      </w:r>
      <w:r>
        <w:instrText xml:space="preserve"> PAGEREF _Toc32409448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Pilotage and pilotage charges</w:t>
      </w:r>
      <w:r>
        <w:tab/>
      </w:r>
      <w:r>
        <w:fldChar w:fldCharType="begin"/>
      </w:r>
      <w:r>
        <w:instrText xml:space="preserve"> PAGEREF _Toc32409449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r>
      <w:r>
        <w:t>Boat harbour dues and mooring charges</w:t>
      </w:r>
      <w:r>
        <w:tab/>
      </w:r>
      <w:r>
        <w:fldChar w:fldCharType="begin"/>
      </w:r>
      <w:r>
        <w:instrText xml:space="preserve"> PAGEREF _Toc32409450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Declaration of ports and other areas</w:t>
      </w:r>
      <w:r>
        <w:tab/>
      </w:r>
      <w:r>
        <w:fldChar w:fldCharType="begin"/>
      </w:r>
      <w:r>
        <w:instrText xml:space="preserve"> PAGEREF _Toc32409451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Offences</w:t>
      </w:r>
      <w:r>
        <w:tab/>
      </w:r>
      <w:r>
        <w:fldChar w:fldCharType="begin"/>
      </w:r>
      <w:r>
        <w:instrText xml:space="preserve"> PAGEREF _Toc32409452 \h </w:instrText>
      </w:r>
      <w:r>
        <w:fldChar w:fldCharType="separate"/>
      </w:r>
      <w:r>
        <w:t>13</w:t>
      </w:r>
      <w:r>
        <w:fldChar w:fldCharType="end"/>
      </w:r>
    </w:p>
    <w:p>
      <w:pPr>
        <w:pStyle w:val="TOC8"/>
        <w:rPr>
          <w:rFonts w:asciiTheme="minorHAnsi" w:eastAsiaTheme="minorEastAsia" w:hAnsiTheme="minorHAnsi" w:cstheme="minorBidi"/>
          <w:szCs w:val="22"/>
        </w:rPr>
      </w:pPr>
      <w:r>
        <w:t>11A.</w:t>
      </w:r>
      <w:r>
        <w:tab/>
        <w:t>Delegation</w:t>
      </w:r>
      <w:r>
        <w:tab/>
      </w:r>
      <w:r>
        <w:fldChar w:fldCharType="begin"/>
      </w:r>
      <w:r>
        <w:instrText xml:space="preserve"> PAGEREF _Toc32409453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_Toc32409454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_Toc32409456 \h </w:instrText>
      </w:r>
      <w:r>
        <w:fldChar w:fldCharType="separate"/>
      </w:r>
      <w:r>
        <w:t>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_Toc32409457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_Toc32409458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pacing w:before="600" w:after="720"/>
      </w:pPr>
      <w:r>
        <w:t>Shipping and Pilotage Act 1967</w:t>
      </w:r>
    </w:p>
    <w:p>
      <w:pPr>
        <w:pStyle w:val="LongTitle"/>
        <w:rPr>
          <w:snapToGrid w:val="0"/>
        </w:rPr>
      </w:pPr>
      <w:r>
        <w:rPr>
          <w:snapToGrid w:val="0"/>
        </w:rPr>
        <w:t xml:space="preserve">An Act relating to shipping and pilotage in and about the ports,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No. 88 of 1978 s. 3; No. 2 of 2019 s. 54.]</w:t>
      </w:r>
    </w:p>
    <w:p>
      <w:pPr>
        <w:pStyle w:val="Heading5"/>
        <w:rPr>
          <w:snapToGrid w:val="0"/>
        </w:rPr>
      </w:pPr>
      <w:bookmarkStart w:id="3" w:name="_Toc32409438"/>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rPr>
        <w:t>.</w:t>
      </w:r>
    </w:p>
    <w:p>
      <w:pPr>
        <w:pStyle w:val="Heading5"/>
        <w:rPr>
          <w:snapToGrid w:val="0"/>
        </w:rPr>
      </w:pPr>
      <w:bookmarkStart w:id="4" w:name="_Toc32409439"/>
      <w:r>
        <w:rPr>
          <w:rStyle w:val="CharSectno"/>
        </w:rPr>
        <w:t>2</w:t>
      </w:r>
      <w:r>
        <w:rPr>
          <w:snapToGrid w:val="0"/>
        </w:rPr>
        <w:t>.</w:t>
      </w:r>
      <w:r>
        <w:rPr>
          <w:snapToGrid w:val="0"/>
        </w:rPr>
        <w:tab/>
        <w:t>Repeal</w:t>
      </w:r>
      <w:bookmarkEnd w:id="4"/>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p>
    <w:p>
      <w:pPr>
        <w:pStyle w:val="Heading5"/>
        <w:rPr>
          <w:snapToGrid w:val="0"/>
        </w:rPr>
      </w:pPr>
      <w:bookmarkStart w:id="5" w:name="_Toc32409440"/>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boat harbour</w:t>
      </w:r>
      <w:r>
        <w:t xml:space="preserve"> means any place declared for the time being to be a boat harbour under section 10(2);</w:t>
      </w:r>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when used in relation to a boat harbour or a mooring control area, means the body corporate or the CEO, as the case may be, specified as the controlling authority of the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 No. 88 of 1978 s. 4; No. 26 of 1984 s. 3; No. 46 of 1993 s. 42; No. 47 of 1993 s. 29; No. 5 of 1999 s. 21 and 24(2); No. 71 of 2006 s. 4; No. 2 of 2019 s. 55, 60 and 61.]</w:t>
      </w:r>
    </w:p>
    <w:p>
      <w:pPr>
        <w:pStyle w:val="Heading5"/>
      </w:pPr>
      <w:bookmarkStart w:id="6" w:name="_Toc32409441"/>
      <w:r>
        <w:rPr>
          <w:rStyle w:val="CharSectno"/>
        </w:rPr>
        <w:t>4</w:t>
      </w:r>
      <w:r>
        <w:t>.</w:t>
      </w:r>
      <w:r>
        <w:tab/>
        <w:t>Appointment of harbour masters</w:t>
      </w:r>
      <w:bookmarkEnd w:id="6"/>
    </w:p>
    <w:p>
      <w:pPr>
        <w:pStyle w:val="Subsection"/>
      </w:pPr>
      <w:r>
        <w:tab/>
      </w:r>
      <w:r>
        <w:tab/>
        <w:t>The Minister may, in writing, appoint any person to be the harbour master of a port.</w:t>
      </w:r>
    </w:p>
    <w:p>
      <w:pPr>
        <w:pStyle w:val="Footnotesection"/>
      </w:pPr>
      <w:r>
        <w:tab/>
        <w:t>[Section 4 inserted: No. 71 of 2006 s. 5.]</w:t>
      </w:r>
    </w:p>
    <w:p>
      <w:pPr>
        <w:pStyle w:val="Heading5"/>
        <w:rPr>
          <w:snapToGrid w:val="0"/>
        </w:rPr>
      </w:pPr>
      <w:bookmarkStart w:id="7" w:name="_Toc32409442"/>
      <w:r>
        <w:rPr>
          <w:rStyle w:val="CharSectno"/>
        </w:rPr>
        <w:t>5</w:t>
      </w:r>
      <w:r>
        <w:rPr>
          <w:snapToGrid w:val="0"/>
        </w:rPr>
        <w:t>.</w:t>
      </w:r>
      <w:r>
        <w:rPr>
          <w:snapToGrid w:val="0"/>
        </w:rPr>
        <w:tab/>
        <w:t>Powers and duties of harbour masters</w:t>
      </w:r>
      <w:bookmarkEnd w:id="7"/>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No. 65 of 1988 s. 4; No. 6 of 1993 s. 11; No. 49 of 1996 s. 64; No. 77 of 2006 s. 4; No. 42 of 2011 s. 105.]</w:t>
      </w:r>
    </w:p>
    <w:p>
      <w:pPr>
        <w:pStyle w:val="Heading5"/>
        <w:rPr>
          <w:snapToGrid w:val="0"/>
        </w:rPr>
      </w:pPr>
      <w:bookmarkStart w:id="8" w:name="_Toc32409443"/>
      <w:r>
        <w:rPr>
          <w:rStyle w:val="CharSectno"/>
        </w:rPr>
        <w:t>6</w:t>
      </w:r>
      <w:r>
        <w:rPr>
          <w:snapToGrid w:val="0"/>
        </w:rPr>
        <w:t>.</w:t>
      </w:r>
      <w:r>
        <w:rPr>
          <w:snapToGrid w:val="0"/>
        </w:rPr>
        <w:tab/>
        <w:t>Removal of unserviceable vessels</w:t>
      </w:r>
      <w:bookmarkEnd w:id="8"/>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Ednotesubsection"/>
      </w:pPr>
      <w:r>
        <w:tab/>
        <w:t>[(4)</w:t>
      </w:r>
      <w:r>
        <w:tab/>
        <w:t>deleted]</w:t>
      </w:r>
    </w:p>
    <w:p>
      <w:pPr>
        <w:pStyle w:val="Footnotesection"/>
      </w:pPr>
      <w:r>
        <w:tab/>
        <w:t>[Section 6 amended: No. 71 of 2006 s. 6; No. 9 of 2014 s. 38.]</w:t>
      </w:r>
    </w:p>
    <w:p>
      <w:pPr>
        <w:pStyle w:val="Heading5"/>
      </w:pPr>
      <w:bookmarkStart w:id="9" w:name="_Toc32409444"/>
      <w:r>
        <w:rPr>
          <w:rStyle w:val="CharSectno"/>
        </w:rPr>
        <w:t>6A</w:t>
      </w:r>
      <w:r>
        <w:t>.</w:t>
      </w:r>
      <w:r>
        <w:tab/>
        <w:t>Extended application of sections 5 and 6</w:t>
      </w:r>
      <w:bookmarkEnd w:id="9"/>
    </w:p>
    <w:p>
      <w:pPr>
        <w:pStyle w:val="Subsection"/>
      </w:pPr>
      <w:r>
        <w:tab/>
        <w:t>(1)</w:t>
      </w:r>
      <w:r>
        <w:tab/>
        <w:t xml:space="preserve">In this section — </w:t>
      </w:r>
    </w:p>
    <w:p>
      <w:pPr>
        <w:pStyle w:val="Defstart"/>
      </w:pPr>
      <w:r>
        <w:tab/>
      </w:r>
      <w:r>
        <w:rPr>
          <w:rStyle w:val="CharDefText"/>
        </w:rPr>
        <w:t>declared area</w:t>
      </w:r>
      <w:r>
        <w:t xml:space="preserve"> means a boat harbour or mooring control area.</w:t>
      </w:r>
    </w:p>
    <w:p>
      <w:pPr>
        <w:pStyle w:val="Subsection"/>
      </w:pPr>
      <w:r>
        <w:tab/>
        <w:t>(2)</w:t>
      </w:r>
      <w:r>
        <w:tab/>
        <w:t xml:space="preserve">If the CEO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were a reference to the CEO.</w:t>
      </w:r>
    </w:p>
    <w:p>
      <w:pPr>
        <w:pStyle w:val="Subsection"/>
      </w:pPr>
      <w:r>
        <w:tab/>
        <w:t>(3)</w:t>
      </w:r>
      <w:r>
        <w:tab/>
        <w:t xml:space="preserve">If a body corporate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(other than a reference to which paragraph (c) or (e) applies) were a reference to the body corporate; and</w:t>
      </w:r>
    </w:p>
    <w:p>
      <w:pPr>
        <w:pStyle w:val="Indenta"/>
      </w:pPr>
      <w:r>
        <w:tab/>
        <w:t>(c)</w:t>
      </w:r>
      <w:r>
        <w:tab/>
        <w:t>the reference in section 6(1) to the opinion of a harbour master were a reference to the opinion of a delegate of the body corporate; and</w:t>
      </w:r>
    </w:p>
    <w:p>
      <w:pPr>
        <w:pStyle w:val="Indenta"/>
      </w:pPr>
      <w:r>
        <w:tab/>
        <w:t>(d)</w:t>
      </w:r>
      <w:r>
        <w:tab/>
        <w:t>the reference in section 6(2) to the Crown were a reference to the body corporate; and</w:t>
      </w:r>
    </w:p>
    <w:p>
      <w:pPr>
        <w:pStyle w:val="Indenta"/>
      </w:pPr>
      <w:r>
        <w:tab/>
        <w:t>(e)</w:t>
      </w:r>
      <w:r>
        <w:tab/>
        <w:t>the reference in section 6(3) to the harbour master being satisfied were a reference to a delegate of the body corporate being satisfied.</w:t>
      </w:r>
    </w:p>
    <w:p>
      <w:pPr>
        <w:pStyle w:val="Footnotesection"/>
      </w:pPr>
      <w:r>
        <w:tab/>
        <w:t>[Section 6A inserted: No. 9 of 2014 s. 39; amended: No. 2 of 2019 s. 60 and 61.]</w:t>
      </w:r>
    </w:p>
    <w:p>
      <w:pPr>
        <w:pStyle w:val="Heading5"/>
        <w:rPr>
          <w:snapToGrid w:val="0"/>
        </w:rPr>
      </w:pPr>
      <w:bookmarkStart w:id="10" w:name="_Toc32409445"/>
      <w:r>
        <w:rPr>
          <w:rStyle w:val="CharSectno"/>
        </w:rPr>
        <w:t>7</w:t>
      </w:r>
      <w:r>
        <w:rPr>
          <w:snapToGrid w:val="0"/>
        </w:rPr>
        <w:t>.</w:t>
      </w:r>
      <w:r>
        <w:rPr>
          <w:snapToGrid w:val="0"/>
        </w:rPr>
        <w:tab/>
        <w:t>Special powers of harbour master in emergencies</w:t>
      </w:r>
      <w:bookmarkEnd w:id="10"/>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Ednotesubsection"/>
      </w:pPr>
      <w:r>
        <w:tab/>
        <w:t>[(2)</w:t>
      </w:r>
      <w:r>
        <w:tab/>
        <w:t>deleted]</w:t>
      </w:r>
    </w:p>
    <w:p>
      <w:pPr>
        <w:pStyle w:val="Footnotesection"/>
      </w:pPr>
      <w:r>
        <w:tab/>
        <w:t>[Section 7 amended: No. 9 of 2014 s. 40.]</w:t>
      </w:r>
    </w:p>
    <w:p>
      <w:pPr>
        <w:pStyle w:val="Heading5"/>
      </w:pPr>
      <w:bookmarkStart w:id="11" w:name="_Toc32409446"/>
      <w:r>
        <w:rPr>
          <w:rStyle w:val="CharSectno"/>
        </w:rPr>
        <w:t>7A</w:t>
      </w:r>
      <w:r>
        <w:t>.</w:t>
      </w:r>
      <w:r>
        <w:tab/>
        <w:t>Deputy harbour masters: appointment and functions</w:t>
      </w:r>
      <w:bookmarkEnd w:id="11"/>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 No. 71 of 2006 s. 7.]</w:t>
      </w:r>
    </w:p>
    <w:p>
      <w:pPr>
        <w:pStyle w:val="Heading5"/>
      </w:pPr>
      <w:bookmarkStart w:id="12" w:name="_Toc32409447"/>
      <w:r>
        <w:rPr>
          <w:rStyle w:val="CharSectno"/>
        </w:rPr>
        <w:t>8A</w:t>
      </w:r>
      <w:r>
        <w:t>.</w:t>
      </w:r>
      <w:r>
        <w:tab/>
        <w:t>Protection from liability for wrongdoing</w:t>
      </w:r>
      <w:bookmarkEnd w:id="12"/>
    </w:p>
    <w:p>
      <w:pPr>
        <w:pStyle w:val="Subsection"/>
      </w:pPr>
      <w:r>
        <w:tab/>
        <w:t>(1)</w:t>
      </w:r>
      <w:r>
        <w:tab/>
        <w:t>An action in tort does not lie against a person for anything the person has done, in good faith, in the performance or purported performance of a function under this Act.</w:t>
      </w:r>
    </w:p>
    <w:p>
      <w:pPr>
        <w:pStyle w:val="Subsection"/>
      </w:pPr>
      <w:r>
        <w:tab/>
        <w:t>(2)</w:t>
      </w:r>
      <w:r>
        <w:tab/>
        <w:t>The Minister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keepNext/>
      </w:pPr>
      <w:r>
        <w:tab/>
        <w:t>(4)</w:t>
      </w:r>
      <w:r>
        <w:tab/>
        <w:t xml:space="preserve">The protection given by this section extends to anything done by a person in good faith — </w:t>
      </w:r>
    </w:p>
    <w:p>
      <w:pPr>
        <w:pStyle w:val="Indenta"/>
      </w:pPr>
      <w:r>
        <w:tab/>
        <w:t>(a)</w:t>
      </w:r>
      <w:r>
        <w:tab/>
        <w:t>under the authority of a harbour master, to assist the harbour master to perform a function under this Act; or</w:t>
      </w:r>
    </w:p>
    <w:p>
      <w:pPr>
        <w:pStyle w:val="Indenta"/>
      </w:pPr>
      <w:r>
        <w:tab/>
        <w:t>(b)</w:t>
      </w:r>
      <w:r>
        <w:tab/>
        <w:t>in compliance with an order, direction or requirement given or made by a harbour master.</w:t>
      </w:r>
    </w:p>
    <w:p>
      <w:pPr>
        <w:pStyle w:val="Subsection"/>
      </w:pPr>
      <w:r>
        <w:tab/>
        <w:t>(5)</w:t>
      </w:r>
      <w:r>
        <w:tab/>
        <w:t>In subsection (4), a reference to a harbour master includes a reference to a controlling authority or the CEO.</w:t>
      </w:r>
    </w:p>
    <w:p>
      <w:pPr>
        <w:pStyle w:val="Subsection"/>
      </w:pPr>
      <w:r>
        <w:tab/>
        <w:t>(6)</w:t>
      </w:r>
      <w:r>
        <w:tab/>
        <w:t>In this section, a reference to the doing of anything includes a reference to an omission to do anything.</w:t>
      </w:r>
    </w:p>
    <w:p>
      <w:pPr>
        <w:pStyle w:val="Footnotesection"/>
      </w:pPr>
      <w:r>
        <w:tab/>
        <w:t>[Section 8A inserted: No. 9 of 2014 s. 41.]</w:t>
      </w:r>
    </w:p>
    <w:p>
      <w:pPr>
        <w:pStyle w:val="Heading5"/>
        <w:rPr>
          <w:snapToGrid w:val="0"/>
        </w:rPr>
      </w:pPr>
      <w:bookmarkStart w:id="13" w:name="_Toc32409448"/>
      <w:r>
        <w:rPr>
          <w:rStyle w:val="CharSectno"/>
        </w:rPr>
        <w:t>8</w:t>
      </w:r>
      <w:r>
        <w:rPr>
          <w:snapToGrid w:val="0"/>
        </w:rPr>
        <w:t>.</w:t>
      </w:r>
      <w:r>
        <w:rPr>
          <w:snapToGrid w:val="0"/>
        </w:rPr>
        <w:tab/>
        <w:t>Conservancy dues</w:t>
      </w:r>
      <w:bookmarkEnd w:id="13"/>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No. 88 of 1978 s. 5; No. 46 of 1993 s. 43; No. 5 of 1999 s. 24(3) and (4).]</w:t>
      </w:r>
    </w:p>
    <w:p>
      <w:pPr>
        <w:pStyle w:val="Heading5"/>
        <w:rPr>
          <w:snapToGrid w:val="0"/>
        </w:rPr>
      </w:pPr>
      <w:bookmarkStart w:id="14" w:name="_Toc32409449"/>
      <w:r>
        <w:rPr>
          <w:rStyle w:val="CharSectno"/>
        </w:rPr>
        <w:t>9</w:t>
      </w:r>
      <w:r>
        <w:rPr>
          <w:snapToGrid w:val="0"/>
        </w:rPr>
        <w:t>.</w:t>
      </w:r>
      <w:r>
        <w:rPr>
          <w:snapToGrid w:val="0"/>
        </w:rPr>
        <w:tab/>
        <w:t>Pilotage and pilotage charges</w:t>
      </w:r>
      <w:bookmarkEnd w:id="14"/>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No. 88 of 1978 s. 6; No. 26 of 1984 s. 4; No. 65 of 1988 s. 5; No. 71 of 2006 s. 9.]</w:t>
      </w:r>
    </w:p>
    <w:p>
      <w:pPr>
        <w:pStyle w:val="Heading5"/>
        <w:rPr>
          <w:snapToGrid w:val="0"/>
        </w:rPr>
      </w:pPr>
      <w:bookmarkStart w:id="15" w:name="_Toc32409450"/>
      <w:r>
        <w:rPr>
          <w:rStyle w:val="CharSectno"/>
        </w:rPr>
        <w:t>9A</w:t>
      </w:r>
      <w:r>
        <w:rPr>
          <w:snapToGrid w:val="0"/>
        </w:rPr>
        <w:t>.</w:t>
      </w:r>
      <w:r>
        <w:rPr>
          <w:snapToGrid w:val="0"/>
        </w:rPr>
        <w:tab/>
      </w:r>
      <w:r>
        <w:t>Boat harbour dues and mooring charges</w:t>
      </w:r>
      <w:bookmarkEnd w:id="15"/>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 xml:space="preserve">a </w:t>
      </w:r>
      <w:r>
        <w:t>boat harbour</w:t>
      </w:r>
      <w:r>
        <w:rPr>
          <w:snapToGrid w:val="0"/>
        </w:rPr>
        <w:t xml:space="preserve"> in respect of </w:t>
      </w:r>
      <w:r>
        <w:t>each</w:t>
      </w:r>
      <w:r>
        <w:rPr>
          <w:snapToGrid w:val="0"/>
        </w:rPr>
        <w:t xml:space="preserve"> boat using —</w:t>
      </w:r>
    </w:p>
    <w:p>
      <w:pPr>
        <w:pStyle w:val="Indenti"/>
        <w:rPr>
          <w:snapToGrid w:val="0"/>
        </w:rPr>
      </w:pPr>
      <w:r>
        <w:rPr>
          <w:snapToGrid w:val="0"/>
        </w:rPr>
        <w:tab/>
        <w:t>(i)</w:t>
      </w:r>
      <w:r>
        <w:rPr>
          <w:snapToGrid w:val="0"/>
        </w:rPr>
        <w:tab/>
        <w:t xml:space="preserve">the facilities of the </w:t>
      </w:r>
      <w:r>
        <w:t>boat harbour</w:t>
      </w:r>
      <w:r>
        <w:rPr>
          <w:snapToGrid w:val="0"/>
        </w:rPr>
        <w:t xml:space="preserve"> fees, known as </w:t>
      </w:r>
      <w:r>
        <w:t>boat harbour</w:t>
      </w:r>
      <w:r>
        <w:rPr>
          <w:snapToGrid w:val="0"/>
        </w:rPr>
        <w:t xml:space="preserve"> dues; and</w:t>
      </w:r>
    </w:p>
    <w:p>
      <w:pPr>
        <w:pStyle w:val="Indenti"/>
        <w:rPr>
          <w:snapToGrid w:val="0"/>
        </w:rPr>
      </w:pPr>
      <w:r>
        <w:rPr>
          <w:snapToGrid w:val="0"/>
        </w:rPr>
        <w:tab/>
        <w:t>(ii)</w:t>
      </w:r>
      <w:r>
        <w:rPr>
          <w:snapToGrid w:val="0"/>
        </w:rPr>
        <w:tab/>
        <w:t xml:space="preserve">mooring pens within the </w:t>
      </w:r>
      <w:r>
        <w:t>boat harbour</w:t>
      </w:r>
      <w:r>
        <w:rPr>
          <w:snapToGrid w:val="0"/>
        </w:rPr>
        <w:t xml:space="preserve">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No. 88 of 1978 s. 7; amended: No. 2 of 2019 s. 57 and 60.]</w:t>
      </w:r>
    </w:p>
    <w:p>
      <w:pPr>
        <w:pStyle w:val="Heading5"/>
        <w:rPr>
          <w:snapToGrid w:val="0"/>
        </w:rPr>
      </w:pPr>
      <w:bookmarkStart w:id="16" w:name="_Toc32409451"/>
      <w:r>
        <w:rPr>
          <w:rStyle w:val="CharSectno"/>
        </w:rPr>
        <w:t>10</w:t>
      </w:r>
      <w:r>
        <w:rPr>
          <w:snapToGrid w:val="0"/>
        </w:rPr>
        <w:t>.</w:t>
      </w:r>
      <w:r>
        <w:rPr>
          <w:snapToGrid w:val="0"/>
        </w:rPr>
        <w:tab/>
        <w:t>Declaration of ports and other areas</w:t>
      </w:r>
      <w:bookmarkEnd w:id="16"/>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as defined in the </w:t>
      </w:r>
      <w:r>
        <w:rPr>
          <w:i/>
          <w:iCs/>
        </w:rPr>
        <w:t>Port Authorities Act 1999</w:t>
      </w:r>
      <w:r>
        <w:t xml:space="preserve"> section 3(1) is not a port for the purposes of this Act and a declaration under subsection (1) cannot relate to such a port.</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 xml:space="preserve">declare any place described in the proclamation to be a </w:t>
      </w:r>
      <w:r>
        <w:t>boat harbour</w:t>
      </w:r>
      <w:r>
        <w:rPr>
          <w:snapToGrid w:val="0"/>
        </w:rPr>
        <w:t xml:space="preserve">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w:t>
      </w:r>
      <w:r>
        <w:t>boat harbour</w:t>
      </w:r>
      <w:r>
        <w:rPr>
          <w:snapToGrid w:val="0"/>
        </w:rPr>
        <w:t xml:space="preserve"> or mooring control area under this subsection, or declare a </w:t>
      </w:r>
      <w:r>
        <w:t>boat harbour</w:t>
      </w:r>
      <w:r>
        <w:rPr>
          <w:snapToGrid w:val="0"/>
        </w:rPr>
        <w:t xml:space="preserve"> or mooring control area to be no longer a </w:t>
      </w:r>
      <w:r>
        <w:t>boat harbour</w:t>
      </w:r>
      <w:r>
        <w:rPr>
          <w:snapToGrid w:val="0"/>
        </w:rPr>
        <w:t xml:space="preserve"> or mooring control area, as the case may be, for the purposes of this Act; or</w:t>
      </w:r>
    </w:p>
    <w:p>
      <w:pPr>
        <w:pStyle w:val="Indenta"/>
        <w:rPr>
          <w:snapToGrid w:val="0"/>
        </w:rPr>
      </w:pPr>
      <w:r>
        <w:rPr>
          <w:snapToGrid w:val="0"/>
        </w:rPr>
        <w:tab/>
        <w:t>(ba)</w:t>
      </w:r>
      <w:r>
        <w:rPr>
          <w:snapToGrid w:val="0"/>
        </w:rPr>
        <w:tab/>
        <w:t xml:space="preserve">in relation to a </w:t>
      </w:r>
      <w:r>
        <w:t>boat harbour</w:t>
      </w:r>
      <w:r>
        <w:rPr>
          <w:snapToGrid w:val="0"/>
        </w:rPr>
        <w:t xml:space="preserve"> or mooring control area, specify a body corporate or the </w:t>
      </w:r>
      <w:r>
        <w:t>CEO</w:t>
      </w:r>
      <w:r>
        <w:rPr>
          <w:snapToGrid w:val="0"/>
        </w:rPr>
        <w:t xml:space="preserve"> as the controlling authority of the </w:t>
      </w:r>
      <w:r>
        <w:t>boat harbour</w:t>
      </w:r>
      <w:r>
        <w:rPr>
          <w:snapToGrid w:val="0"/>
        </w:rPr>
        <w:t xml:space="preserve">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 No. 88 of 1978 s. 8; No. 38 of 1983 s. 3</w:t>
      </w:r>
      <w:r>
        <w:rPr>
          <w:vertAlign w:val="superscript"/>
        </w:rPr>
        <w:t> 1</w:t>
      </w:r>
      <w:r>
        <w:t>; No. 26 of 1984 s. 5; No. 39 of 1985 s. 101; No. 46 of 1993 s. 44; No. 71 of 2006 s. 10; No. 2 of 2019 s. 58, 60 and 61.]</w:t>
      </w:r>
    </w:p>
    <w:p>
      <w:pPr>
        <w:pStyle w:val="Heading5"/>
        <w:rPr>
          <w:snapToGrid w:val="0"/>
        </w:rPr>
      </w:pPr>
      <w:bookmarkStart w:id="17" w:name="_Toc32409452"/>
      <w:r>
        <w:rPr>
          <w:rStyle w:val="CharSectno"/>
        </w:rPr>
        <w:t>11</w:t>
      </w:r>
      <w:r>
        <w:rPr>
          <w:snapToGrid w:val="0"/>
        </w:rPr>
        <w:t>.</w:t>
      </w:r>
      <w:r>
        <w:rPr>
          <w:snapToGrid w:val="0"/>
        </w:rPr>
        <w:tab/>
        <w:t>Offences</w:t>
      </w:r>
      <w:bookmarkEnd w:id="17"/>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w:t>
      </w:r>
      <w:r>
        <w:t>5, 6 or 7; or</w:t>
      </w:r>
    </w:p>
    <w:p>
      <w:pPr>
        <w:pStyle w:val="Indenta"/>
        <w:rPr>
          <w:snapToGrid w:val="0"/>
        </w:rPr>
      </w:pPr>
      <w:r>
        <w:rPr>
          <w:snapToGrid w:val="0"/>
        </w:rPr>
        <w:tab/>
        <w:t>(ba)</w:t>
      </w:r>
      <w:r>
        <w:rPr>
          <w:snapToGrid w:val="0"/>
        </w:rPr>
        <w:tab/>
        <w:t xml:space="preserve">fails to </w:t>
      </w:r>
      <w:r>
        <w:t>comply</w:t>
      </w:r>
      <w:r>
        <w:rPr>
          <w:snapToGrid w:val="0"/>
        </w:rPr>
        <w:t xml:space="preserve"> with any order or direction of the CEO or a controlling authority given or made under the powers conferred by section 5 or 6 as applied by section 6A; or</w:t>
      </w:r>
    </w:p>
    <w:p>
      <w:pPr>
        <w:pStyle w:val="Indenta"/>
        <w:rPr>
          <w:snapToGrid w:val="0"/>
        </w:rPr>
      </w:pPr>
      <w:r>
        <w:rPr>
          <w:snapToGrid w:val="0"/>
        </w:rPr>
        <w:tab/>
        <w:t>(b)</w:t>
      </w:r>
      <w:r>
        <w:rPr>
          <w:snapToGrid w:val="0"/>
        </w:rPr>
        <w:tab/>
        <w:t xml:space="preserve">unlawfully interferes with any mooring, beacon, buoy, light or other port, </w:t>
      </w:r>
      <w:r>
        <w:t>boat harbour</w:t>
      </w:r>
      <w:r>
        <w:rPr>
          <w:snapToGrid w:val="0"/>
        </w:rPr>
        <w:t xml:space="preserve"> or mooring control area facility; or</w:t>
      </w:r>
    </w:p>
    <w:p>
      <w:pPr>
        <w:pStyle w:val="Indenta"/>
        <w:keepNext/>
        <w:rPr>
          <w:snapToGrid w:val="0"/>
        </w:rPr>
      </w:pPr>
      <w:r>
        <w:rPr>
          <w:snapToGrid w:val="0"/>
        </w:rPr>
        <w:tab/>
        <w:t>(c)</w:t>
      </w:r>
      <w:r>
        <w:rPr>
          <w:snapToGrid w:val="0"/>
        </w:rPr>
        <w:tab/>
        <w:t xml:space="preserve">deposits or removes earth or spoil within a port, </w:t>
      </w:r>
      <w:r>
        <w:t>boat harbour</w:t>
      </w:r>
      <w:r>
        <w:rPr>
          <w:snapToGrid w:val="0"/>
        </w:rPr>
        <w:t xml:space="preserve">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 No. 88 of 1978 s. 9; No. 71 of 2006 s. 11; No. 9 of 2014 s. 42; No. 2 of 2019 s. 60.]</w:t>
      </w:r>
    </w:p>
    <w:p>
      <w:pPr>
        <w:pStyle w:val="Heading5"/>
        <w:rPr>
          <w:rStyle w:val="CharSectno"/>
        </w:rPr>
      </w:pPr>
      <w:bookmarkStart w:id="18" w:name="_Toc32409453"/>
      <w:r>
        <w:rPr>
          <w:rStyle w:val="CharSectno"/>
        </w:rPr>
        <w:t>11A.</w:t>
      </w:r>
      <w:r>
        <w:rPr>
          <w:rStyle w:val="CharSectno"/>
        </w:rPr>
        <w:tab/>
      </w:r>
      <w:r>
        <w:t>Delegation</w:t>
      </w:r>
      <w:bookmarkEnd w:id="18"/>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(3A)</w:t>
      </w:r>
      <w:r>
        <w:tab/>
        <w:t xml:space="preserve">The CEO may delegate to any officer of the Department or another person — </w:t>
      </w:r>
    </w:p>
    <w:p>
      <w:pPr>
        <w:pStyle w:val="Indenta"/>
      </w:pPr>
      <w:r>
        <w:tab/>
        <w:t>(a)</w:t>
      </w:r>
      <w:r>
        <w:tab/>
        <w:t>any power or duty of the CEO under another provision of this Act; or</w:t>
      </w:r>
    </w:p>
    <w:p>
      <w:pPr>
        <w:pStyle w:val="Indenta"/>
      </w:pPr>
      <w:r>
        <w:tab/>
        <w:t>(b)</w:t>
      </w:r>
      <w:r>
        <w:tab/>
        <w:t>if the CEO is the controlling authority of a boat harbour or mooring control area, any power or duty of that controlling authority under a provision of this Act.</w:t>
      </w:r>
    </w:p>
    <w:p>
      <w:pPr>
        <w:pStyle w:val="Subsection"/>
      </w:pPr>
      <w:r>
        <w:tab/>
        <w:t>(3B)</w:t>
      </w:r>
      <w:r>
        <w:tab/>
        <w:t>The delegation must be in writing signed by the CEO.</w:t>
      </w:r>
    </w:p>
    <w:p>
      <w:pPr>
        <w:pStyle w:val="Subsection"/>
        <w:rPr>
          <w:highlight w:val="cyan"/>
        </w:rPr>
      </w:pPr>
      <w:r>
        <w:tab/>
        <w:t>(3C)</w:t>
      </w:r>
      <w:r>
        <w:tab/>
        <w:t>If the controlling authority of a boat harbour or mooring control area is a body corporate, the controlling authority may delegate any power or duty of the controlling authority under another provision of this Act to any of its officers or employees.</w:t>
      </w:r>
    </w:p>
    <w:p>
      <w:pPr>
        <w:pStyle w:val="Subsection"/>
      </w:pPr>
      <w:r>
        <w:tab/>
        <w:t>(3D)</w:t>
      </w:r>
      <w:r>
        <w:tab/>
        <w:t>The delegation must be in writing executed by the controlling authority.</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 the CEO or a controlling authority to perform a function through an officer, employee or agent.</w:t>
      </w:r>
    </w:p>
    <w:p>
      <w:pPr>
        <w:pStyle w:val="Footnotesection"/>
      </w:pPr>
      <w:r>
        <w:tab/>
        <w:t>[Section 11A inserted: No. 71 of 2006 s. 12; amended: No. 9 of 2014 s. 43; No. 2 of 2019 s. 60 and 61.]</w:t>
      </w:r>
    </w:p>
    <w:p>
      <w:pPr>
        <w:pStyle w:val="Heading5"/>
        <w:rPr>
          <w:snapToGrid w:val="0"/>
        </w:rPr>
      </w:pPr>
      <w:bookmarkStart w:id="19" w:name="_Toc32409454"/>
      <w:r>
        <w:rPr>
          <w:rStyle w:val="CharSectno"/>
        </w:rPr>
        <w:t>12</w:t>
      </w:r>
      <w:r>
        <w:rPr>
          <w:snapToGrid w:val="0"/>
        </w:rPr>
        <w:t>.</w:t>
      </w:r>
      <w:r>
        <w:rPr>
          <w:snapToGrid w:val="0"/>
        </w:rPr>
        <w:tab/>
        <w:t>Regulations</w:t>
      </w:r>
      <w:bookmarkEnd w:id="19"/>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prescribing tide signals and other signals to be used in ports,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 xml:space="preserve">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w:t>
      </w:r>
      <w:r>
        <w:t>CEO</w:t>
      </w:r>
      <w:r>
        <w:rPr>
          <w:snapToGrid w:val="0"/>
        </w:rPr>
        <w:t xml:space="preserve">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keepNext/>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 xml:space="preserve">provide that if by reason of unavailability of materials or for any other reason that the </w:t>
      </w:r>
      <w:r>
        <w:t>CEO</w:t>
      </w:r>
      <w:r>
        <w:rPr>
          <w:snapToGrid w:val="0"/>
        </w:rPr>
        <w:t xml:space="preserve"> considers valid any requirement adopted by those regulations cannot be conformed to, the </w:t>
      </w:r>
      <w:r>
        <w:t>CEO</w:t>
      </w:r>
      <w:r>
        <w:rPr>
          <w:snapToGrid w:val="0"/>
        </w:rPr>
        <w:t xml:space="preserve">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keepNext/>
        <w:keepLines/>
      </w:pPr>
      <w:r>
        <w:rPr>
          <w:b/>
        </w:rPr>
        <w:tab/>
      </w:r>
      <w:r>
        <w:rPr>
          <w:rStyle w:val="CharDefText"/>
        </w:rPr>
        <w:t>specified</w:t>
      </w:r>
      <w:r>
        <w:t xml:space="preserve"> means specified in the regulations.</w:t>
      </w:r>
    </w:p>
    <w:p>
      <w:pPr>
        <w:pStyle w:val="Footnotesection"/>
      </w:pPr>
      <w:r>
        <w:tab/>
        <w:t>[Section 12 amended: No. 12 of 1976 s. 19; No. 88 of 1978 s. 10; No. 26 of 1984 s. 6; No. 5 of 1999 s. 24(5); No. 74 of 2003 s. 110; No. 71 of 2006 s. 13; No. 2 of 2019 s. 59 and 61.]</w:t>
      </w:r>
    </w:p>
    <w:p>
      <w:pPr>
        <w:pStyle w:val="yEdnoteschedule"/>
      </w:pPr>
      <w:r>
        <w:t>[Schedule deleted: No. 71 of 2006 s. 14(1).]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20" w:name="_Toc32409411"/>
      <w:bookmarkStart w:id="21" w:name="_Toc32409433"/>
      <w:bookmarkStart w:id="22" w:name="_Toc32409455"/>
      <w:r>
        <w:t>Notes</w:t>
      </w:r>
      <w:bookmarkEnd w:id="20"/>
      <w:bookmarkEnd w:id="21"/>
      <w:bookmarkEnd w:id="22"/>
    </w:p>
    <w:p>
      <w:pPr>
        <w:pStyle w:val="nStatement"/>
      </w:pPr>
      <w:r>
        <w:t xml:space="preserve">This is a compilation of the </w:t>
      </w:r>
      <w:r>
        <w:rPr>
          <w:i/>
          <w:noProof/>
        </w:rPr>
        <w:t>Shipping and Pilotage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23" w:name="_Toc32409456"/>
      <w: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Shipping and Pilotage Act 1967</w:t>
            </w:r>
          </w:p>
        </w:tc>
        <w:tc>
          <w:tcPr>
            <w:tcW w:w="1134" w:type="dxa"/>
            <w:tcBorders>
              <w:top w:val="single" w:sz="8" w:space="0" w:color="auto"/>
            </w:tcBorders>
          </w:tcPr>
          <w:p>
            <w:pPr>
              <w:pStyle w:val="nTable"/>
              <w:spacing w:after="40"/>
            </w:pPr>
            <w:r>
              <w:t>17 of 1967</w:t>
            </w:r>
          </w:p>
        </w:tc>
        <w:tc>
          <w:tcPr>
            <w:tcW w:w="1134" w:type="dxa"/>
            <w:tcBorders>
              <w:top w:val="single" w:sz="8" w:space="0" w:color="auto"/>
            </w:tcBorders>
          </w:tcPr>
          <w:p>
            <w:pPr>
              <w:pStyle w:val="nTable"/>
              <w:spacing w:after="40"/>
            </w:pPr>
            <w:r>
              <w:t>20 Oct 1967</w:t>
            </w:r>
          </w:p>
        </w:tc>
        <w:tc>
          <w:tcPr>
            <w:tcW w:w="2552" w:type="dxa"/>
            <w:tcBorders>
              <w:top w:val="single" w:sz="8" w:space="0" w:color="auto"/>
            </w:tcBorders>
          </w:tcPr>
          <w:p>
            <w:pPr>
              <w:pStyle w:val="nTable"/>
              <w:spacing w:after="40"/>
            </w:pPr>
            <w:r>
              <w:t>20 Oct 1967</w:t>
            </w:r>
          </w:p>
        </w:tc>
      </w:tr>
      <w:tr>
        <w:trPr>
          <w:cantSplit/>
        </w:trPr>
        <w:tc>
          <w:tcPr>
            <w:tcW w:w="2268" w:type="dxa"/>
          </w:tcPr>
          <w:p>
            <w:pPr>
              <w:pStyle w:val="nTable"/>
              <w:spacing w:after="40"/>
              <w:ind w:right="113"/>
            </w:pPr>
            <w:r>
              <w:rPr>
                <w:i/>
              </w:rPr>
              <w:t>Acts Amendment (Port and Marine Regulations) Act 1976</w:t>
            </w:r>
            <w:r>
              <w:t xml:space="preserve"> Pt. VIII</w:t>
            </w:r>
          </w:p>
        </w:tc>
        <w:tc>
          <w:tcPr>
            <w:tcW w:w="1134" w:type="dxa"/>
          </w:tcPr>
          <w:p>
            <w:pPr>
              <w:pStyle w:val="nTable"/>
              <w:spacing w:after="40"/>
            </w:pPr>
            <w:r>
              <w:t>12 of 1976</w:t>
            </w:r>
          </w:p>
        </w:tc>
        <w:tc>
          <w:tcPr>
            <w:tcW w:w="1134" w:type="dxa"/>
          </w:tcPr>
          <w:p>
            <w:pPr>
              <w:pStyle w:val="nTable"/>
              <w:spacing w:after="40"/>
            </w:pPr>
            <w:r>
              <w:t>27 May 1976</w:t>
            </w:r>
          </w:p>
        </w:tc>
        <w:tc>
          <w:tcPr>
            <w:tcW w:w="2552" w:type="dxa"/>
          </w:tcPr>
          <w:p>
            <w:pPr>
              <w:pStyle w:val="nTable"/>
              <w:spacing w:after="40"/>
            </w:pPr>
            <w:r>
              <w:t>27 May 1976</w:t>
            </w:r>
          </w:p>
        </w:tc>
      </w:tr>
      <w:tr>
        <w:trPr>
          <w:cantSplit/>
        </w:trPr>
        <w:tc>
          <w:tcPr>
            <w:tcW w:w="2268" w:type="dxa"/>
            <w:tcBorders>
              <w:bottom w:val="nil"/>
            </w:tcBorders>
          </w:tcPr>
          <w:p>
            <w:pPr>
              <w:pStyle w:val="nTable"/>
              <w:spacing w:after="40"/>
              <w:ind w:right="113"/>
              <w:rPr>
                <w:i/>
              </w:rPr>
            </w:pPr>
            <w:r>
              <w:rPr>
                <w:i/>
              </w:rPr>
              <w:t>Shipping and Pilotage Act Amendment Act 1978</w:t>
            </w:r>
          </w:p>
        </w:tc>
        <w:tc>
          <w:tcPr>
            <w:tcW w:w="1134" w:type="dxa"/>
          </w:tcPr>
          <w:p>
            <w:pPr>
              <w:pStyle w:val="nTable"/>
              <w:spacing w:after="40"/>
            </w:pPr>
            <w:r>
              <w:t>88 of 1978</w:t>
            </w:r>
          </w:p>
        </w:tc>
        <w:tc>
          <w:tcPr>
            <w:tcW w:w="1134" w:type="dxa"/>
          </w:tcPr>
          <w:p>
            <w:pPr>
              <w:pStyle w:val="nTable"/>
              <w:spacing w:after="40"/>
            </w:pPr>
            <w:r>
              <w:t>8 Nov 1978</w:t>
            </w:r>
          </w:p>
        </w:tc>
        <w:tc>
          <w:tcPr>
            <w:tcW w:w="2552" w:type="dxa"/>
          </w:tcPr>
          <w:p>
            <w:pPr>
              <w:pStyle w:val="nTable"/>
              <w:spacing w:after="40"/>
            </w:pPr>
            <w:r>
              <w:t>Act other than s. 3, 4(a) and (c), 7</w:t>
            </w:r>
            <w:r>
              <w:noBreakHyphen/>
              <w:t xml:space="preserve">9, 10(a)(i) and (ii) insofar as it inserts a new paragraph in s. 12(1): 1 Sep 1981 (see s. 2 and </w:t>
            </w:r>
            <w:r>
              <w:rPr>
                <w:i/>
              </w:rPr>
              <w:t>Gazette</w:t>
            </w:r>
            <w:r>
              <w:t xml:space="preserve"> 28 Aug 1981 p. 3553);</w:t>
            </w:r>
            <w:r>
              <w:br/>
              <w:t>s. 3, 4(a) and (c), 7</w:t>
            </w:r>
            <w:r>
              <w:noBreakHyphen/>
              <w:t xml:space="preserve">9, 10(a)(i) and (ii) insofar as it inserts a new paragraph in s. 12(1): 28 Nov 1983 (see s. 2 and </w:t>
            </w:r>
            <w:r>
              <w:rPr>
                <w:i/>
              </w:rPr>
              <w:t>Gazette</w:t>
            </w:r>
            <w:r>
              <w:t xml:space="preserve"> 28 Nov 1983 p. 4707)</w:t>
            </w:r>
          </w:p>
        </w:tc>
      </w:tr>
      <w:tr>
        <w:trPr>
          <w:cantSplit/>
        </w:trPr>
        <w:tc>
          <w:tcPr>
            <w:tcW w:w="2268" w:type="dxa"/>
          </w:tcPr>
          <w:p>
            <w:pPr>
              <w:pStyle w:val="nTable"/>
              <w:spacing w:after="40"/>
              <w:ind w:right="113"/>
            </w:pPr>
            <w:r>
              <w:rPr>
                <w:i/>
              </w:rPr>
              <w:t>Shipping and Pilotage Amendment Act 1983</w:t>
            </w:r>
            <w:r>
              <w:rPr>
                <w:vertAlign w:val="superscript"/>
              </w:rPr>
              <w:t> 1</w:t>
            </w:r>
          </w:p>
        </w:tc>
        <w:tc>
          <w:tcPr>
            <w:tcW w:w="1134" w:type="dxa"/>
          </w:tcPr>
          <w:p>
            <w:pPr>
              <w:pStyle w:val="nTable"/>
              <w:spacing w:after="40"/>
            </w:pPr>
            <w:r>
              <w:t>38 of 1983</w:t>
            </w:r>
          </w:p>
        </w:tc>
        <w:tc>
          <w:tcPr>
            <w:tcW w:w="1134" w:type="dxa"/>
          </w:tcPr>
          <w:p>
            <w:pPr>
              <w:pStyle w:val="nTable"/>
              <w:spacing w:after="40"/>
            </w:pPr>
            <w:r>
              <w:t>22 Nov 1983</w:t>
            </w:r>
          </w:p>
        </w:tc>
        <w:tc>
          <w:tcPr>
            <w:tcW w:w="2552" w:type="dxa"/>
          </w:tcPr>
          <w:p>
            <w:pPr>
              <w:pStyle w:val="nTable"/>
              <w:spacing w:after="40"/>
            </w:pPr>
            <w:r>
              <w:t xml:space="preserve">25 Nov 1983 (see s. 2 and </w:t>
            </w:r>
            <w:r>
              <w:rPr>
                <w:i/>
              </w:rPr>
              <w:t>Gazette</w:t>
            </w:r>
            <w:r>
              <w:t xml:space="preserve"> 25 Nov 1983 p. 4706)</w:t>
            </w:r>
          </w:p>
        </w:tc>
      </w:tr>
      <w:tr>
        <w:trPr>
          <w:cantSplit/>
        </w:trPr>
        <w:tc>
          <w:tcPr>
            <w:tcW w:w="2268" w:type="dxa"/>
          </w:tcPr>
          <w:p>
            <w:pPr>
              <w:pStyle w:val="nTable"/>
              <w:spacing w:after="40"/>
              <w:ind w:right="113"/>
            </w:pPr>
            <w:r>
              <w:rPr>
                <w:i/>
              </w:rPr>
              <w:t>Shipping and Pilotage Amendment Act 1984</w:t>
            </w:r>
          </w:p>
        </w:tc>
        <w:tc>
          <w:tcPr>
            <w:tcW w:w="1134" w:type="dxa"/>
          </w:tcPr>
          <w:p>
            <w:pPr>
              <w:pStyle w:val="nTable"/>
              <w:spacing w:after="40"/>
            </w:pPr>
            <w:r>
              <w:t>26 of 1984</w:t>
            </w:r>
          </w:p>
        </w:tc>
        <w:tc>
          <w:tcPr>
            <w:tcW w:w="1134" w:type="dxa"/>
          </w:tcPr>
          <w:p>
            <w:pPr>
              <w:pStyle w:val="nTable"/>
              <w:spacing w:after="40"/>
            </w:pPr>
            <w:r>
              <w:t>31 May 1984</w:t>
            </w:r>
          </w:p>
        </w:tc>
        <w:tc>
          <w:tcPr>
            <w:tcW w:w="2552" w:type="dxa"/>
          </w:tcPr>
          <w:p>
            <w:pPr>
              <w:pStyle w:val="nTable"/>
              <w:spacing w:after="40"/>
            </w:pPr>
            <w:r>
              <w:t xml:space="preserve">1 Nov 1984 (see s. 2 and </w:t>
            </w:r>
            <w:r>
              <w:rPr>
                <w:i/>
              </w:rPr>
              <w:t>Gazette</w:t>
            </w:r>
            <w:r>
              <w:t xml:space="preserve"> 27 Aug 1984 p. 2632)</w:t>
            </w:r>
          </w:p>
        </w:tc>
      </w:tr>
      <w:tr>
        <w:trPr>
          <w:cantSplit/>
        </w:trPr>
        <w:tc>
          <w:tcPr>
            <w:tcW w:w="7088" w:type="dxa"/>
            <w:gridSpan w:val="4"/>
          </w:tcPr>
          <w:p>
            <w:pPr>
              <w:pStyle w:val="nTable"/>
              <w:spacing w:after="40"/>
              <w:rPr>
                <w:b/>
              </w:rPr>
            </w:pPr>
            <w:r>
              <w:rPr>
                <w:b/>
              </w:rPr>
              <w:t xml:space="preserve">Reprint of the </w:t>
            </w:r>
            <w:r>
              <w:rPr>
                <w:b/>
                <w:i/>
              </w:rPr>
              <w:t>Shipping and Pilotage Act 1967</w:t>
            </w:r>
            <w:r>
              <w:rPr>
                <w:b/>
              </w:rPr>
              <w:t xml:space="preserve"> approved 9 Nov 1984 </w:t>
            </w:r>
            <w:r>
              <w:t>(includes amendments listed above)</w:t>
            </w:r>
          </w:p>
        </w:tc>
      </w:tr>
      <w:tr>
        <w:trPr>
          <w:cantSplit/>
        </w:trPr>
        <w:tc>
          <w:tcPr>
            <w:tcW w:w="2268" w:type="dxa"/>
          </w:tcPr>
          <w:p>
            <w:pPr>
              <w:pStyle w:val="nTable"/>
              <w:spacing w:after="40"/>
              <w:ind w:right="113"/>
            </w:pPr>
            <w:r>
              <w:rPr>
                <w:i/>
              </w:rPr>
              <w:t>Dampier Port Authority Act 1985</w:t>
            </w:r>
            <w:r>
              <w:t xml:space="preserve"> s. 101</w:t>
            </w:r>
          </w:p>
        </w:tc>
        <w:tc>
          <w:tcPr>
            <w:tcW w:w="1134" w:type="dxa"/>
          </w:tcPr>
          <w:p>
            <w:pPr>
              <w:pStyle w:val="nTable"/>
              <w:spacing w:after="40"/>
            </w:pPr>
            <w:r>
              <w:t>39 of 1985</w:t>
            </w:r>
          </w:p>
        </w:tc>
        <w:tc>
          <w:tcPr>
            <w:tcW w:w="1134" w:type="dxa"/>
          </w:tcPr>
          <w:p>
            <w:pPr>
              <w:pStyle w:val="nTable"/>
              <w:spacing w:after="40"/>
            </w:pPr>
            <w:r>
              <w:t>20 May 1985</w:t>
            </w:r>
          </w:p>
        </w:tc>
        <w:tc>
          <w:tcPr>
            <w:tcW w:w="2552" w:type="dxa"/>
          </w:tcPr>
          <w:p>
            <w:pPr>
              <w:pStyle w:val="nTable"/>
              <w:spacing w:after="40"/>
            </w:pPr>
            <w:r>
              <w:t xml:space="preserve">1 Mar 1989 (see s. 2 and </w:t>
            </w:r>
            <w:r>
              <w:rPr>
                <w:i/>
              </w:rPr>
              <w:t>Gazette</w:t>
            </w:r>
            <w:r>
              <w:t xml:space="preserve"> 23 Oct 1987 p. 3937)</w:t>
            </w:r>
          </w:p>
        </w:tc>
      </w:tr>
      <w:tr>
        <w:trPr>
          <w:cantSplit/>
        </w:trPr>
        <w:tc>
          <w:tcPr>
            <w:tcW w:w="2268" w:type="dxa"/>
          </w:tcPr>
          <w:p>
            <w:pPr>
              <w:pStyle w:val="nTable"/>
              <w:spacing w:after="40"/>
              <w:ind w:right="113"/>
            </w:pPr>
            <w:r>
              <w:rPr>
                <w:i/>
              </w:rPr>
              <w:t>Shipping and Pilotage Amendment Act 1988</w:t>
            </w:r>
            <w:r>
              <w:rPr>
                <w:vertAlign w:val="superscript"/>
              </w:rPr>
              <w:t> 2</w:t>
            </w:r>
          </w:p>
        </w:tc>
        <w:tc>
          <w:tcPr>
            <w:tcW w:w="1134" w:type="dxa"/>
          </w:tcPr>
          <w:p>
            <w:pPr>
              <w:pStyle w:val="nTable"/>
              <w:spacing w:after="40"/>
            </w:pPr>
            <w:r>
              <w:t>65 of 1988</w:t>
            </w:r>
          </w:p>
        </w:tc>
        <w:tc>
          <w:tcPr>
            <w:tcW w:w="1134" w:type="dxa"/>
          </w:tcPr>
          <w:p>
            <w:pPr>
              <w:pStyle w:val="nTable"/>
              <w:spacing w:after="40"/>
            </w:pPr>
            <w:r>
              <w:t>14 Dec 1988</w:t>
            </w:r>
          </w:p>
        </w:tc>
        <w:tc>
          <w:tcPr>
            <w:tcW w:w="2552" w:type="dxa"/>
          </w:tcPr>
          <w:p>
            <w:pPr>
              <w:pStyle w:val="nTable"/>
              <w:spacing w:after="40"/>
            </w:pPr>
            <w:r>
              <w:t>14 Dec 1988 (see s. 2)</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Ports (Functions) Act 1993</w:t>
            </w:r>
            <w:r>
              <w:t xml:space="preserve"> Pt. 4</w:t>
            </w:r>
          </w:p>
        </w:tc>
        <w:tc>
          <w:tcPr>
            <w:tcW w:w="1134"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rPr>
          <w:cantSplit/>
        </w:trPr>
        <w:tc>
          <w:tcPr>
            <w:tcW w:w="2268" w:type="dxa"/>
          </w:tcPr>
          <w:p>
            <w:pPr>
              <w:pStyle w:val="nTable"/>
              <w:spacing w:after="40"/>
              <w:ind w:right="113"/>
            </w:pPr>
            <w:r>
              <w:rPr>
                <w:i/>
              </w:rPr>
              <w:t>Acts Amendment (Department of Transport) Act 1993</w:t>
            </w:r>
            <w:r>
              <w:t xml:space="preserve"> Pt. 12</w:t>
            </w:r>
          </w:p>
        </w:tc>
        <w:tc>
          <w:tcPr>
            <w:tcW w:w="1134"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Port Authorities (Consequential Provisions) Act 1999</w:t>
            </w:r>
            <w:r>
              <w:t xml:space="preserve"> s. 21 (Sch. 1</w:t>
            </w:r>
            <w:r>
              <w:noBreakHyphen/>
              <w:t>8) and 24</w:t>
            </w:r>
          </w:p>
        </w:tc>
        <w:tc>
          <w:tcPr>
            <w:tcW w:w="1134" w:type="dxa"/>
          </w:tcPr>
          <w:p>
            <w:pPr>
              <w:pStyle w:val="nTable"/>
              <w:spacing w:after="40"/>
            </w:pPr>
            <w:r>
              <w:t>5 of 1999</w:t>
            </w:r>
          </w:p>
        </w:tc>
        <w:tc>
          <w:tcPr>
            <w:tcW w:w="1134" w:type="dxa"/>
          </w:tcPr>
          <w:p>
            <w:pPr>
              <w:pStyle w:val="nTable"/>
              <w:spacing w:after="40"/>
            </w:pPr>
            <w:r>
              <w:t>13 Apr 1999</w:t>
            </w:r>
          </w:p>
        </w:tc>
        <w:tc>
          <w:tcPr>
            <w:tcW w:w="2552" w:type="dxa"/>
          </w:tcPr>
          <w:p>
            <w:pPr>
              <w:pStyle w:val="nTable"/>
              <w:spacing w:after="40"/>
            </w:pPr>
            <w:r>
              <w:t>Sch. 1, 3</w:t>
            </w:r>
            <w:r>
              <w:noBreakHyphen/>
              <w:t xml:space="preserve">8 and s. 24: 14 Aug 1999 (see s. 2 and </w:t>
            </w:r>
            <w:r>
              <w:rPr>
                <w:i/>
              </w:rPr>
              <w:t>Gazette</w:t>
            </w:r>
            <w:r>
              <w:t xml:space="preserve"> 13 Aug 1999 p. 3823);</w:t>
            </w:r>
            <w:r>
              <w:br/>
              <w:t xml:space="preserve">Sch. 2: 1 Jan 2000 (see s. 2(9) and </w:t>
            </w:r>
            <w:r>
              <w:rPr>
                <w:i/>
              </w:rPr>
              <w:t>Gazette</w:t>
            </w:r>
            <w:r>
              <w:t xml:space="preserve"> 24 Dec 1999 p. 6871)</w:t>
            </w:r>
          </w:p>
        </w:tc>
      </w:tr>
      <w:tr>
        <w:trPr>
          <w:cantSplit/>
        </w:trPr>
        <w:tc>
          <w:tcPr>
            <w:tcW w:w="7088" w:type="dxa"/>
            <w:gridSpan w:val="4"/>
          </w:tcPr>
          <w:p>
            <w:pPr>
              <w:pStyle w:val="nTable"/>
              <w:spacing w:after="40"/>
            </w:pPr>
            <w:r>
              <w:rPr>
                <w:b/>
              </w:rPr>
              <w:t xml:space="preserve">Reprint of the </w:t>
            </w:r>
            <w:r>
              <w:rPr>
                <w:b/>
                <w:i/>
              </w:rPr>
              <w:t>Shipping and Pilotage Act 1967</w:t>
            </w:r>
            <w:r>
              <w:rPr>
                <w:b/>
              </w:rPr>
              <w:t xml:space="preserve"> as at 18 Jan 2002 </w:t>
            </w:r>
            <w:r>
              <w:t>(includes amendments listed above)</w:t>
            </w:r>
          </w:p>
        </w:tc>
      </w:tr>
      <w:tr>
        <w:trPr>
          <w:cantSplit/>
        </w:trPr>
        <w:tc>
          <w:tcPr>
            <w:tcW w:w="7088" w:type="dxa"/>
            <w:gridSpan w:val="4"/>
          </w:tcPr>
          <w:p>
            <w:pPr>
              <w:pStyle w:val="nTable"/>
              <w:spacing w:after="40"/>
            </w:pPr>
            <w:r>
              <w:rPr>
                <w:b/>
              </w:rPr>
              <w:t xml:space="preserve">Reprint 3: The </w:t>
            </w:r>
            <w:r>
              <w:rPr>
                <w:b/>
                <w:i/>
              </w:rPr>
              <w:t>Shipping and Pilotage Act 1967</w:t>
            </w:r>
            <w:r>
              <w:rPr>
                <w:b/>
              </w:rPr>
              <w:t xml:space="preserve"> as at 21 Mar 2003</w:t>
            </w:r>
          </w:p>
        </w:tc>
      </w:tr>
      <w:tr>
        <w:trPr>
          <w:cantSplit/>
        </w:trPr>
        <w:tc>
          <w:tcPr>
            <w:tcW w:w="2268" w:type="dxa"/>
          </w:tcPr>
          <w:p>
            <w:pPr>
              <w:pStyle w:val="nTable"/>
              <w:spacing w:after="40"/>
              <w:ind w:right="113"/>
            </w:pPr>
            <w:r>
              <w:rPr>
                <w:i/>
              </w:rPr>
              <w:t>Statutes (Repeals and Minor Amendments) Act 2003</w:t>
            </w:r>
            <w:r>
              <w:t xml:space="preserve"> s. 110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Cs/>
              </w:rPr>
            </w:pPr>
            <w:r>
              <w:rPr>
                <w:i/>
              </w:rPr>
              <w:t>Shipping and Pilotage Amendment Act 2006</w:t>
            </w:r>
          </w:p>
        </w:tc>
        <w:tc>
          <w:tcPr>
            <w:tcW w:w="1134" w:type="dxa"/>
          </w:tcPr>
          <w:p>
            <w:pPr>
              <w:pStyle w:val="nTable"/>
              <w:spacing w:after="40"/>
            </w:pPr>
            <w:r>
              <w:t>71 of 2006</w:t>
            </w:r>
          </w:p>
        </w:tc>
        <w:tc>
          <w:tcPr>
            <w:tcW w:w="1134" w:type="dxa"/>
          </w:tcPr>
          <w:p>
            <w:pPr>
              <w:pStyle w:val="nTable"/>
              <w:spacing w:after="40"/>
            </w:pPr>
            <w:r>
              <w:t>13 Dec 2006</w:t>
            </w:r>
          </w:p>
        </w:tc>
        <w:tc>
          <w:tcPr>
            <w:tcW w:w="2552" w:type="dxa"/>
          </w:tcPr>
          <w:p>
            <w:pPr>
              <w:pStyle w:val="nTable"/>
              <w:spacing w:after="40"/>
              <w:rPr>
                <w:spacing w:val="-2"/>
              </w:rPr>
            </w:pPr>
            <w:r>
              <w:rPr>
                <w:spacing w:val="-2"/>
              </w:rPr>
              <w:t>s. 1 and 2: 13 Dec 2006</w:t>
            </w:r>
            <w:r>
              <w:rPr>
                <w:spacing w:val="-2"/>
              </w:rPr>
              <w:br/>
              <w:t xml:space="preserve">Act other than s. 1, 2, 8 and 13(1)(b): 5 Jun 2010 (see s. 2 and </w:t>
            </w:r>
            <w:r>
              <w:rPr>
                <w:i/>
                <w:iCs/>
                <w:spacing w:val="-2"/>
              </w:rPr>
              <w:t>Gazette</w:t>
            </w:r>
            <w:r>
              <w:rPr>
                <w:spacing w:val="-2"/>
              </w:rPr>
              <w:t xml:space="preserve"> 4 Jun 2010 p. 2471)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Shipping and Pilotage Act 1967</w:t>
            </w:r>
            <w:r>
              <w:rPr>
                <w:b/>
              </w:rPr>
              <w:t xml:space="preserve"> as at 22 May 2009 </w:t>
            </w:r>
            <w:r>
              <w:t xml:space="preserve">(includes amendments listed above except those in the </w:t>
            </w:r>
            <w:r>
              <w:rPr>
                <w:i/>
              </w:rPr>
              <w:t>Shipping and Pilotage Amendment Act 2006</w:t>
            </w:r>
            <w:r>
              <w:t>)</w:t>
            </w:r>
          </w:p>
        </w:tc>
      </w:tr>
      <w:tr>
        <w:trPr>
          <w:cantSplit/>
        </w:trPr>
        <w:tc>
          <w:tcPr>
            <w:tcW w:w="2268" w:type="dxa"/>
          </w:tcPr>
          <w:p>
            <w:pPr>
              <w:pStyle w:val="nTable"/>
              <w:spacing w:after="40"/>
              <w:ind w:right="113"/>
              <w:rPr>
                <w:i/>
              </w:rPr>
            </w:pPr>
            <w:r>
              <w:rPr>
                <w:i/>
                <w:snapToGrid w:val="0"/>
              </w:rPr>
              <w:t>Personal Property Securities (Consequential Repeals and Amendments) Act 2011</w:t>
            </w:r>
            <w:r>
              <w:rPr>
                <w:snapToGrid w:val="0"/>
              </w:rPr>
              <w:t xml:space="preserve"> Pt. 12 Div. 4</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2" w:type="dxa"/>
          </w:tcPr>
          <w:p>
            <w:pPr>
              <w:pStyle w:val="nTable"/>
              <w:spacing w:after="40"/>
              <w:rPr>
                <w:spacing w:val="-2"/>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snapToGrid w:val="0"/>
              </w:rPr>
            </w:pPr>
            <w:r>
              <w:rPr>
                <w:i/>
                <w:snapToGrid w:val="0"/>
              </w:rPr>
              <w:t>Ports Legislation Amendment Act 2014</w:t>
            </w:r>
            <w:r>
              <w:rPr>
                <w:snapToGrid w:val="0"/>
              </w:rPr>
              <w:t xml:space="preserve"> Pt. 3</w:t>
            </w:r>
          </w:p>
        </w:tc>
        <w:tc>
          <w:tcPr>
            <w:tcW w:w="1134" w:type="dxa"/>
          </w:tcPr>
          <w:p>
            <w:pPr>
              <w:pStyle w:val="nTable"/>
              <w:spacing w:after="40"/>
              <w:rPr>
                <w:snapToGrid w:val="0"/>
              </w:rPr>
            </w:pPr>
            <w:r>
              <w:rPr>
                <w:snapToGrid w:val="0"/>
              </w:rPr>
              <w:t>9 of 2014</w:t>
            </w:r>
          </w:p>
        </w:tc>
        <w:tc>
          <w:tcPr>
            <w:tcW w:w="1134" w:type="dxa"/>
          </w:tcPr>
          <w:p>
            <w:pPr>
              <w:pStyle w:val="nTable"/>
              <w:spacing w:after="40"/>
            </w:pPr>
            <w:r>
              <w:t>20 May 2014</w:t>
            </w:r>
          </w:p>
        </w:tc>
        <w:tc>
          <w:tcPr>
            <w:tcW w:w="2552" w:type="dxa"/>
          </w:tcPr>
          <w:p>
            <w:pPr>
              <w:pStyle w:val="nTable"/>
              <w:spacing w:after="40"/>
              <w:rPr>
                <w:snapToGrid w:val="0"/>
              </w:rPr>
            </w:pPr>
            <w:r>
              <w:rPr>
                <w:snapToGrid w:val="0"/>
              </w:rPr>
              <w:t xml:space="preserve">31 May 2014 (see s. 2(1)(c) and </w:t>
            </w:r>
            <w:r>
              <w:rPr>
                <w:i/>
                <w:snapToGrid w:val="0"/>
              </w:rPr>
              <w:t>Gazette</w:t>
            </w:r>
            <w:r>
              <w:rPr>
                <w:snapToGrid w:val="0"/>
              </w:rPr>
              <w:t xml:space="preserve"> 30 May 2014 p. 1680)</w:t>
            </w:r>
          </w:p>
        </w:tc>
      </w:tr>
      <w:tr>
        <w:trPr>
          <w:cantSplit/>
        </w:trPr>
        <w:tc>
          <w:tcPr>
            <w:tcW w:w="2268" w:type="dxa"/>
            <w:tcBorders>
              <w:bottom w:val="single" w:sz="4" w:space="0" w:color="auto"/>
            </w:tcBorders>
          </w:tcPr>
          <w:p>
            <w:pPr>
              <w:pStyle w:val="nTable"/>
              <w:spacing w:after="40"/>
              <w:ind w:right="113"/>
              <w:rPr>
                <w:i/>
                <w:snapToGrid w:val="0"/>
              </w:rPr>
            </w:pPr>
            <w:r>
              <w:rPr>
                <w:i/>
                <w:snapToGrid w:val="0"/>
              </w:rPr>
              <w:t>Ports Legislation Amendment Act 2019</w:t>
            </w:r>
            <w:r>
              <w:rPr>
                <w:snapToGrid w:val="0"/>
              </w:rPr>
              <w:t xml:space="preserve"> Pt. 7 (other than s. 56)</w:t>
            </w:r>
          </w:p>
        </w:tc>
        <w:tc>
          <w:tcPr>
            <w:tcW w:w="1134" w:type="dxa"/>
            <w:tcBorders>
              <w:bottom w:val="single" w:sz="4" w:space="0" w:color="auto"/>
            </w:tcBorders>
          </w:tcPr>
          <w:p>
            <w:pPr>
              <w:pStyle w:val="nTable"/>
              <w:spacing w:after="40"/>
              <w:rPr>
                <w:snapToGrid w:val="0"/>
              </w:rPr>
            </w:pPr>
            <w:r>
              <w:rPr>
                <w:snapToGrid w:val="0"/>
              </w:rPr>
              <w:t>2 of 2019</w:t>
            </w:r>
          </w:p>
        </w:tc>
        <w:tc>
          <w:tcPr>
            <w:tcW w:w="1134" w:type="dxa"/>
            <w:tcBorders>
              <w:bottom w:val="single" w:sz="4" w:space="0" w:color="auto"/>
            </w:tcBorders>
          </w:tcPr>
          <w:p>
            <w:pPr>
              <w:pStyle w:val="nTable"/>
              <w:spacing w:after="40"/>
            </w:pPr>
            <w:r>
              <w:t>26 Feb 2019</w:t>
            </w:r>
          </w:p>
        </w:tc>
        <w:tc>
          <w:tcPr>
            <w:tcW w:w="2552" w:type="dxa"/>
            <w:tcBorders>
              <w:bottom w:val="single" w:sz="4" w:space="0" w:color="auto"/>
            </w:tcBorders>
          </w:tcPr>
          <w:p>
            <w:pPr>
              <w:pStyle w:val="nTable"/>
              <w:spacing w:after="40"/>
              <w:rPr>
                <w:snapToGrid w:val="0"/>
              </w:rPr>
            </w:pPr>
            <w:r>
              <w:rPr>
                <w:snapToGrid w:val="0"/>
              </w:rPr>
              <w:t>27 Feb 2019 (see s. 2(b))</w:t>
            </w:r>
          </w:p>
        </w:tc>
      </w:tr>
    </w:tbl>
    <w:p>
      <w:pPr>
        <w:pStyle w:val="nHeading3"/>
      </w:pPr>
      <w:bookmarkStart w:id="24" w:name="_Toc32409457"/>
      <w:r>
        <w:t>Uncommenced provisions table</w:t>
      </w:r>
      <w:bookmarkEnd w:id="24"/>
    </w:p>
    <w:p>
      <w:pPr>
        <w:pStyle w:val="nStatement"/>
        <w:keepNext/>
        <w:spacing w:after="240"/>
      </w:pPr>
      <w:r>
        <w:t xml:space="preserve">To view the text of the uncommenced provisions see </w:t>
      </w:r>
      <w:r>
        <w:rPr>
          <w:i/>
        </w:rPr>
        <w:t>Acts as passed</w:t>
      </w:r>
      <w:r>
        <w:t xml:space="preserve"> on the WA Legislation website.</w:t>
      </w:r>
    </w:p>
    <w:tbl>
      <w:tblPr>
        <w:tblW w:w="722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690"/>
      </w:tblGrid>
      <w:tr>
        <w:tc>
          <w:tcPr>
            <w:tcW w:w="2268" w:type="dxa"/>
            <w:tcBorders>
              <w:top w:val="single" w:sz="4" w:space="0" w:color="auto"/>
              <w:bottom w:val="single" w:sz="4" w:space="0" w:color="auto"/>
            </w:tcBorders>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tcPr>
          <w:p>
            <w:pPr>
              <w:pStyle w:val="nTable"/>
              <w:keepNext/>
              <w:keepLines/>
              <w:spacing w:after="40"/>
              <w:rPr>
                <w:b/>
                <w:snapToGrid w:val="0"/>
              </w:rPr>
            </w:pPr>
            <w:r>
              <w:rPr>
                <w:b/>
                <w:snapToGrid w:val="0"/>
              </w:rPr>
              <w:t>Number and year</w:t>
            </w:r>
          </w:p>
        </w:tc>
        <w:tc>
          <w:tcPr>
            <w:tcW w:w="1135" w:type="dxa"/>
            <w:tcBorders>
              <w:top w:val="single" w:sz="4" w:space="0" w:color="auto"/>
              <w:bottom w:val="single" w:sz="4" w:space="0" w:color="auto"/>
            </w:tcBorders>
          </w:tcPr>
          <w:p>
            <w:pPr>
              <w:pStyle w:val="nTable"/>
              <w:keepNext/>
              <w:keepLines/>
              <w:spacing w:after="40"/>
              <w:rPr>
                <w:b/>
                <w:snapToGrid w:val="0"/>
              </w:rPr>
            </w:pPr>
            <w:r>
              <w:rPr>
                <w:b/>
                <w:snapToGrid w:val="0"/>
              </w:rPr>
              <w:t>Assent</w:t>
            </w:r>
          </w:p>
        </w:tc>
        <w:tc>
          <w:tcPr>
            <w:tcW w:w="2690" w:type="dxa"/>
            <w:tcBorders>
              <w:top w:val="single" w:sz="4" w:space="0" w:color="auto"/>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vertAlign w:val="superscript"/>
              </w:rPr>
            </w:pPr>
            <w:r>
              <w:rPr>
                <w:i/>
              </w:rPr>
              <w:t xml:space="preserve">Shipping and Pilotage Amendment Act 2006 </w:t>
            </w:r>
            <w:r>
              <w:t>s. 8 and 13(1)(b)</w:t>
            </w:r>
          </w:p>
        </w:tc>
        <w:tc>
          <w:tcPr>
            <w:tcW w:w="1134" w:type="dxa"/>
            <w:tcBorders>
              <w:top w:val="single" w:sz="4" w:space="0" w:color="auto"/>
              <w:bottom w:val="nil"/>
            </w:tcBorders>
          </w:tcPr>
          <w:p>
            <w:pPr>
              <w:pStyle w:val="nTable"/>
              <w:spacing w:after="40"/>
              <w:rPr>
                <w:snapToGrid w:val="0"/>
              </w:rPr>
            </w:pPr>
            <w:r>
              <w:rPr>
                <w:snapToGrid w:val="0"/>
              </w:rPr>
              <w:t>71 of 2006</w:t>
            </w:r>
          </w:p>
        </w:tc>
        <w:tc>
          <w:tcPr>
            <w:tcW w:w="1135" w:type="dxa"/>
            <w:tcBorders>
              <w:top w:val="single" w:sz="4" w:space="0" w:color="auto"/>
              <w:bottom w:val="nil"/>
            </w:tcBorders>
          </w:tcPr>
          <w:p>
            <w:pPr>
              <w:pStyle w:val="nTable"/>
              <w:spacing w:after="40"/>
              <w:rPr>
                <w:snapToGrid w:val="0"/>
              </w:rPr>
            </w:pPr>
            <w:r>
              <w:t>13 Dec 2006</w:t>
            </w:r>
          </w:p>
        </w:tc>
        <w:tc>
          <w:tcPr>
            <w:tcW w:w="2690" w:type="dxa"/>
            <w:tcBorders>
              <w:top w:val="single" w:sz="4" w:space="0" w:color="auto"/>
              <w:bottom w:val="nil"/>
            </w:tcBorders>
          </w:tcPr>
          <w:p>
            <w:pPr>
              <w:pStyle w:val="nTable"/>
              <w:spacing w:after="40"/>
              <w:rPr>
                <w:snapToGrid w:val="0"/>
              </w:rPr>
            </w:pPr>
            <w:r>
              <w:t>To be proclaimed</w:t>
            </w:r>
            <w:r>
              <w:rPr>
                <w:snapToGrid w:val="0"/>
              </w:rPr>
              <w:t xml:space="preserve"> (see s. 2)</w:t>
            </w:r>
          </w:p>
        </w:tc>
      </w:tr>
      <w:tr>
        <w:tc>
          <w:tcPr>
            <w:tcW w:w="2268" w:type="dxa"/>
            <w:tcBorders>
              <w:top w:val="nil"/>
              <w:bottom w:val="single" w:sz="4" w:space="0" w:color="auto"/>
            </w:tcBorders>
          </w:tcPr>
          <w:p>
            <w:pPr>
              <w:pStyle w:val="nTable"/>
              <w:spacing w:after="40"/>
              <w:rPr>
                <w:i/>
                <w:vertAlign w:val="superscript"/>
              </w:rPr>
            </w:pPr>
            <w:r>
              <w:rPr>
                <w:i/>
                <w:snapToGrid w:val="0"/>
              </w:rPr>
              <w:t>Ports Legislation Amendment Act 2019</w:t>
            </w:r>
            <w:r>
              <w:rPr>
                <w:snapToGrid w:val="0"/>
              </w:rPr>
              <w:t xml:space="preserve"> s. 56</w:t>
            </w:r>
          </w:p>
        </w:tc>
        <w:tc>
          <w:tcPr>
            <w:tcW w:w="1134" w:type="dxa"/>
            <w:tcBorders>
              <w:top w:val="nil"/>
              <w:bottom w:val="single" w:sz="4" w:space="0" w:color="auto"/>
            </w:tcBorders>
          </w:tcPr>
          <w:p>
            <w:pPr>
              <w:pStyle w:val="nTable"/>
              <w:spacing w:after="40"/>
              <w:rPr>
                <w:snapToGrid w:val="0"/>
              </w:rPr>
            </w:pPr>
            <w:r>
              <w:rPr>
                <w:snapToGrid w:val="0"/>
              </w:rPr>
              <w:t>2 of 2019</w:t>
            </w:r>
          </w:p>
        </w:tc>
        <w:tc>
          <w:tcPr>
            <w:tcW w:w="1135" w:type="dxa"/>
            <w:tcBorders>
              <w:top w:val="nil"/>
              <w:bottom w:val="single" w:sz="4" w:space="0" w:color="auto"/>
            </w:tcBorders>
          </w:tcPr>
          <w:p>
            <w:pPr>
              <w:pStyle w:val="nTable"/>
              <w:spacing w:after="40"/>
            </w:pPr>
            <w:r>
              <w:t>26 Feb 2019</w:t>
            </w:r>
          </w:p>
        </w:tc>
        <w:tc>
          <w:tcPr>
            <w:tcW w:w="2690" w:type="dxa"/>
            <w:tcBorders>
              <w:top w:val="nil"/>
              <w:bottom w:val="single" w:sz="4" w:space="0" w:color="auto"/>
            </w:tcBorders>
          </w:tcPr>
          <w:p>
            <w:pPr>
              <w:pStyle w:val="nTable"/>
              <w:spacing w:after="40"/>
            </w:pPr>
            <w:r>
              <w:t>To be proclaimed (see s. 2(d)(ii))</w:t>
            </w:r>
          </w:p>
        </w:tc>
      </w:tr>
    </w:tbl>
    <w:p>
      <w:pPr>
        <w:pStyle w:val="nHeading3"/>
      </w:pPr>
      <w:bookmarkStart w:id="25" w:name="_Toc32409458"/>
      <w:r>
        <w:t>Other notes</w:t>
      </w:r>
      <w:bookmarkEnd w:id="25"/>
    </w:p>
    <w:p>
      <w:pPr>
        <w:pStyle w:val="nNote"/>
        <w:rPr>
          <w:snapToGrid w:val="0"/>
        </w:rPr>
      </w:pPr>
      <w:r>
        <w:rPr>
          <w:snapToGrid w:val="0"/>
          <w:vertAlign w:val="superscript"/>
        </w:rPr>
        <w:t>1</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Note"/>
        <w:keepNext/>
        <w:spacing w:before="120"/>
        <w:rPr>
          <w:snapToGrid w:val="0"/>
        </w:rPr>
      </w:pPr>
      <w:r>
        <w:rPr>
          <w:snapToGrid w:val="0"/>
          <w:vertAlign w:val="superscript"/>
        </w:rPr>
        <w:t>2</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Note"/>
        <w:keepNext/>
        <w:keepLines/>
        <w:rPr>
          <w:snapToGrid w:val="0"/>
        </w:rPr>
      </w:pPr>
      <w:r>
        <w:rPr>
          <w:snapToGrid w:val="0"/>
          <w:vertAlign w:val="superscript"/>
        </w:rPr>
        <w:t>3</w:t>
      </w:r>
      <w:r>
        <w:rPr>
          <w:snapToGrid w:val="0"/>
        </w:rPr>
        <w:tab/>
        <w:t xml:space="preserve">The </w:t>
      </w:r>
      <w:r>
        <w:rPr>
          <w:i/>
          <w:snapToGrid w:val="0"/>
        </w:rPr>
        <w:t>Standardisation of Formatting Act 2010</w:t>
      </w:r>
      <w:r>
        <w:rPr>
          <w:snapToGrid w:val="0"/>
        </w:rPr>
        <w:t xml:space="preserve"> s. 4, the amendment to the </w:t>
      </w:r>
      <w:r>
        <w:rPr>
          <w:i/>
          <w:snapToGrid w:val="0"/>
        </w:rPr>
        <w:t>Shipping and Pilotage Act 1967</w:t>
      </w:r>
      <w:r>
        <w:rPr>
          <w:snapToGrid w:val="0"/>
        </w:rPr>
        <w:t xml:space="preserve"> Schedule, had not come into operation when it was deleted by the </w:t>
      </w:r>
      <w:r>
        <w:rPr>
          <w:i/>
          <w:snapToGrid w:val="0"/>
        </w:rPr>
        <w:t>Statutes (Repeals and Minor Amendments) Act 2014</w:t>
      </w:r>
      <w:r>
        <w:rPr>
          <w:snapToGrid w:val="0"/>
        </w:rPr>
        <w:t xml:space="preserve"> s. 39(2)(d).</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7" w:name="_Toc32409415"/>
      <w:bookmarkStart w:id="28" w:name="_Toc32409437"/>
      <w:bookmarkStart w:id="29" w:name="_Toc32409459"/>
      <w:r>
        <w:rPr>
          <w:sz w:val="28"/>
        </w:rPr>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12(1b)</w:t>
      </w:r>
    </w:p>
    <w:p>
      <w:pPr>
        <w:pStyle w:val="DefinedTerms"/>
      </w:pPr>
      <w:r>
        <w:t>boat harbour</w:t>
      </w:r>
      <w:r>
        <w:tab/>
        <w:t>3</w:t>
      </w:r>
    </w:p>
    <w:p>
      <w:pPr>
        <w:pStyle w:val="DefinedTerms"/>
      </w:pPr>
      <w:r>
        <w:t>CEO</w:t>
      </w:r>
      <w:r>
        <w:tab/>
        <w:t>3</w:t>
      </w:r>
    </w:p>
    <w:p>
      <w:pPr>
        <w:pStyle w:val="DefinedTerms"/>
      </w:pPr>
      <w:r>
        <w:t>controlled area</w:t>
      </w:r>
      <w:r>
        <w:tab/>
        <w:t>3</w:t>
      </w:r>
    </w:p>
    <w:p>
      <w:pPr>
        <w:pStyle w:val="DefinedTerms"/>
      </w:pPr>
      <w:r>
        <w:t>controlling authority</w:t>
      </w:r>
      <w:r>
        <w:tab/>
        <w:t>3</w:t>
      </w:r>
    </w:p>
    <w:p>
      <w:pPr>
        <w:pStyle w:val="DefinedTerms"/>
      </w:pPr>
      <w:r>
        <w:t>declared area</w:t>
      </w:r>
      <w:r>
        <w:tab/>
        <w:t>6A(1)</w:t>
      </w:r>
    </w:p>
    <w:p>
      <w:pPr>
        <w:pStyle w:val="DefinedTerms"/>
      </w:pPr>
      <w:r>
        <w:t>Department</w:t>
      </w:r>
      <w:r>
        <w:tab/>
        <w:t>3</w:t>
      </w:r>
    </w:p>
    <w:p>
      <w:pPr>
        <w:pStyle w:val="DefinedTerms"/>
      </w:pPr>
      <w:r>
        <w:t>existing port</w:t>
      </w:r>
      <w:r>
        <w:tab/>
        <w:t>10(3)</w:t>
      </w:r>
    </w:p>
    <w:p>
      <w:pPr>
        <w:pStyle w:val="DefinedTerms"/>
      </w:pPr>
      <w:r>
        <w:t>harbour master</w:t>
      </w:r>
      <w:r>
        <w:tab/>
        <w:t>3</w:t>
      </w:r>
    </w:p>
    <w:p>
      <w:pPr>
        <w:pStyle w:val="DefinedTerms"/>
      </w:pPr>
      <w:r>
        <w:t>marine safety plan</w:t>
      </w:r>
      <w:r>
        <w:tab/>
        <w:t>3</w:t>
      </w:r>
    </w:p>
    <w:p>
      <w:pPr>
        <w:pStyle w:val="DefinedTerms"/>
      </w:pPr>
      <w:r>
        <w:t>mooring control area</w:t>
      </w:r>
      <w:r>
        <w:tab/>
        <w:t>3</w:t>
      </w:r>
    </w:p>
    <w:p>
      <w:pPr>
        <w:pStyle w:val="DefinedTerms"/>
      </w:pPr>
      <w:r>
        <w:t>pilot’s licence</w:t>
      </w:r>
      <w:r>
        <w:tab/>
        <w:t>9(2)</w:t>
      </w:r>
    </w:p>
    <w:p>
      <w:pPr>
        <w:pStyle w:val="DefinedTerms"/>
      </w:pPr>
      <w:r>
        <w:t>pilotage area</w:t>
      </w:r>
      <w:r>
        <w:tab/>
        <w:t>3</w:t>
      </w:r>
    </w:p>
    <w:p>
      <w:pPr>
        <w:pStyle w:val="DefinedTerms"/>
      </w:pPr>
      <w:r>
        <w:t>port</w:t>
      </w:r>
      <w:r>
        <w:tab/>
        <w:t>3</w:t>
      </w:r>
    </w:p>
    <w:p>
      <w:pPr>
        <w:pStyle w:val="DefinedTerms"/>
      </w:pPr>
      <w:r>
        <w:t>regulations</w:t>
      </w:r>
      <w:r>
        <w:tab/>
        <w:t>10(3)</w:t>
      </w:r>
    </w:p>
    <w:p>
      <w:pPr>
        <w:pStyle w:val="DefinedTerms"/>
      </w:pPr>
      <w:r>
        <w:t>specified</w:t>
      </w:r>
      <w:r>
        <w:tab/>
        <w:t>12(1b), 12(3)</w:t>
      </w:r>
    </w:p>
    <w:p>
      <w:pPr>
        <w:pStyle w:val="DefinedTerms"/>
      </w:pPr>
      <w:r>
        <w:t>wreckage</w:t>
      </w:r>
      <w:r>
        <w:tab/>
        <w:t>5(4)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Act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4F0A9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1206"/>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 w:name="WAFER_20140529155215" w:val="RemoveTocBookmarks,RunningHeaders"/>
    <w:docVar w:name="WAFER_20140529155215_GUID" w:val="4b2994b5-3382-4530-9590-4403c59b59d4"/>
    <w:docVar w:name="WAFER_20140613112558" w:val="RemoveTocBookmarks,RemoveUnusedBookmarks,RemoveLanguageTags,UsedStyles,ResetPageSize"/>
    <w:docVar w:name="WAFER_20140613112558_GUID" w:val="737a5b17-d11b-4b8c-b322-7cdd85780e2a"/>
    <w:docVar w:name="WAFER_20150710153055" w:val="ResetPageSize,UpdateArrangement,UpdateNTable"/>
    <w:docVar w:name="WAFER_20150710153055_GUID" w:val="f13ba2e9-47cc-4ea4-a01c-bc33c744b4e5"/>
    <w:docVar w:name="WAFER_20151109160337" w:val="UpdateStyles,UsedStyles"/>
    <w:docVar w:name="WAFER_20151109160337_GUID" w:val="d4f9e4d9-012e-4826-b746-dd3e58bfd837"/>
    <w:docVar w:name="WAFER_20151109160346" w:val="UpdateStyles,UsedStyles"/>
    <w:docVar w:name="WAFER_20151109160346_GUID" w:val="b0e7affc-a077-4c45-b162-2eeaa6a5991b"/>
    <w:docVar w:name="WAFER_20190227105200" w:val="RemoveTocBookmarks,RemoveUnusedBookmarks,RemoveLanguageTags,UpdateStyles,UsedStyles,ResetPageSize"/>
    <w:docVar w:name="WAFER_20190227105200_GUID" w:val="103f05fa-6118-40ac-990b-cbf1ca155bec"/>
    <w:docVar w:name="WAFER_202002121412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1206_GUID" w:val="c90be8c2-b0f3-43c3-9456-1eb4c2c0c3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6374</Words>
  <Characters>29132</Characters>
  <Application>Microsoft Office Word</Application>
  <DocSecurity>0</DocSecurity>
  <Lines>882</Lines>
  <Paragraphs>486</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Manager/>
  <Company/>
  <LinksUpToDate>false</LinksUpToDate>
  <CharactersWithSpaces>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1967 - 04-j0-01</dc:title>
  <dc:subject/>
  <dc:creator/>
  <cp:keywords/>
  <dc:description/>
  <cp:lastModifiedBy>svcMRProcess</cp:lastModifiedBy>
  <cp:revision>4</cp:revision>
  <cp:lastPrinted>2009-05-18T06:46:00Z</cp:lastPrinted>
  <dcterms:created xsi:type="dcterms:W3CDTF">2020-02-25T05:03:00Z</dcterms:created>
  <dcterms:modified xsi:type="dcterms:W3CDTF">2020-02-25T05:03:00Z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DocumentType">
    <vt:lpwstr>Act</vt:lpwstr>
  </property>
  <property fmtid="{D5CDD505-2E9C-101B-9397-08002B2CF9AE}" pid="4" name="OwlsUID">
    <vt:i4>749</vt:i4>
  </property>
  <property fmtid="{D5CDD505-2E9C-101B-9397-08002B2CF9AE}" pid="5" name="ReprintNo">
    <vt:lpwstr>4</vt:lpwstr>
  </property>
  <property fmtid="{D5CDD505-2E9C-101B-9397-08002B2CF9AE}" pid="6" name="ThisVersion">
    <vt:lpwstr>04-c0-00</vt:lpwstr>
  </property>
  <property fmtid="{D5CDD505-2E9C-101B-9397-08002B2CF9AE}" pid="7" name="CommencementDate">
    <vt:lpwstr>20190227</vt:lpwstr>
  </property>
  <property fmtid="{D5CDD505-2E9C-101B-9397-08002B2CF9AE}" pid="8" name="AsAtDate">
    <vt:lpwstr>27 Feb 2019</vt:lpwstr>
  </property>
  <property fmtid="{D5CDD505-2E9C-101B-9397-08002B2CF9AE}" pid="9" name="Suffix">
    <vt:lpwstr>04-j0-01</vt:lpwstr>
  </property>
</Properties>
</file>