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Children’s Court of Western Australia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Children’s Court (Fees)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Children’s Court (Fees) Regulations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_Toc3283740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_Toc3283741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_Toc3283742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Fees to be charged (Act s. 53)</w:t>
      </w:r>
      <w:r>
        <w:tab/>
      </w:r>
      <w:r>
        <w:fldChar w:fldCharType="begin"/>
      </w:r>
      <w:r>
        <w:instrText xml:space="preserve"> PAGEREF _Toc3283743 \h </w:instrText>
      </w:r>
      <w:r>
        <w:fldChar w:fldCharType="separate"/>
      </w:r>
      <w:r>
        <w:t>2</w:t>
      </w:r>
      <w:r>
        <w:fldChar w:fldCharType="end"/>
      </w:r>
    </w:p>
    <w:p>
      <w:pPr>
        <w:pStyle w:val="TOC8"/>
        <w:rPr>
          <w:rFonts w:asciiTheme="minorHAnsi" w:eastAsiaTheme="minorEastAsia" w:hAnsiTheme="minorHAnsi" w:cstheme="minorBidi"/>
          <w:szCs w:val="22"/>
        </w:rPr>
      </w:pPr>
      <w:r>
        <w:t>5.</w:t>
      </w:r>
      <w:r>
        <w:tab/>
        <w:t>Exemptions</w:t>
      </w:r>
      <w:r>
        <w:tab/>
      </w:r>
      <w:r>
        <w:fldChar w:fldCharType="begin"/>
      </w:r>
      <w:r>
        <w:instrText xml:space="preserve"> PAGEREF _Toc3283744 \h </w:instrText>
      </w:r>
      <w:r>
        <w:fldChar w:fldCharType="separate"/>
      </w:r>
      <w:r>
        <w:t>2</w:t>
      </w:r>
      <w:r>
        <w:fldChar w:fldCharType="end"/>
      </w:r>
    </w:p>
    <w:p>
      <w:pPr>
        <w:pStyle w:val="TOC8"/>
        <w:rPr>
          <w:rFonts w:asciiTheme="minorHAnsi" w:eastAsiaTheme="minorEastAsia" w:hAnsiTheme="minorHAnsi" w:cstheme="minorBidi"/>
          <w:szCs w:val="22"/>
        </w:rPr>
      </w:pPr>
      <w:r>
        <w:t>6.</w:t>
      </w:r>
      <w:r>
        <w:tab/>
        <w:t>Some fees subject to conditions or must be waived</w:t>
      </w:r>
      <w:r>
        <w:tab/>
      </w:r>
      <w:r>
        <w:fldChar w:fldCharType="begin"/>
      </w:r>
      <w:r>
        <w:instrText xml:space="preserve"> PAGEREF _Toc3283745 \h </w:instrText>
      </w:r>
      <w:r>
        <w:fldChar w:fldCharType="separate"/>
      </w:r>
      <w:r>
        <w:t>3</w:t>
      </w:r>
      <w:r>
        <w:fldChar w:fldCharType="end"/>
      </w:r>
    </w:p>
    <w:p>
      <w:pPr>
        <w:pStyle w:val="TOC8"/>
        <w:rPr>
          <w:rFonts w:asciiTheme="minorHAnsi" w:eastAsiaTheme="minorEastAsia" w:hAnsiTheme="minorHAnsi" w:cstheme="minorBidi"/>
          <w:szCs w:val="22"/>
        </w:rPr>
      </w:pPr>
      <w:r>
        <w:t>7.</w:t>
      </w:r>
      <w:r>
        <w:tab/>
        <w:t>F</w:t>
      </w:r>
      <w:r>
        <w:rPr>
          <w:snapToGrid w:val="0"/>
        </w:rPr>
        <w:t>ees to be paid before documents etc. filed in civil cases</w:t>
      </w:r>
      <w:r>
        <w:tab/>
      </w:r>
      <w:r>
        <w:fldChar w:fldCharType="begin"/>
      </w:r>
      <w:r>
        <w:instrText xml:space="preserve"> PAGEREF _Toc3283746 \h </w:instrText>
      </w:r>
      <w:r>
        <w:fldChar w:fldCharType="separate"/>
      </w:r>
      <w:r>
        <w:t>4</w:t>
      </w:r>
      <w:r>
        <w:fldChar w:fldCharType="end"/>
      </w:r>
    </w:p>
    <w:p>
      <w:pPr>
        <w:pStyle w:val="TOC8"/>
        <w:rPr>
          <w:rFonts w:asciiTheme="minorHAnsi" w:eastAsiaTheme="minorEastAsia" w:hAnsiTheme="minorHAnsi" w:cstheme="minorBidi"/>
          <w:szCs w:val="22"/>
        </w:rPr>
      </w:pPr>
      <w:r>
        <w:t>8.</w:t>
      </w:r>
      <w:r>
        <w:tab/>
        <w:t>Who is an eligible individual</w:t>
      </w:r>
      <w:r>
        <w:tab/>
      </w:r>
      <w:r>
        <w:fldChar w:fldCharType="begin"/>
      </w:r>
      <w:r>
        <w:instrText xml:space="preserve"> PAGEREF _Toc3283747 \h </w:instrText>
      </w:r>
      <w:r>
        <w:fldChar w:fldCharType="separate"/>
      </w:r>
      <w:r>
        <w:t>4</w:t>
      </w:r>
      <w:r>
        <w:fldChar w:fldCharType="end"/>
      </w:r>
    </w:p>
    <w:p>
      <w:pPr>
        <w:pStyle w:val="TOC8"/>
        <w:rPr>
          <w:rFonts w:asciiTheme="minorHAnsi" w:eastAsiaTheme="minorEastAsia" w:hAnsiTheme="minorHAnsi" w:cstheme="minorBidi"/>
          <w:szCs w:val="22"/>
        </w:rPr>
      </w:pPr>
      <w:r>
        <w:t>9A.</w:t>
      </w:r>
      <w:r>
        <w:tab/>
        <w:t>Application to be recognised as eligible individual</w:t>
      </w:r>
      <w:r>
        <w:tab/>
      </w:r>
      <w:r>
        <w:fldChar w:fldCharType="begin"/>
      </w:r>
      <w:r>
        <w:instrText xml:space="preserve"> PAGEREF _Toc3283748 \h </w:instrText>
      </w:r>
      <w:r>
        <w:fldChar w:fldCharType="separate"/>
      </w:r>
      <w:r>
        <w:t>5</w:t>
      </w:r>
      <w:r>
        <w:fldChar w:fldCharType="end"/>
      </w:r>
    </w:p>
    <w:p>
      <w:pPr>
        <w:pStyle w:val="TOC8"/>
        <w:rPr>
          <w:rFonts w:asciiTheme="minorHAnsi" w:eastAsiaTheme="minorEastAsia" w:hAnsiTheme="minorHAnsi" w:cstheme="minorBidi"/>
          <w:szCs w:val="22"/>
        </w:rPr>
      </w:pPr>
      <w:r>
        <w:t>9B.</w:t>
      </w:r>
      <w:r>
        <w:tab/>
        <w:t>Recognition as eligible individual</w:t>
      </w:r>
      <w:r>
        <w:tab/>
      </w:r>
      <w:r>
        <w:fldChar w:fldCharType="begin"/>
      </w:r>
      <w:r>
        <w:instrText xml:space="preserve"> PAGEREF _Toc3283749 \h </w:instrText>
      </w:r>
      <w:r>
        <w:fldChar w:fldCharType="separate"/>
      </w:r>
      <w:r>
        <w:t>6</w:t>
      </w:r>
      <w:r>
        <w:fldChar w:fldCharType="end"/>
      </w:r>
    </w:p>
    <w:p>
      <w:pPr>
        <w:pStyle w:val="TOC8"/>
        <w:rPr>
          <w:rFonts w:asciiTheme="minorHAnsi" w:eastAsiaTheme="minorEastAsia" w:hAnsiTheme="minorHAnsi" w:cstheme="minorBidi"/>
          <w:szCs w:val="22"/>
        </w:rPr>
      </w:pPr>
      <w:r>
        <w:t>9C.</w:t>
      </w:r>
      <w:r>
        <w:tab/>
        <w:t>False or misleading statements</w:t>
      </w:r>
      <w:r>
        <w:tab/>
      </w:r>
      <w:r>
        <w:fldChar w:fldCharType="begin"/>
      </w:r>
      <w:r>
        <w:instrText xml:space="preserve"> PAGEREF _Toc3283750 \h </w:instrText>
      </w:r>
      <w:r>
        <w:fldChar w:fldCharType="separate"/>
      </w:r>
      <w:r>
        <w:t>6</w:t>
      </w:r>
      <w:r>
        <w:fldChar w:fldCharType="end"/>
      </w:r>
    </w:p>
    <w:p>
      <w:pPr>
        <w:pStyle w:val="TOC8"/>
        <w:rPr>
          <w:rFonts w:asciiTheme="minorHAnsi" w:eastAsiaTheme="minorEastAsia" w:hAnsiTheme="minorHAnsi" w:cstheme="minorBidi"/>
          <w:szCs w:val="22"/>
        </w:rPr>
      </w:pPr>
      <w:r>
        <w:t>9D.</w:t>
      </w:r>
      <w:r>
        <w:tab/>
        <w:t>Refunds</w:t>
      </w:r>
      <w:r>
        <w:tab/>
      </w:r>
      <w:r>
        <w:fldChar w:fldCharType="begin"/>
      </w:r>
      <w:r>
        <w:instrText xml:space="preserve"> PAGEREF _Toc3283751 \h </w:instrText>
      </w:r>
      <w:r>
        <w:fldChar w:fldCharType="separate"/>
      </w:r>
      <w:r>
        <w:t>7</w:t>
      </w:r>
      <w:r>
        <w:fldChar w:fldCharType="end"/>
      </w:r>
    </w:p>
    <w:p>
      <w:pPr>
        <w:pStyle w:val="TOC8"/>
        <w:rPr>
          <w:rFonts w:asciiTheme="minorHAnsi" w:eastAsiaTheme="minorEastAsia" w:hAnsiTheme="minorHAnsi" w:cstheme="minorBidi"/>
          <w:szCs w:val="22"/>
        </w:rPr>
      </w:pPr>
      <w:r>
        <w:t>9.</w:t>
      </w:r>
      <w:r>
        <w:tab/>
        <w:t>Waiving fee for copy of document or transcript</w:t>
      </w:r>
      <w:r>
        <w:tab/>
      </w:r>
      <w:r>
        <w:fldChar w:fldCharType="begin"/>
      </w:r>
      <w:r>
        <w:instrText xml:space="preserve"> PAGEREF _Toc3283752 \h </w:instrText>
      </w:r>
      <w:r>
        <w:fldChar w:fldCharType="separate"/>
      </w:r>
      <w:r>
        <w:t>7</w:t>
      </w:r>
      <w:r>
        <w:fldChar w:fldCharType="end"/>
      </w:r>
    </w:p>
    <w:p>
      <w:pPr>
        <w:pStyle w:val="TOC8"/>
        <w:rPr>
          <w:rFonts w:asciiTheme="minorHAnsi" w:eastAsiaTheme="minorEastAsia" w:hAnsiTheme="minorHAnsi" w:cstheme="minorBidi"/>
          <w:szCs w:val="22"/>
        </w:rPr>
      </w:pPr>
      <w:r>
        <w:t>10.</w:t>
      </w:r>
      <w:r>
        <w:tab/>
        <w:t>Disputes as to fees, determination of</w:t>
      </w:r>
      <w:r>
        <w:tab/>
      </w:r>
      <w:r>
        <w:fldChar w:fldCharType="begin"/>
      </w:r>
      <w:r>
        <w:instrText xml:space="preserve"> PAGEREF _Toc3283753 \h </w:instrText>
      </w:r>
      <w:r>
        <w:fldChar w:fldCharType="separate"/>
      </w:r>
      <w:r>
        <w:t>8</w:t>
      </w:r>
      <w:r>
        <w:fldChar w:fldCharType="end"/>
      </w:r>
    </w:p>
    <w:p>
      <w:pPr>
        <w:pStyle w:val="TOC8"/>
        <w:rPr>
          <w:rFonts w:asciiTheme="minorHAnsi" w:eastAsiaTheme="minorEastAsia" w:hAnsiTheme="minorHAnsi" w:cstheme="minorBidi"/>
          <w:szCs w:val="22"/>
        </w:rPr>
      </w:pPr>
      <w:r>
        <w:t>11.</w:t>
      </w:r>
      <w:r>
        <w:tab/>
        <w:t>Unpaid fees, recovery of</w:t>
      </w:r>
      <w:r>
        <w:tab/>
      </w:r>
      <w:r>
        <w:fldChar w:fldCharType="begin"/>
      </w:r>
      <w:r>
        <w:instrText xml:space="preserve"> PAGEREF _Toc3283754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w:t>
      </w:r>
      <w:r>
        <w:rPr>
          <w:b w:val="0"/>
        </w:rPr>
        <w:t> — </w:t>
      </w:r>
      <w:r>
        <w:t>General</w:t>
      </w:r>
    </w:p>
    <w:p>
      <w:pPr>
        <w:pStyle w:val="TOC4"/>
        <w:tabs>
          <w:tab w:val="right" w:leader="dot" w:pos="7077"/>
        </w:tabs>
        <w:rPr>
          <w:rFonts w:asciiTheme="minorHAnsi" w:eastAsiaTheme="minorEastAsia" w:hAnsiTheme="minorHAnsi" w:cstheme="minorBidi"/>
          <w:b w:val="0"/>
          <w:szCs w:val="22"/>
        </w:rPr>
      </w:pPr>
      <w:r>
        <w:t>Division 2</w:t>
      </w:r>
      <w:r>
        <w:rPr>
          <w:b w:val="0"/>
        </w:rPr>
        <w:t> — </w:t>
      </w:r>
      <w:r>
        <w:t>Civil jurisdiction</w:t>
      </w:r>
    </w:p>
    <w:p>
      <w:pPr>
        <w:pStyle w:val="TOC4"/>
        <w:tabs>
          <w:tab w:val="right" w:leader="dot" w:pos="7077"/>
        </w:tabs>
        <w:rPr>
          <w:rFonts w:asciiTheme="minorHAnsi" w:eastAsiaTheme="minorEastAsia" w:hAnsiTheme="minorHAnsi" w:cstheme="minorBidi"/>
          <w:b w:val="0"/>
          <w:szCs w:val="22"/>
        </w:rPr>
      </w:pPr>
      <w:r>
        <w:t>Division 3 — Criminal jurisdiction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_Toc3283760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after="360"/>
      </w:pPr>
      <w:r>
        <w:t>Children’s Court of Western Australia Act 1988</w:t>
      </w:r>
    </w:p>
    <w:p>
      <w:pPr>
        <w:pStyle w:val="NameofActReg"/>
        <w:spacing w:after="480"/>
      </w:pPr>
      <w:r>
        <w:t>Children’s Court (Fees) Regulations 2005</w:t>
      </w:r>
    </w:p>
    <w:p>
      <w:pPr>
        <w:pStyle w:val="Heading5"/>
      </w:pPr>
      <w:bookmarkStart w:id="3" w:name="_Toc3283740"/>
      <w:r>
        <w:rPr>
          <w:rStyle w:val="CharSectno"/>
        </w:rPr>
        <w:t>1</w:t>
      </w:r>
      <w:r>
        <w:t>.</w:t>
      </w:r>
      <w:r>
        <w:tab/>
        <w:t>Citation</w:t>
      </w:r>
      <w:bookmarkEnd w:id="3"/>
    </w:p>
    <w:p>
      <w:pPr>
        <w:pStyle w:val="Subsection"/>
        <w:rPr>
          <w:i/>
        </w:rPr>
      </w:pPr>
      <w:r>
        <w:tab/>
      </w:r>
      <w:r>
        <w:tab/>
      </w:r>
      <w:r>
        <w:rPr>
          <w:spacing w:val="-2"/>
        </w:rPr>
        <w:t>These</w:t>
      </w:r>
      <w:r>
        <w:t> </w:t>
      </w:r>
      <w:r>
        <w:rPr>
          <w:spacing w:val="-2"/>
        </w:rPr>
        <w:t>regulations</w:t>
      </w:r>
      <w:r>
        <w:t xml:space="preserve"> are the </w:t>
      </w:r>
      <w:r>
        <w:rPr>
          <w:i/>
        </w:rPr>
        <w:t>Children’s Court (Fees) Regulations 2005</w:t>
      </w:r>
      <w:r>
        <w:rPr>
          <w:vertAlign w:val="superscript"/>
        </w:rPr>
        <w:t> 1</w:t>
      </w:r>
      <w:r>
        <w:t>.</w:t>
      </w:r>
    </w:p>
    <w:p>
      <w:pPr>
        <w:pStyle w:val="Heading5"/>
        <w:rPr>
          <w:spacing w:val="-2"/>
        </w:rPr>
      </w:pPr>
      <w:bookmarkStart w:id="4" w:name="_Toc3283741"/>
      <w:r>
        <w:rPr>
          <w:rStyle w:val="CharSectno"/>
        </w:rPr>
        <w:t>2</w:t>
      </w:r>
      <w:r>
        <w:rPr>
          <w:spacing w:val="-2"/>
        </w:rPr>
        <w:t>.</w:t>
      </w:r>
      <w:r>
        <w:rPr>
          <w:spacing w:val="-2"/>
        </w:rPr>
        <w:tab/>
        <w:t>Commencement</w:t>
      </w:r>
      <w:bookmarkEnd w:id="4"/>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5" w:name="_Toc3283742"/>
      <w:r>
        <w:rPr>
          <w:rStyle w:val="CharSectno"/>
        </w:rPr>
        <w:t>3</w:t>
      </w:r>
      <w:r>
        <w:t>.</w:t>
      </w:r>
      <w:r>
        <w:tab/>
        <w:t>Terms used</w:t>
      </w:r>
      <w:bookmarkEnd w:id="5"/>
    </w:p>
    <w:p>
      <w:pPr>
        <w:pStyle w:val="Subsection"/>
      </w:pPr>
      <w:r>
        <w:tab/>
      </w:r>
      <w:r>
        <w:tab/>
        <w:t xml:space="preserve">In these regulations unless the contrary intention appears — </w:t>
      </w:r>
    </w:p>
    <w:p>
      <w:pPr>
        <w:pStyle w:val="Defstart"/>
      </w:pPr>
      <w:r>
        <w:tab/>
      </w:r>
      <w:r>
        <w:rPr>
          <w:rStyle w:val="CharDefText"/>
        </w:rPr>
        <w:t>approved form</w:t>
      </w:r>
      <w:r>
        <w:t xml:space="preserve"> means a form approved by the President;</w:t>
      </w:r>
    </w:p>
    <w:p>
      <w:pPr>
        <w:pStyle w:val="Defstart"/>
      </w:pPr>
      <w:r>
        <w:rPr>
          <w:b/>
        </w:rPr>
        <w:tab/>
      </w:r>
      <w:r>
        <w:rPr>
          <w:rStyle w:val="CharDefText"/>
        </w:rPr>
        <w:t>civil jurisdiction</w:t>
      </w:r>
      <w:r>
        <w:t xml:space="preserve"> means the Court’s jurisdiction other than criminal jurisdiction;</w:t>
      </w:r>
    </w:p>
    <w:p>
      <w:pPr>
        <w:pStyle w:val="Defstart"/>
      </w:pPr>
      <w:r>
        <w:rPr>
          <w:b/>
        </w:rPr>
        <w:tab/>
      </w:r>
      <w:r>
        <w:rPr>
          <w:rStyle w:val="CharDefText"/>
        </w:rPr>
        <w:t>criminal jurisdiction</w:t>
      </w:r>
      <w:r>
        <w:t xml:space="preserve"> means the Court’s jurisdiction under the Act section 19;</w:t>
      </w:r>
    </w:p>
    <w:p>
      <w:pPr>
        <w:pStyle w:val="Defstart"/>
      </w:pPr>
      <w:r>
        <w:rPr>
          <w:b/>
        </w:rPr>
        <w:tab/>
      </w:r>
      <w:r>
        <w:rPr>
          <w:rStyle w:val="CharDefText"/>
        </w:rPr>
        <w:t>deputy registrar</w:t>
      </w:r>
      <w:r>
        <w:t xml:space="preserve"> means a deputy registrar appointed under the Act section 16(1);</w:t>
      </w:r>
    </w:p>
    <w:p>
      <w:pPr>
        <w:pStyle w:val="Defstart"/>
      </w:pPr>
      <w:r>
        <w:tab/>
      </w:r>
      <w:r>
        <w:rPr>
          <w:rStyle w:val="CharDefText"/>
        </w:rPr>
        <w:t>eligible individual</w:t>
      </w:r>
      <w:r>
        <w:t xml:space="preserve"> means an individual referred to in regulation 8(2);</w:t>
      </w:r>
    </w:p>
    <w:p>
      <w:pPr>
        <w:pStyle w:val="Defstart"/>
      </w:pPr>
      <w:r>
        <w:tab/>
      </w:r>
      <w:r>
        <w:rPr>
          <w:rStyle w:val="CharDefText"/>
        </w:rPr>
        <w:t>eligible individual fee</w:t>
      </w:r>
      <w:r>
        <w:t>, in relation to a matter specified in an item in Schedule 1, means the fee, if any, shown in column B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Footnotesection"/>
        <w:spacing w:before="100"/>
        <w:ind w:left="890" w:hanging="890"/>
      </w:pPr>
      <w:r>
        <w:tab/>
        <w:t>[Regulation 3 amended: Gazette 23 Jun 2006 p. 2182; 14 Jun 2016 p. 1856.]</w:t>
      </w:r>
    </w:p>
    <w:p>
      <w:pPr>
        <w:pStyle w:val="Heading5"/>
        <w:spacing w:before="200"/>
        <w:rPr>
          <w:snapToGrid w:val="0"/>
        </w:rPr>
      </w:pPr>
      <w:bookmarkStart w:id="6" w:name="_Toc3283743"/>
      <w:r>
        <w:rPr>
          <w:rStyle w:val="CharSectno"/>
        </w:rPr>
        <w:t>4</w:t>
      </w:r>
      <w:r>
        <w:t>.</w:t>
      </w:r>
      <w:r>
        <w:tab/>
      </w:r>
      <w:r>
        <w:rPr>
          <w:snapToGrid w:val="0"/>
        </w:rPr>
        <w:t>Fees to be charged (Act s. 53)</w:t>
      </w:r>
      <w:bookmarkEnd w:id="6"/>
    </w:p>
    <w:p>
      <w:pPr>
        <w:pStyle w:val="Subsection"/>
        <w:spacing w:before="130"/>
        <w:rPr>
          <w:snapToGrid w:val="0"/>
        </w:rPr>
      </w:pPr>
      <w:r>
        <w:rPr>
          <w:snapToGrid w:val="0"/>
        </w:rPr>
        <w:tab/>
        <w:t>(1)</w:t>
      </w:r>
      <w:r>
        <w:rPr>
          <w:snapToGrid w:val="0"/>
        </w:rPr>
        <w:tab/>
        <w:t>Subject to the provisions of these regulations, the fees specified in Schedule 1 are to be charged in respect of the matters referred to in the Act section 53 in relation to which they are applicable.</w:t>
      </w:r>
    </w:p>
    <w:p>
      <w:pPr>
        <w:pStyle w:val="Subsection"/>
      </w:pPr>
      <w:r>
        <w:tab/>
        <w:t>(2A)</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rPr>
          <w:snapToGrid w:val="0"/>
        </w:rPr>
      </w:pPr>
      <w:r>
        <w:tab/>
        <w:t>(b)</w:t>
      </w:r>
      <w:r>
        <w:tab/>
        <w:t>the fee payable by an eligible individual is the eligible individual fee for that item.</w:t>
      </w:r>
    </w:p>
    <w:p>
      <w:pPr>
        <w:pStyle w:val="Subsection"/>
        <w:spacing w:before="130"/>
        <w:rPr>
          <w:snapToGrid w:val="0"/>
        </w:rPr>
      </w:pPr>
      <w:r>
        <w:rPr>
          <w:snapToGrid w:val="0"/>
        </w:rPr>
        <w:tab/>
        <w:t>(2)</w:t>
      </w:r>
      <w:r>
        <w:rPr>
          <w:snapToGrid w:val="0"/>
        </w:rPr>
        <w:tab/>
        <w:t>A note to an item in Schedule 1 has effect according to its tenor as if it were a provision of these regulations.</w:t>
      </w:r>
    </w:p>
    <w:p>
      <w:pPr>
        <w:pStyle w:val="Footnotesection"/>
        <w:spacing w:before="100"/>
        <w:ind w:left="890" w:hanging="890"/>
      </w:pPr>
      <w:r>
        <w:tab/>
        <w:t>[Regulation 4 amended: Gazette 14 Jun 2016 p. 1856.]</w:t>
      </w:r>
    </w:p>
    <w:p>
      <w:pPr>
        <w:pStyle w:val="Heading5"/>
      </w:pPr>
      <w:bookmarkStart w:id="7" w:name="_Toc3283744"/>
      <w:r>
        <w:rPr>
          <w:rStyle w:val="CharSectno"/>
        </w:rPr>
        <w:t>5</w:t>
      </w:r>
      <w:r>
        <w:t>.</w:t>
      </w:r>
      <w:r>
        <w:tab/>
        <w:t>Exemptions</w:t>
      </w:r>
      <w:bookmarkEnd w:id="7"/>
    </w:p>
    <w:p>
      <w:pPr>
        <w:pStyle w:val="Subsection"/>
      </w:pPr>
      <w:r>
        <w:tab/>
      </w:r>
      <w:r>
        <w:tab/>
        <w:t xml:space="preserve">A person is not required to pay a fee in respect of a matter if — </w:t>
      </w:r>
    </w:p>
    <w:p>
      <w:pPr>
        <w:pStyle w:val="Indenta"/>
      </w:pPr>
      <w:r>
        <w:tab/>
        <w:t>(a)</w:t>
      </w:r>
      <w:r>
        <w:tab/>
        <w:t xml:space="preserve">the matter is an application under the </w:t>
      </w:r>
      <w:r>
        <w:rPr>
          <w:i/>
        </w:rPr>
        <w:t xml:space="preserve">Restraining Orders Act 1997 </w:t>
      </w:r>
      <w:r>
        <w:t>for a family violence restraining order or violence restraining order or to vary or cancel a family violence restraining order or violence restraining order; or</w:t>
      </w:r>
    </w:p>
    <w:p>
      <w:pPr>
        <w:pStyle w:val="Indenta"/>
      </w:pPr>
      <w:r>
        <w:tab/>
        <w:t>(b)</w:t>
      </w:r>
      <w:r>
        <w:tab/>
        <w:t xml:space="preserve">the matter is an application under the </w:t>
      </w:r>
      <w:r>
        <w:rPr>
          <w:i/>
        </w:rPr>
        <w:t xml:space="preserve">Prohibited Behaviour Orders Act 2010 </w:t>
      </w:r>
      <w:r>
        <w:t>for a prohibited behaviour order or to vary or cancel a prohibited behaviour order; or</w:t>
      </w:r>
    </w:p>
    <w:p>
      <w:pPr>
        <w:pStyle w:val="Indenta"/>
      </w:pPr>
      <w:r>
        <w:tab/>
        <w:t>(c)</w:t>
      </w:r>
      <w:r>
        <w:tab/>
        <w:t>a written law provides that the person is not required to pay a fee in respect of a matter of that type; or</w:t>
      </w:r>
    </w:p>
    <w:p>
      <w:pPr>
        <w:pStyle w:val="Indenta"/>
      </w:pPr>
      <w:r>
        <w:tab/>
        <w:t>(d)</w:t>
      </w:r>
      <w:r>
        <w:tab/>
        <w:t>the person has not reached 18 years of age on the day the fee would otherwise be payable.</w:t>
      </w:r>
    </w:p>
    <w:p>
      <w:pPr>
        <w:pStyle w:val="Footnotesection"/>
        <w:spacing w:before="100"/>
        <w:ind w:left="890" w:hanging="890"/>
      </w:pPr>
      <w:r>
        <w:tab/>
        <w:t>[Regulation 5 inserted: Gazette 14 Jun 2016 p. 1857; amended: Gazette 27 Jun 2017 p. 3433.]</w:t>
      </w:r>
    </w:p>
    <w:p>
      <w:pPr>
        <w:pStyle w:val="Heading5"/>
        <w:spacing w:before="200"/>
      </w:pPr>
      <w:bookmarkStart w:id="8" w:name="_Toc3283745"/>
      <w:r>
        <w:rPr>
          <w:rStyle w:val="CharSectno"/>
        </w:rPr>
        <w:t>6</w:t>
      </w:r>
      <w:r>
        <w:t>.</w:t>
      </w:r>
      <w:r>
        <w:tab/>
        <w:t>Some fees subject to conditions or must be waived</w:t>
      </w:r>
      <w:bookmarkEnd w:id="8"/>
    </w:p>
    <w:p>
      <w:pPr>
        <w:pStyle w:val="Subsection"/>
        <w:spacing w:before="130"/>
      </w:pPr>
      <w:r>
        <w:tab/>
        <w:t>(1)</w:t>
      </w:r>
      <w:r>
        <w:tab/>
        <w:t xml:space="preserve">This regulation applies to — </w:t>
      </w:r>
    </w:p>
    <w:p>
      <w:pPr>
        <w:pStyle w:val="Indenta"/>
        <w:spacing w:before="60"/>
      </w:pPr>
      <w:r>
        <w:tab/>
        <w:t>(a)</w:t>
      </w:r>
      <w:r>
        <w:tab/>
        <w:t>proceedings in the Court’s criminal jurisdiction; and</w:t>
      </w:r>
    </w:p>
    <w:p>
      <w:pPr>
        <w:pStyle w:val="Indenta"/>
        <w:spacing w:before="60"/>
        <w:rPr>
          <w:iCs/>
        </w:rPr>
      </w:pPr>
      <w:r>
        <w:tab/>
        <w:t>(b)</w:t>
      </w:r>
      <w:r>
        <w:tab/>
        <w:t xml:space="preserve">proceedings under the </w:t>
      </w:r>
      <w:r>
        <w:rPr>
          <w:i/>
        </w:rPr>
        <w:t>Restraining Orders Act 1997</w:t>
      </w:r>
      <w:r>
        <w:rPr>
          <w:iCs/>
        </w:rPr>
        <w:t>.</w:t>
      </w:r>
    </w:p>
    <w:p>
      <w:pPr>
        <w:pStyle w:val="Subsection"/>
        <w:spacing w:before="130"/>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keepNext/>
        <w:spacing w:before="120"/>
      </w:pPr>
      <w:r>
        <w:tab/>
        <w:t>(3)</w:t>
      </w:r>
      <w:r>
        <w:tab/>
        <w:t>If —</w:t>
      </w:r>
    </w:p>
    <w:p>
      <w:pPr>
        <w:pStyle w:val="Indenta"/>
        <w:spacing w:before="60"/>
      </w:pPr>
      <w:r>
        <w:tab/>
        <w:t>(a)</w:t>
      </w:r>
      <w:r>
        <w:tab/>
        <w:t xml:space="preserve">proceedings are instituted or taken — </w:t>
      </w:r>
    </w:p>
    <w:p>
      <w:pPr>
        <w:pStyle w:val="Indenti"/>
        <w:spacing w:before="60"/>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spacing w:before="180"/>
      </w:pPr>
      <w:r>
        <w:tab/>
      </w:r>
      <w:r>
        <w:tab/>
        <w:t>the appropriate prescribed fees are payable only upon conviction of and recovery from the accused or the making of a restraining order and recovery from the respondent.</w:t>
      </w:r>
    </w:p>
    <w:p>
      <w:pPr>
        <w:pStyle w:val="Subsection"/>
        <w:spacing w:before="180"/>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that applies to the respondent; and</w:t>
      </w:r>
    </w:p>
    <w:p>
      <w:pPr>
        <w:pStyle w:val="Indenta"/>
      </w:pPr>
      <w:r>
        <w:tab/>
        <w:t>(c)</w:t>
      </w:r>
      <w:r>
        <w:tab/>
        <w:t>the respondent has not previously obtained a copy of the application under this subregulation,</w:t>
      </w:r>
    </w:p>
    <w:p>
      <w:pPr>
        <w:pStyle w:val="Subsection"/>
        <w:spacing w:before="180"/>
      </w:pPr>
      <w:r>
        <w:tab/>
      </w:r>
      <w:r>
        <w:tab/>
        <w:t>waive the fee for a copy of the application.</w:t>
      </w:r>
    </w:p>
    <w:p>
      <w:pPr>
        <w:pStyle w:val="Heading5"/>
        <w:spacing w:before="240"/>
        <w:rPr>
          <w:snapToGrid w:val="0"/>
        </w:rPr>
      </w:pPr>
      <w:bookmarkStart w:id="9" w:name="_Toc3283746"/>
      <w:r>
        <w:rPr>
          <w:rStyle w:val="CharSectno"/>
        </w:rPr>
        <w:t>7</w:t>
      </w:r>
      <w:r>
        <w:t>.</w:t>
      </w:r>
      <w:r>
        <w:tab/>
      </w:r>
      <w:r>
        <w:rPr>
          <w:rStyle w:val="CharSectno"/>
        </w:rPr>
        <w:t>F</w:t>
      </w:r>
      <w:r>
        <w:rPr>
          <w:snapToGrid w:val="0"/>
        </w:rPr>
        <w:t>ees to be paid before documents etc. filed in civil cases</w:t>
      </w:r>
      <w:bookmarkEnd w:id="9"/>
    </w:p>
    <w:p>
      <w:pPr>
        <w:pStyle w:val="Subsection"/>
        <w:spacing w:before="180"/>
      </w:pPr>
      <w:r>
        <w:tab/>
        <w:t>(1)</w:t>
      </w:r>
      <w:r>
        <w:tab/>
        <w:t>This regulation applies to proceedings in the Court’s civil jurisdiction.</w:t>
      </w:r>
    </w:p>
    <w:p>
      <w:pPr>
        <w:pStyle w:val="Subsection"/>
        <w:spacing w:before="180"/>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pPr>
      <w:bookmarkStart w:id="10" w:name="_Toc3283747"/>
      <w:r>
        <w:rPr>
          <w:rStyle w:val="CharSectno"/>
        </w:rPr>
        <w:t>8</w:t>
      </w:r>
      <w:r>
        <w:t>.</w:t>
      </w:r>
      <w:r>
        <w:tab/>
        <w:t>Who is an eligible individual</w:t>
      </w:r>
      <w:bookmarkEnd w:id="10"/>
      <w:r>
        <w:t xml:space="preserve"> </w:t>
      </w:r>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9B(1).</w:t>
      </w:r>
    </w:p>
    <w:p>
      <w:pPr>
        <w:pStyle w:val="Footnotesection"/>
        <w:spacing w:before="100"/>
        <w:ind w:left="890" w:hanging="890"/>
      </w:pPr>
      <w:r>
        <w:tab/>
        <w:t>[Regulation 8 inserted: Gazette 14 Jun 2016 p. 1857</w:t>
      </w:r>
      <w:r>
        <w:noBreakHyphen/>
        <w:t>8; amended: Gazette 20 Jul 2018 p. 2621.]</w:t>
      </w:r>
    </w:p>
    <w:p>
      <w:pPr>
        <w:pStyle w:val="Heading5"/>
      </w:pPr>
      <w:bookmarkStart w:id="11" w:name="_Toc3283748"/>
      <w:r>
        <w:rPr>
          <w:rStyle w:val="CharSectno"/>
        </w:rPr>
        <w:t>9A</w:t>
      </w:r>
      <w:r>
        <w:t>.</w:t>
      </w:r>
      <w:r>
        <w:tab/>
        <w:t>Application to be recognised as eligible individual</w:t>
      </w:r>
      <w:bookmarkEnd w:id="11"/>
      <w:r>
        <w:t xml:space="preserve"> </w:t>
      </w:r>
    </w:p>
    <w:p>
      <w:pPr>
        <w:pStyle w:val="Subsection"/>
      </w:pPr>
      <w:r>
        <w:tab/>
        <w:t>(1)</w:t>
      </w:r>
      <w:r>
        <w:tab/>
        <w:t>A person may apply for a direction under regulation 9B(1) that, in respect of a matter specified in Schedule 1, the person is an eligible individual described in regulation 8(2)(f).</w:t>
      </w:r>
    </w:p>
    <w:p>
      <w:pPr>
        <w:pStyle w:val="Subsection"/>
      </w:pPr>
      <w:r>
        <w:tab/>
        <w:t>(2)</w:t>
      </w:r>
      <w:r>
        <w:tab/>
        <w:t>An application is to be in the approved form and is to specify the matter in respect of which the individual is seeking to pay the eligible individual fee.</w:t>
      </w:r>
    </w:p>
    <w:p>
      <w:pPr>
        <w:pStyle w:val="Subsection"/>
      </w:pPr>
      <w:r>
        <w:tab/>
        <w:t>(3)</w:t>
      </w:r>
      <w:r>
        <w:tab/>
        <w:t>Despite anything else in these regulations, a fee is not to be charged in respect of an application under subregulation (1).</w:t>
      </w:r>
    </w:p>
    <w:p>
      <w:pPr>
        <w:pStyle w:val="Footnotesection"/>
        <w:spacing w:before="100"/>
        <w:ind w:left="890" w:hanging="890"/>
      </w:pPr>
      <w:r>
        <w:tab/>
        <w:t>[Regulation 9A inserted: Gazette 14 Jun 2016 p. 1858</w:t>
      </w:r>
      <w:r>
        <w:noBreakHyphen/>
        <w:t>9; amended: Gazette 20 Jul 2018 p. 2622.]</w:t>
      </w:r>
    </w:p>
    <w:p>
      <w:pPr>
        <w:pStyle w:val="Heading5"/>
        <w:pageBreakBefore/>
        <w:spacing w:before="0"/>
      </w:pPr>
      <w:bookmarkStart w:id="12" w:name="_Toc3283749"/>
      <w:r>
        <w:rPr>
          <w:rStyle w:val="CharSectno"/>
        </w:rPr>
        <w:t>9B</w:t>
      </w:r>
      <w:r>
        <w:t>.</w:t>
      </w:r>
      <w:r>
        <w:tab/>
        <w:t>Recognition as eligible individual</w:t>
      </w:r>
      <w:bookmarkEnd w:id="12"/>
    </w:p>
    <w:p>
      <w:pPr>
        <w:pStyle w:val="Subsection"/>
      </w:pPr>
      <w:r>
        <w:tab/>
        <w:t>(1)</w:t>
      </w:r>
      <w:r>
        <w:tab/>
        <w:t xml:space="preserve">On an application under regulation 9A(1) the Court or a registrar may direct that a person is an eligible individual described in regulation 8(2)(f)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The Court or a registrar may, before an application is determined, direct the applicant to provide to the registrar or the Court further information relating to the application.</w:t>
      </w:r>
    </w:p>
    <w:p>
      <w:pPr>
        <w:pStyle w:val="Subsection"/>
      </w:pPr>
      <w:r>
        <w:tab/>
        <w:t>(3)</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spacing w:before="100"/>
        <w:ind w:left="890" w:hanging="890"/>
      </w:pPr>
      <w:r>
        <w:tab/>
        <w:t>[Regulation 9B inserted: Gazette 14 Jun 2016 p. 1859; amended: Gazette 20 Jul 2018 p. 2622.]</w:t>
      </w:r>
    </w:p>
    <w:p>
      <w:pPr>
        <w:pStyle w:val="Heading5"/>
      </w:pPr>
      <w:bookmarkStart w:id="13" w:name="_Toc3283750"/>
      <w:r>
        <w:rPr>
          <w:rStyle w:val="CharSectno"/>
        </w:rPr>
        <w:t>9C</w:t>
      </w:r>
      <w:r>
        <w:t>.</w:t>
      </w:r>
      <w:r>
        <w:tab/>
        <w:t>False or misleading statements</w:t>
      </w:r>
      <w:bookmarkEnd w:id="13"/>
    </w:p>
    <w:p>
      <w:pPr>
        <w:pStyle w:val="Subsection"/>
      </w:pPr>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revoke a direction made under regulation 9B(1) if satisfied, having given the person an opportunity to make a written submission, that the person has contravened subregulation (1).</w:t>
      </w:r>
    </w:p>
    <w:p>
      <w:pPr>
        <w:pStyle w:val="Subsection"/>
        <w:keepNext/>
      </w:pPr>
      <w:r>
        <w:tab/>
        <w:t>(3)</w:t>
      </w:r>
      <w:r>
        <w:tab/>
        <w:t xml:space="preserve">If a direction is revoked under subregulation (2), the Court or registrar may — </w:t>
      </w:r>
    </w:p>
    <w:p>
      <w:pPr>
        <w:pStyle w:val="Indenta"/>
      </w:pPr>
      <w:r>
        <w:tab/>
        <w:t>(a)</w:t>
      </w:r>
      <w:r>
        <w:tab/>
        <w:t>order that the person in respect of whom the direction was made pay the difference between the fee the person paid and the fee that would otherwise have been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matter to which the fees relate or the effect of anything that has been done in respect of the matter until the sum ordered to be paid has been paid.</w:t>
      </w:r>
    </w:p>
    <w:p>
      <w:pPr>
        <w:pStyle w:val="Footnotesection"/>
        <w:spacing w:before="100"/>
        <w:ind w:left="890" w:hanging="890"/>
      </w:pPr>
      <w:r>
        <w:tab/>
        <w:t>[Regulation 9C inserted: Gazette 14 Jun 2016 p. 1860.]</w:t>
      </w:r>
    </w:p>
    <w:p>
      <w:pPr>
        <w:pStyle w:val="Heading5"/>
      </w:pPr>
      <w:bookmarkStart w:id="14" w:name="_Toc3283751"/>
      <w:r>
        <w:rPr>
          <w:rStyle w:val="CharSectno"/>
        </w:rPr>
        <w:t>9D</w:t>
      </w:r>
      <w:r>
        <w:t>.</w:t>
      </w:r>
      <w:r>
        <w:tab/>
        <w:t>Refunds</w:t>
      </w:r>
      <w:bookmarkEnd w:id="14"/>
    </w:p>
    <w:p>
      <w:pPr>
        <w:pStyle w:val="Subsection"/>
      </w:pPr>
      <w:r>
        <w:tab/>
        <w:t>(1)</w:t>
      </w:r>
      <w:r>
        <w:tab/>
        <w:t>A judge or magistrate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registrar may refund to a person the amount of a fee, or part of a fee, paid by the person if the amount was paid in error.</w:t>
      </w:r>
    </w:p>
    <w:p>
      <w:pPr>
        <w:pStyle w:val="Footnotesection"/>
        <w:spacing w:before="100"/>
        <w:ind w:left="890" w:hanging="890"/>
      </w:pPr>
      <w:r>
        <w:tab/>
        <w:t>[Regulation 9D inserted: Gazette 14 Jun 2016 p. 1860</w:t>
      </w:r>
      <w:r>
        <w:noBreakHyphen/>
        <w:t>1.]</w:t>
      </w:r>
    </w:p>
    <w:p>
      <w:pPr>
        <w:pStyle w:val="Heading5"/>
      </w:pPr>
      <w:bookmarkStart w:id="15" w:name="_Toc3283752"/>
      <w:r>
        <w:rPr>
          <w:rStyle w:val="CharSectno"/>
        </w:rPr>
        <w:t>9</w:t>
      </w:r>
      <w:r>
        <w:t>.</w:t>
      </w:r>
      <w:r>
        <w:tab/>
        <w:t>Waiving fee for copy of document or transcript</w:t>
      </w:r>
      <w:bookmarkEnd w:id="15"/>
      <w:r>
        <w:t xml:space="preserve"> </w:t>
      </w:r>
    </w:p>
    <w:p>
      <w:pPr>
        <w:pStyle w:val="Subsection"/>
      </w:pPr>
      <w:r>
        <w:tab/>
      </w:r>
      <w:r>
        <w:tab/>
        <w:t>The Court or a registrar may waive a fee referred to in Schedule 1 Division 1 item 6(a) or 7 if the Court or registrar is satisfied that the waiving of the fee would assist in the efficient operation of the Court.</w:t>
      </w:r>
    </w:p>
    <w:p>
      <w:pPr>
        <w:pStyle w:val="Footnotesection"/>
        <w:spacing w:before="100"/>
        <w:ind w:left="890" w:hanging="890"/>
      </w:pPr>
      <w:r>
        <w:tab/>
        <w:t>[Regulation 9 inserted: Gazette 14 Jun 2016 p. 1861.]</w:t>
      </w:r>
    </w:p>
    <w:p>
      <w:pPr>
        <w:pStyle w:val="Heading5"/>
        <w:pageBreakBefore/>
        <w:spacing w:before="0"/>
      </w:pPr>
      <w:bookmarkStart w:id="16" w:name="_Toc3283753"/>
      <w:r>
        <w:rPr>
          <w:rStyle w:val="CharSectno"/>
        </w:rPr>
        <w:t>10</w:t>
      </w:r>
      <w:r>
        <w:t>.</w:t>
      </w:r>
      <w:r>
        <w:tab/>
        <w:t>Disputes as to fees, determination of</w:t>
      </w:r>
      <w:bookmarkEnd w:id="16"/>
    </w:p>
    <w:p>
      <w:pPr>
        <w:pStyle w:val="Subsection"/>
      </w:pPr>
      <w:r>
        <w:tab/>
        <w:t>(1)</w:t>
      </w:r>
      <w:r>
        <w:tab/>
        <w:t>If a question arises as to the fee payable or applicable in a particular case, that question is to be determined by a registrar.</w:t>
      </w:r>
    </w:p>
    <w:p>
      <w:pPr>
        <w:pStyle w:val="Subsection"/>
      </w:pPr>
      <w:r>
        <w:tab/>
        <w:t>(2)</w:t>
      </w:r>
      <w:r>
        <w:tab/>
        <w:t>An application for a determination under subregulation (1) is to be in the approved form.</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Footnotesection"/>
        <w:spacing w:before="100"/>
        <w:ind w:left="890" w:hanging="890"/>
      </w:pPr>
      <w:r>
        <w:tab/>
        <w:t>[Regulation 10 amended: Gazette 14 Jun 2016 p. 1861.]</w:t>
      </w:r>
    </w:p>
    <w:p>
      <w:pPr>
        <w:pStyle w:val="Heading5"/>
      </w:pPr>
      <w:bookmarkStart w:id="17" w:name="_Toc3283754"/>
      <w:r>
        <w:rPr>
          <w:rStyle w:val="CharSectno"/>
        </w:rPr>
        <w:t>11</w:t>
      </w:r>
      <w:r>
        <w:t>.</w:t>
      </w:r>
      <w:r>
        <w:tab/>
        <w:t>Unpaid fees, recovery of</w:t>
      </w:r>
      <w:bookmarkEnd w:id="17"/>
    </w:p>
    <w:p>
      <w:pPr>
        <w:pStyle w:val="Subsection"/>
      </w:pPr>
      <w:r>
        <w:tab/>
      </w:r>
      <w:r>
        <w:tab/>
        <w:t>Any unpaid fee is a debt due to the State and may be recovered by action in a court of competent jurisdiction.</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8" w:name="_Toc3203255"/>
      <w:bookmarkStart w:id="19" w:name="_Toc3203288"/>
      <w:bookmarkStart w:id="20" w:name="_Toc3283755"/>
      <w:r>
        <w:rPr>
          <w:rStyle w:val="CharSchNo"/>
        </w:rPr>
        <w:t>Schedule 1</w:t>
      </w:r>
      <w:r>
        <w:t> — </w:t>
      </w:r>
      <w:r>
        <w:rPr>
          <w:rStyle w:val="CharSchText"/>
        </w:rPr>
        <w:t>Fees</w:t>
      </w:r>
      <w:bookmarkEnd w:id="18"/>
      <w:bookmarkEnd w:id="19"/>
      <w:bookmarkEnd w:id="20"/>
    </w:p>
    <w:p>
      <w:pPr>
        <w:pStyle w:val="yShoulderClause"/>
      </w:pPr>
      <w:r>
        <w:t>[r. 4]</w:t>
      </w:r>
    </w:p>
    <w:p>
      <w:pPr>
        <w:pStyle w:val="yFootnoteheading"/>
        <w:spacing w:before="0"/>
      </w:pPr>
      <w:r>
        <w:tab/>
        <w:t>[Heading inserted: Gazette 15 Jun 2018 p. 1964.]</w:t>
      </w:r>
    </w:p>
    <w:p>
      <w:pPr>
        <w:pStyle w:val="yHeading3"/>
        <w:spacing w:before="120"/>
      </w:pPr>
      <w:bookmarkStart w:id="21" w:name="_Toc3203256"/>
      <w:bookmarkStart w:id="22" w:name="_Toc3203289"/>
      <w:bookmarkStart w:id="23" w:name="_Toc3283756"/>
      <w:r>
        <w:rPr>
          <w:rStyle w:val="CharSDivNo"/>
        </w:rPr>
        <w:t>Division 1</w:t>
      </w:r>
      <w:r>
        <w:rPr>
          <w:b w:val="0"/>
        </w:rPr>
        <w:t> — </w:t>
      </w:r>
      <w:r>
        <w:rPr>
          <w:rStyle w:val="CharSDivText"/>
        </w:rPr>
        <w:t>General</w:t>
      </w:r>
      <w:bookmarkEnd w:id="21"/>
      <w:bookmarkEnd w:id="22"/>
      <w:bookmarkEnd w:id="23"/>
    </w:p>
    <w:p>
      <w:pPr>
        <w:pStyle w:val="yFootnoteheading"/>
      </w:pPr>
      <w:r>
        <w:tab/>
        <w:t>[Heading inserted: Gazette 15 Jun 2018 p. 1964.]</w:t>
      </w:r>
    </w:p>
    <w:tbl>
      <w:tblPr>
        <w:tblW w:w="7088" w:type="dxa"/>
        <w:tblInd w:w="108" w:type="dxa"/>
        <w:tblLayout w:type="fixed"/>
        <w:tblLook w:val="0000" w:firstRow="0" w:lastRow="0" w:firstColumn="0" w:lastColumn="0" w:noHBand="0" w:noVBand="0"/>
      </w:tblPr>
      <w:tblGrid>
        <w:gridCol w:w="709"/>
        <w:gridCol w:w="3544"/>
        <w:gridCol w:w="1417"/>
        <w:gridCol w:w="1418"/>
      </w:tblGrid>
      <w:tr>
        <w:trPr>
          <w:cantSplit/>
          <w:tblHeader/>
        </w:trPr>
        <w:tc>
          <w:tcPr>
            <w:tcW w:w="709" w:type="dxa"/>
            <w:tcBorders>
              <w:top w:val="single" w:sz="4" w:space="0" w:color="auto"/>
              <w:bottom w:val="single" w:sz="4" w:space="0" w:color="auto"/>
            </w:tcBorders>
          </w:tcPr>
          <w:p>
            <w:pPr>
              <w:pStyle w:val="yTableNAm"/>
              <w:jc w:val="center"/>
            </w:pPr>
            <w:r>
              <w:rPr>
                <w:b/>
              </w:rPr>
              <w:t>Item</w:t>
            </w:r>
          </w:p>
        </w:tc>
        <w:tc>
          <w:tcPr>
            <w:tcW w:w="3544" w:type="dxa"/>
            <w:tcBorders>
              <w:top w:val="single" w:sz="4" w:space="0" w:color="auto"/>
              <w:bottom w:val="single" w:sz="4" w:space="0" w:color="auto"/>
            </w:tcBorders>
          </w:tcPr>
          <w:p>
            <w:pPr>
              <w:pStyle w:val="yTableNAm"/>
              <w:jc w:val="center"/>
            </w:pPr>
            <w:r>
              <w:rPr>
                <w:b/>
              </w:rPr>
              <w:t>Matter</w:t>
            </w:r>
          </w:p>
        </w:tc>
        <w:tc>
          <w:tcPr>
            <w:tcW w:w="1417" w:type="dxa"/>
            <w:tcBorders>
              <w:top w:val="single" w:sz="4" w:space="0" w:color="auto"/>
              <w:bottom w:val="single" w:sz="4" w:space="0" w:color="auto"/>
            </w:tcBorders>
          </w:tcPr>
          <w:p>
            <w:pPr>
              <w:pStyle w:val="yTableNAm"/>
              <w:jc w:val="center"/>
            </w:pPr>
            <w:r>
              <w:rPr>
                <w:b/>
              </w:rPr>
              <w:t>Column A</w:t>
            </w:r>
          </w:p>
          <w:p>
            <w:pPr>
              <w:pStyle w:val="yTableNAm"/>
              <w:jc w:val="center"/>
            </w:pPr>
            <w:r>
              <w:t>Fee for individual</w:t>
            </w:r>
            <w:r>
              <w:br/>
            </w:r>
          </w:p>
          <w:p>
            <w:pPr>
              <w:pStyle w:val="yTableNAm"/>
              <w:jc w:val="center"/>
            </w:pPr>
            <w:r>
              <w:t>$</w:t>
            </w:r>
          </w:p>
        </w:tc>
        <w:tc>
          <w:tcPr>
            <w:tcW w:w="1418" w:type="dxa"/>
            <w:tcBorders>
              <w:top w:val="single" w:sz="4" w:space="0" w:color="auto"/>
              <w:bottom w:val="single" w:sz="4" w:space="0" w:color="auto"/>
            </w:tcBorders>
          </w:tcPr>
          <w:p>
            <w:pPr>
              <w:pStyle w:val="yTableNAm"/>
              <w:jc w:val="center"/>
            </w:pPr>
            <w:r>
              <w:rPr>
                <w:b/>
              </w:rPr>
              <w:t>Column B</w:t>
            </w:r>
          </w:p>
          <w:p>
            <w:pPr>
              <w:pStyle w:val="yTableNAm"/>
              <w:jc w:val="center"/>
            </w:pPr>
            <w:r>
              <w:t>Fee for eligible individual</w:t>
            </w:r>
          </w:p>
          <w:p>
            <w:pPr>
              <w:pStyle w:val="yTableNAm"/>
              <w:jc w:val="center"/>
            </w:pPr>
            <w:r>
              <w:t>$</w:t>
            </w:r>
          </w:p>
        </w:tc>
      </w:tr>
      <w:tr>
        <w:trPr>
          <w:cantSplit/>
        </w:trPr>
        <w:tc>
          <w:tcPr>
            <w:tcW w:w="709" w:type="dxa"/>
            <w:tcBorders>
              <w:top w:val="single" w:sz="4" w:space="0" w:color="auto"/>
            </w:tcBorders>
          </w:tcPr>
          <w:p>
            <w:pPr>
              <w:pStyle w:val="yTableNAm"/>
            </w:pPr>
            <w:r>
              <w:t>1.</w:t>
            </w:r>
          </w:p>
        </w:tc>
        <w:tc>
          <w:tcPr>
            <w:tcW w:w="3544" w:type="dxa"/>
            <w:tcBorders>
              <w:top w:val="single" w:sz="4" w:space="0" w:color="auto"/>
            </w:tcBorders>
          </w:tcPr>
          <w:p>
            <w:pPr>
              <w:pStyle w:val="yTableNAm"/>
              <w:ind w:left="601" w:hanging="601"/>
            </w:pPr>
            <w:r>
              <w:t>(a)</w:t>
            </w:r>
            <w:r>
              <w:tab/>
              <w:t xml:space="preserve">For every order or conviction drawn up in the Court’s criminal jurisdiction </w:t>
            </w:r>
          </w:p>
          <w:p>
            <w:pPr>
              <w:pStyle w:val="yTableNAm"/>
              <w:ind w:left="601" w:hanging="601"/>
            </w:pPr>
            <w:r>
              <w:t>(b)</w:t>
            </w:r>
            <w:r>
              <w:tab/>
              <w:t xml:space="preserve">Issue of a duplicate document or order </w:t>
            </w:r>
          </w:p>
        </w:tc>
        <w:tc>
          <w:tcPr>
            <w:tcW w:w="1417" w:type="dxa"/>
            <w:tcBorders>
              <w:top w:val="single" w:sz="4" w:space="0" w:color="auto"/>
            </w:tcBorders>
          </w:tcPr>
          <w:p>
            <w:pPr>
              <w:pStyle w:val="yTableNAm"/>
            </w:pPr>
            <w:r>
              <w:br/>
            </w:r>
            <w:r>
              <w:br/>
              <w:t>17.65</w:t>
            </w:r>
          </w:p>
          <w:p>
            <w:pPr>
              <w:pStyle w:val="yTableNAm"/>
            </w:pPr>
            <w:r>
              <w:br/>
              <w:t>17.65</w:t>
            </w:r>
          </w:p>
        </w:tc>
        <w:tc>
          <w:tcPr>
            <w:tcW w:w="1418" w:type="dxa"/>
            <w:tcBorders>
              <w:top w:val="single" w:sz="4" w:space="0" w:color="auto"/>
            </w:tcBorders>
          </w:tcPr>
          <w:p>
            <w:pPr>
              <w:pStyle w:val="yTableNAm"/>
            </w:pPr>
            <w:r>
              <w:br/>
            </w:r>
            <w:r>
              <w:br/>
              <w:t>5.30</w:t>
            </w:r>
          </w:p>
          <w:p>
            <w:pPr>
              <w:pStyle w:val="yTableNAm"/>
            </w:pPr>
            <w:r>
              <w:br/>
              <w:t>5.30</w:t>
            </w:r>
          </w:p>
        </w:tc>
      </w:tr>
      <w:tr>
        <w:trPr>
          <w:cantSplit/>
        </w:trPr>
        <w:tc>
          <w:tcPr>
            <w:tcW w:w="709" w:type="dxa"/>
          </w:tcPr>
          <w:p>
            <w:pPr>
              <w:pStyle w:val="yTableNAm"/>
            </w:pPr>
            <w:r>
              <w:t>2.</w:t>
            </w:r>
          </w:p>
        </w:tc>
        <w:tc>
          <w:tcPr>
            <w:tcW w:w="3544" w:type="dxa"/>
          </w:tcPr>
          <w:p>
            <w:pPr>
              <w:pStyle w:val="yTableNAm"/>
            </w:pPr>
            <w:r>
              <w:t xml:space="preserve">For the service of any application, summons, originating process, notice or order of the Court or any other process requiring service </w:t>
            </w:r>
          </w:p>
        </w:tc>
        <w:tc>
          <w:tcPr>
            <w:tcW w:w="1417" w:type="dxa"/>
          </w:tcPr>
          <w:p>
            <w:pPr>
              <w:pStyle w:val="yTableNAm"/>
            </w:pPr>
            <w:r>
              <w:br/>
            </w:r>
            <w:r>
              <w:br/>
            </w:r>
            <w:r>
              <w:br/>
              <w:t>77.00</w:t>
            </w:r>
          </w:p>
        </w:tc>
        <w:tc>
          <w:tcPr>
            <w:tcW w:w="1418" w:type="dxa"/>
          </w:tcPr>
          <w:p>
            <w:pPr>
              <w:pStyle w:val="yTableNAm"/>
            </w:pPr>
            <w:r>
              <w:br/>
            </w:r>
            <w:r>
              <w:br/>
            </w:r>
            <w:r>
              <w:br/>
              <w:t>77.00</w:t>
            </w:r>
          </w:p>
        </w:tc>
      </w:tr>
      <w:tr>
        <w:trPr>
          <w:cantSplit/>
        </w:trPr>
        <w:tc>
          <w:tcPr>
            <w:tcW w:w="709" w:type="dxa"/>
          </w:tcPr>
          <w:p>
            <w:pPr>
              <w:pStyle w:val="zyTableNAm"/>
              <w:rPr>
                <w:rFonts w:ascii="Arial" w:hAnsi="Arial" w:cs="Arial"/>
                <w:sz w:val="18"/>
                <w:szCs w:val="18"/>
              </w:rPr>
            </w:pPr>
          </w:p>
        </w:tc>
        <w:tc>
          <w:tcPr>
            <w:tcW w:w="6379" w:type="dxa"/>
            <w:gridSpan w:val="3"/>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The fee is payable whether or not the service is successful and covers up to 3 attempts at service at the same address.</w:t>
            </w:r>
          </w:p>
        </w:tc>
      </w:tr>
      <w:tr>
        <w:trPr>
          <w:cantSplit/>
        </w:trPr>
        <w:tc>
          <w:tcPr>
            <w:tcW w:w="709" w:type="dxa"/>
          </w:tcPr>
          <w:p>
            <w:pPr>
              <w:pStyle w:val="yTableNAm"/>
            </w:pPr>
            <w:r>
              <w:t>3.</w:t>
            </w:r>
          </w:p>
        </w:tc>
        <w:tc>
          <w:tcPr>
            <w:tcW w:w="3544"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417" w:type="dxa"/>
          </w:tcPr>
          <w:p>
            <w:pPr>
              <w:pStyle w:val="yTableNAm"/>
            </w:pPr>
            <w:r>
              <w:br/>
            </w:r>
            <w:r>
              <w:br/>
            </w:r>
            <w:r>
              <w:br/>
            </w:r>
            <w:r>
              <w:br/>
            </w:r>
            <w:r>
              <w:br/>
            </w:r>
            <w:r>
              <w:br/>
            </w:r>
            <w:r>
              <w:br/>
            </w:r>
            <w:r>
              <w:br/>
            </w:r>
          </w:p>
        </w:tc>
        <w:tc>
          <w:tcPr>
            <w:tcW w:w="1418" w:type="dxa"/>
          </w:tcPr>
          <w:p>
            <w:pPr>
              <w:pStyle w:val="yTableNAm"/>
            </w:pPr>
            <w:r>
              <w:br/>
            </w:r>
            <w:r>
              <w:br/>
            </w:r>
            <w:r>
              <w:br/>
            </w:r>
            <w:r>
              <w:br/>
            </w:r>
            <w:r>
              <w:br/>
            </w:r>
            <w:r>
              <w:br/>
            </w:r>
            <w:r>
              <w:br/>
            </w:r>
            <w:r>
              <w:br/>
            </w:r>
          </w:p>
        </w:tc>
      </w:tr>
      <w:tr>
        <w:trPr>
          <w:cantSplit/>
        </w:trPr>
        <w:tc>
          <w:tcPr>
            <w:tcW w:w="709" w:type="dxa"/>
          </w:tcPr>
          <w:p>
            <w:pPr>
              <w:pStyle w:val="yTableNAm"/>
            </w:pPr>
          </w:p>
        </w:tc>
        <w:tc>
          <w:tcPr>
            <w:tcW w:w="3544" w:type="dxa"/>
          </w:tcPr>
          <w:p>
            <w:pPr>
              <w:pStyle w:val="yTableNAm"/>
              <w:ind w:left="601" w:hanging="601"/>
            </w:pPr>
            <w:r>
              <w:t>(a)</w:t>
            </w:r>
            <w:r>
              <w:tab/>
              <w:t xml:space="preserve">for each kilometre travelled (1 way) in the metropolitan area </w:t>
            </w:r>
          </w:p>
        </w:tc>
        <w:tc>
          <w:tcPr>
            <w:tcW w:w="1417" w:type="dxa"/>
          </w:tcPr>
          <w:p>
            <w:pPr>
              <w:pStyle w:val="yTableNAm"/>
            </w:pPr>
            <w:r>
              <w:br/>
            </w:r>
            <w:r>
              <w:br/>
              <w:t>2.00</w:t>
            </w:r>
          </w:p>
        </w:tc>
        <w:tc>
          <w:tcPr>
            <w:tcW w:w="1418" w:type="dxa"/>
          </w:tcPr>
          <w:p>
            <w:pPr>
              <w:pStyle w:val="yTableNAm"/>
            </w:pPr>
            <w:r>
              <w:br/>
            </w:r>
            <w:r>
              <w:br/>
              <w:t>2.00</w:t>
            </w:r>
          </w:p>
        </w:tc>
      </w:tr>
      <w:tr>
        <w:trPr>
          <w:cantSplit/>
        </w:trPr>
        <w:tc>
          <w:tcPr>
            <w:tcW w:w="709" w:type="dxa"/>
          </w:tcPr>
          <w:p>
            <w:pPr>
              <w:pStyle w:val="zyTableNAm"/>
            </w:pPr>
          </w:p>
        </w:tc>
        <w:tc>
          <w:tcPr>
            <w:tcW w:w="3544" w:type="dxa"/>
          </w:tcPr>
          <w:p>
            <w:pPr>
              <w:pStyle w:val="yTableNAm"/>
              <w:ind w:left="601" w:hanging="601"/>
            </w:pPr>
            <w:r>
              <w:t xml:space="preserve"> (b)</w:t>
            </w:r>
            <w:r>
              <w:tab/>
              <w:t xml:space="preserve">for each kilometre travelled (1 way) outside the metropolitan area </w:t>
            </w:r>
          </w:p>
        </w:tc>
        <w:tc>
          <w:tcPr>
            <w:tcW w:w="1417" w:type="dxa"/>
          </w:tcPr>
          <w:p>
            <w:pPr>
              <w:pStyle w:val="yTableNAm"/>
            </w:pPr>
            <w:r>
              <w:br/>
            </w:r>
            <w:r>
              <w:br/>
              <w:t>2.20</w:t>
            </w:r>
          </w:p>
        </w:tc>
        <w:tc>
          <w:tcPr>
            <w:tcW w:w="1418" w:type="dxa"/>
          </w:tcPr>
          <w:p>
            <w:pPr>
              <w:pStyle w:val="yTableNAm"/>
            </w:pPr>
            <w:r>
              <w:br/>
            </w:r>
            <w:r>
              <w:br/>
              <w:t>2.20</w:t>
            </w:r>
          </w:p>
        </w:tc>
      </w:tr>
      <w:tr>
        <w:trPr>
          <w:cantSplit/>
        </w:trPr>
        <w:tc>
          <w:tcPr>
            <w:tcW w:w="709" w:type="dxa"/>
          </w:tcPr>
          <w:p>
            <w:pPr>
              <w:pStyle w:val="zyTableNAm"/>
              <w:rPr>
                <w:rFonts w:ascii="Arial" w:hAnsi="Arial" w:cs="Arial"/>
                <w:sz w:val="18"/>
                <w:szCs w:val="18"/>
              </w:rPr>
            </w:pPr>
          </w:p>
        </w:tc>
        <w:tc>
          <w:tcPr>
            <w:tcW w:w="6379" w:type="dxa"/>
            <w:gridSpan w:val="3"/>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If more than 1 process or document is executed or served by an enforcement officer at the same time on the same person or on different persons at the same address, only 1 allowance for kilometres is chargeable.</w:t>
            </w:r>
          </w:p>
        </w:tc>
      </w:tr>
      <w:tr>
        <w:trPr>
          <w:cantSplit/>
        </w:trPr>
        <w:tc>
          <w:tcPr>
            <w:tcW w:w="709" w:type="dxa"/>
          </w:tcPr>
          <w:p>
            <w:pPr>
              <w:pStyle w:val="yTableNAm"/>
            </w:pPr>
            <w:r>
              <w:t>4.</w:t>
            </w:r>
          </w:p>
        </w:tc>
        <w:tc>
          <w:tcPr>
            <w:tcW w:w="3544" w:type="dxa"/>
          </w:tcPr>
          <w:p>
            <w:pPr>
              <w:pStyle w:val="yTableNAm"/>
              <w:ind w:left="601" w:hanging="601"/>
            </w:pPr>
            <w:r>
              <w:t>(a)</w:t>
            </w:r>
            <w:r>
              <w:tab/>
              <w:t xml:space="preserve">For searching any record or proceeding other than a search by or on behalf of a party to the proceedings in the Court’s civil jurisdiction </w:t>
            </w:r>
          </w:p>
        </w:tc>
        <w:tc>
          <w:tcPr>
            <w:tcW w:w="1417" w:type="dxa"/>
          </w:tcPr>
          <w:p>
            <w:pPr>
              <w:pStyle w:val="yTableNAm"/>
            </w:pPr>
            <w:r>
              <w:br/>
            </w:r>
            <w:r>
              <w:br/>
            </w:r>
            <w:r>
              <w:br/>
            </w:r>
            <w:r>
              <w:br/>
              <w:t>44.50</w:t>
            </w:r>
          </w:p>
        </w:tc>
        <w:tc>
          <w:tcPr>
            <w:tcW w:w="1418" w:type="dxa"/>
          </w:tcPr>
          <w:p>
            <w:pPr>
              <w:pStyle w:val="yTableNAm"/>
            </w:pPr>
            <w:r>
              <w:br/>
            </w:r>
            <w:r>
              <w:br/>
            </w:r>
            <w:r>
              <w:br/>
            </w:r>
            <w:r>
              <w:br/>
              <w:t>13.35</w:t>
            </w:r>
          </w:p>
        </w:tc>
      </w:tr>
      <w:tr>
        <w:trPr>
          <w:cantSplit/>
        </w:trPr>
        <w:tc>
          <w:tcPr>
            <w:tcW w:w="709" w:type="dxa"/>
          </w:tcPr>
          <w:p>
            <w:pPr>
              <w:pStyle w:val="zyTableNAm"/>
            </w:pPr>
          </w:p>
        </w:tc>
        <w:tc>
          <w:tcPr>
            <w:tcW w:w="3544" w:type="dxa"/>
          </w:tcPr>
          <w:p>
            <w:pPr>
              <w:pStyle w:val="yTableNAm"/>
              <w:ind w:left="601" w:hanging="601"/>
            </w:pPr>
            <w:r>
              <w:t>(b)</w:t>
            </w:r>
            <w:r>
              <w:tab/>
              <w:t xml:space="preserve">Listening to or viewing any electronic recording that requires supervision by an officer of the Court, a search fee of </w:t>
            </w:r>
          </w:p>
          <w:p>
            <w:pPr>
              <w:pStyle w:val="yTableNAm"/>
            </w:pPr>
            <w:r>
              <w:t xml:space="preserve">And in addition to the search fee, for each hour of the officer’s time </w:t>
            </w:r>
          </w:p>
        </w:tc>
        <w:tc>
          <w:tcPr>
            <w:tcW w:w="1417" w:type="dxa"/>
          </w:tcPr>
          <w:p>
            <w:pPr>
              <w:pStyle w:val="yTableNAm"/>
            </w:pPr>
            <w:r>
              <w:br/>
            </w:r>
            <w:r>
              <w:br/>
            </w:r>
            <w:r>
              <w:br/>
            </w:r>
            <w:r>
              <w:br/>
              <w:t>44.50</w:t>
            </w:r>
          </w:p>
          <w:p>
            <w:pPr>
              <w:pStyle w:val="yTableNAm"/>
            </w:pPr>
            <w:r>
              <w:br/>
              <w:t>110.50</w:t>
            </w:r>
          </w:p>
        </w:tc>
        <w:tc>
          <w:tcPr>
            <w:tcW w:w="1418" w:type="dxa"/>
          </w:tcPr>
          <w:p>
            <w:pPr>
              <w:pStyle w:val="yTableNAm"/>
            </w:pPr>
            <w:r>
              <w:br/>
            </w:r>
            <w:r>
              <w:br/>
            </w:r>
            <w:r>
              <w:br/>
            </w:r>
            <w:r>
              <w:br/>
              <w:t>13.35</w:t>
            </w:r>
          </w:p>
          <w:p>
            <w:pPr>
              <w:pStyle w:val="yTableNAm"/>
            </w:pPr>
            <w:r>
              <w:br/>
              <w:t>33.10</w:t>
            </w:r>
          </w:p>
        </w:tc>
      </w:tr>
      <w:tr>
        <w:trPr>
          <w:cantSplit/>
        </w:trPr>
        <w:tc>
          <w:tcPr>
            <w:tcW w:w="709" w:type="dxa"/>
          </w:tcPr>
          <w:p>
            <w:pPr>
              <w:pStyle w:val="yTableNAm"/>
            </w:pPr>
            <w:r>
              <w:t>5.</w:t>
            </w:r>
          </w:p>
        </w:tc>
        <w:tc>
          <w:tcPr>
            <w:tcW w:w="3544" w:type="dxa"/>
          </w:tcPr>
          <w:p>
            <w:pPr>
              <w:pStyle w:val="yTableNAm"/>
              <w:ind w:left="601" w:hanging="601"/>
            </w:pPr>
            <w:r>
              <w:t>(a)</w:t>
            </w:r>
            <w:r>
              <w:tab/>
              <w:t xml:space="preserve">On an application or summons for the production of records or documents that are required to be produced to any court, tribunal, arbitrator or umpire </w:t>
            </w:r>
          </w:p>
        </w:tc>
        <w:tc>
          <w:tcPr>
            <w:tcW w:w="1417" w:type="dxa"/>
          </w:tcPr>
          <w:p>
            <w:pPr>
              <w:pStyle w:val="yTableNAm"/>
            </w:pPr>
            <w:r>
              <w:br/>
            </w:r>
            <w:r>
              <w:br/>
            </w:r>
            <w:r>
              <w:br/>
            </w:r>
            <w:r>
              <w:br/>
              <w:t>65.50</w:t>
            </w:r>
          </w:p>
        </w:tc>
        <w:tc>
          <w:tcPr>
            <w:tcW w:w="1418" w:type="dxa"/>
          </w:tcPr>
          <w:p>
            <w:pPr>
              <w:pStyle w:val="yTableNAm"/>
            </w:pPr>
            <w:r>
              <w:br/>
            </w:r>
            <w:r>
              <w:br/>
            </w:r>
            <w:r>
              <w:br/>
            </w:r>
            <w:r>
              <w:br/>
              <w:t>19.65</w:t>
            </w:r>
          </w:p>
        </w:tc>
      </w:tr>
      <w:tr>
        <w:trPr>
          <w:cantSplit/>
        </w:trPr>
        <w:tc>
          <w:tcPr>
            <w:tcW w:w="709" w:type="dxa"/>
          </w:tcPr>
          <w:p>
            <w:pPr>
              <w:pStyle w:val="zyTableNAm"/>
            </w:pPr>
          </w:p>
        </w:tc>
        <w:tc>
          <w:tcPr>
            <w:tcW w:w="3544" w:type="dxa"/>
          </w:tcPr>
          <w:p>
            <w:pPr>
              <w:pStyle w:val="yTableNAm"/>
              <w:ind w:left="601" w:hanging="601"/>
            </w:pPr>
            <w:r>
              <w:t>(b)</w:t>
            </w:r>
            <w:r>
              <w:tab/>
              <w:t xml:space="preserve">If an officer is required to attend at any court or place out of the Court building where the officer is based, the officer’s reasonable expenses and, in addition for each hour when the officer is necessarily absent from the officer’s office </w:t>
            </w:r>
          </w:p>
        </w:tc>
        <w:tc>
          <w:tcPr>
            <w:tcW w:w="1417" w:type="dxa"/>
          </w:tcPr>
          <w:p>
            <w:pPr>
              <w:pStyle w:val="yTableNAm"/>
            </w:pPr>
            <w:r>
              <w:br/>
            </w:r>
            <w:r>
              <w:br/>
            </w:r>
            <w:r>
              <w:br/>
            </w:r>
            <w:r>
              <w:br/>
            </w:r>
            <w:r>
              <w:br/>
            </w:r>
            <w:r>
              <w:br/>
            </w:r>
            <w:r>
              <w:br/>
            </w:r>
            <w:r>
              <w:br/>
              <w:t>98.00</w:t>
            </w:r>
          </w:p>
        </w:tc>
        <w:tc>
          <w:tcPr>
            <w:tcW w:w="1418" w:type="dxa"/>
          </w:tcPr>
          <w:p>
            <w:pPr>
              <w:pStyle w:val="yTableNAm"/>
            </w:pPr>
            <w:r>
              <w:br/>
            </w:r>
            <w:r>
              <w:br/>
            </w:r>
            <w:r>
              <w:br/>
            </w:r>
            <w:r>
              <w:br/>
            </w:r>
            <w:r>
              <w:br/>
            </w:r>
            <w:r>
              <w:br/>
            </w:r>
            <w:r>
              <w:br/>
            </w:r>
            <w:r>
              <w:br/>
              <w:t>29.30</w:t>
            </w:r>
          </w:p>
        </w:tc>
      </w:tr>
      <w:tr>
        <w:trPr>
          <w:cantSplit/>
        </w:trPr>
        <w:tc>
          <w:tcPr>
            <w:tcW w:w="709" w:type="dxa"/>
          </w:tcPr>
          <w:p>
            <w:pPr>
              <w:pStyle w:val="yTableNAm"/>
            </w:pPr>
            <w:r>
              <w:t>6.</w:t>
            </w:r>
          </w:p>
        </w:tc>
        <w:tc>
          <w:tcPr>
            <w:tcW w:w="3544" w:type="dxa"/>
          </w:tcPr>
          <w:p>
            <w:pPr>
              <w:pStyle w:val="yTableNAm"/>
              <w:ind w:left="601" w:hanging="601"/>
            </w:pPr>
            <w:r>
              <w:t>(a)</w:t>
            </w:r>
            <w:r>
              <w:tab/>
              <w:t xml:space="preserve">Copies of documents or exhibits for each page or part of a page </w:t>
            </w:r>
          </w:p>
        </w:tc>
        <w:tc>
          <w:tcPr>
            <w:tcW w:w="1417" w:type="dxa"/>
          </w:tcPr>
          <w:p>
            <w:pPr>
              <w:pStyle w:val="yTableNAm"/>
            </w:pPr>
            <w:r>
              <w:br/>
            </w:r>
            <w:r>
              <w:br/>
              <w:t>1.85</w:t>
            </w:r>
          </w:p>
        </w:tc>
        <w:tc>
          <w:tcPr>
            <w:tcW w:w="1418" w:type="dxa"/>
          </w:tcPr>
          <w:p>
            <w:pPr>
              <w:pStyle w:val="yTableNAm"/>
            </w:pPr>
            <w:r>
              <w:br/>
            </w:r>
            <w:r>
              <w:br/>
              <w:t>0.55</w:t>
            </w:r>
          </w:p>
        </w:tc>
      </w:tr>
      <w:tr>
        <w:trPr>
          <w:cantSplit/>
        </w:trPr>
        <w:tc>
          <w:tcPr>
            <w:tcW w:w="709" w:type="dxa"/>
          </w:tcPr>
          <w:p>
            <w:pPr>
              <w:pStyle w:val="zyTableNAm"/>
            </w:pPr>
          </w:p>
        </w:tc>
        <w:tc>
          <w:tcPr>
            <w:tcW w:w="3544" w:type="dxa"/>
          </w:tcPr>
          <w:p>
            <w:pPr>
              <w:pStyle w:val="yTableNAm"/>
              <w:ind w:left="601" w:hanging="601"/>
            </w:pPr>
            <w:r>
              <w:t>(b)</w:t>
            </w:r>
            <w:r>
              <w:tab/>
              <w:t xml:space="preserve">For a copy of reasons for judgment — </w:t>
            </w:r>
          </w:p>
          <w:p>
            <w:pPr>
              <w:pStyle w:val="yTableNAm"/>
              <w:ind w:left="1168" w:hanging="1168"/>
            </w:pPr>
            <w:r>
              <w:tab/>
              <w:t>(i)</w:t>
            </w:r>
            <w:r>
              <w:tab/>
              <w:t xml:space="preserve">for each copy issued to a person not a party to the proceedings and for each copy in excess of 1 copy issued to a party to the proceedings </w:t>
            </w:r>
          </w:p>
        </w:tc>
        <w:tc>
          <w:tcPr>
            <w:tcW w:w="1417" w:type="dxa"/>
          </w:tcPr>
          <w:p>
            <w:pPr>
              <w:pStyle w:val="yTableNAm"/>
            </w:pPr>
            <w:r>
              <w:br/>
            </w:r>
          </w:p>
          <w:p>
            <w:pPr>
              <w:pStyle w:val="yTableNAm"/>
            </w:pPr>
            <w:r>
              <w:br/>
            </w:r>
            <w:r>
              <w:br/>
            </w:r>
            <w:r>
              <w:br/>
            </w:r>
            <w:r>
              <w:br/>
            </w:r>
            <w:r>
              <w:br/>
              <w:t>15.50</w:t>
            </w:r>
          </w:p>
        </w:tc>
        <w:tc>
          <w:tcPr>
            <w:tcW w:w="1418" w:type="dxa"/>
          </w:tcPr>
          <w:p>
            <w:pPr>
              <w:pStyle w:val="yTableNAm"/>
            </w:pPr>
            <w:r>
              <w:br/>
            </w:r>
          </w:p>
          <w:p>
            <w:pPr>
              <w:pStyle w:val="yTableNAm"/>
            </w:pPr>
            <w:r>
              <w:br/>
            </w:r>
            <w:r>
              <w:br/>
            </w:r>
            <w:r>
              <w:br/>
            </w:r>
            <w:r>
              <w:br/>
            </w:r>
            <w:r>
              <w:br/>
              <w:t>4.75</w:t>
            </w:r>
          </w:p>
        </w:tc>
      </w:tr>
      <w:tr>
        <w:trPr>
          <w:cantSplit/>
        </w:trPr>
        <w:tc>
          <w:tcPr>
            <w:tcW w:w="709" w:type="dxa"/>
          </w:tcPr>
          <w:p>
            <w:pPr>
              <w:pStyle w:val="zyTableNAm"/>
            </w:pPr>
          </w:p>
        </w:tc>
        <w:tc>
          <w:tcPr>
            <w:tcW w:w="3544" w:type="dxa"/>
          </w:tcPr>
          <w:p>
            <w:pPr>
              <w:pStyle w:val="yTableNAm"/>
              <w:ind w:left="1168" w:hanging="1168"/>
            </w:pPr>
            <w:r>
              <w:tab/>
              <w:t>(ii)</w:t>
            </w:r>
            <w:r>
              <w:tab/>
              <w:t xml:space="preserve">for each copy consisting of 10 or more pages an additional fee per page of </w:t>
            </w:r>
          </w:p>
        </w:tc>
        <w:tc>
          <w:tcPr>
            <w:tcW w:w="1417" w:type="dxa"/>
          </w:tcPr>
          <w:p>
            <w:pPr>
              <w:pStyle w:val="yTableNAm"/>
            </w:pPr>
            <w:r>
              <w:br/>
            </w:r>
            <w:r>
              <w:br/>
            </w:r>
            <w:r>
              <w:br/>
              <w:t>2.00</w:t>
            </w:r>
          </w:p>
        </w:tc>
        <w:tc>
          <w:tcPr>
            <w:tcW w:w="1418" w:type="dxa"/>
          </w:tcPr>
          <w:p>
            <w:pPr>
              <w:pStyle w:val="yTableNAm"/>
            </w:pPr>
            <w:r>
              <w:br/>
            </w:r>
            <w:r>
              <w:br/>
            </w:r>
            <w:r>
              <w:br/>
              <w:t>0.60</w:t>
            </w:r>
          </w:p>
        </w:tc>
      </w:tr>
      <w:tr>
        <w:trPr>
          <w:cantSplit/>
        </w:trPr>
        <w:tc>
          <w:tcPr>
            <w:tcW w:w="709" w:type="dxa"/>
          </w:tcPr>
          <w:p>
            <w:pPr>
              <w:pStyle w:val="zyTableNAm"/>
              <w:keepNext/>
            </w:pPr>
          </w:p>
        </w:tc>
        <w:tc>
          <w:tcPr>
            <w:tcW w:w="3544" w:type="dxa"/>
          </w:tcPr>
          <w:p>
            <w:pPr>
              <w:pStyle w:val="yTableNAm"/>
              <w:ind w:left="601" w:hanging="601"/>
            </w:pPr>
            <w:r>
              <w:t>(c)</w:t>
            </w:r>
            <w:r>
              <w:tab/>
              <w:t xml:space="preserve">For certifying that a document is a true copy, an additional fee of </w:t>
            </w:r>
          </w:p>
        </w:tc>
        <w:tc>
          <w:tcPr>
            <w:tcW w:w="1417" w:type="dxa"/>
          </w:tcPr>
          <w:p>
            <w:pPr>
              <w:pStyle w:val="yTableNAm"/>
            </w:pPr>
            <w:r>
              <w:br/>
            </w:r>
            <w:r>
              <w:br/>
              <w:t>21.40</w:t>
            </w:r>
          </w:p>
        </w:tc>
        <w:tc>
          <w:tcPr>
            <w:tcW w:w="1418" w:type="dxa"/>
          </w:tcPr>
          <w:p>
            <w:pPr>
              <w:pStyle w:val="yTableNAm"/>
            </w:pPr>
            <w:r>
              <w:br/>
            </w:r>
            <w:r>
              <w:br/>
              <w:t>6.45</w:t>
            </w:r>
          </w:p>
        </w:tc>
      </w:tr>
      <w:tr>
        <w:trPr>
          <w:cantSplit/>
        </w:trPr>
        <w:tc>
          <w:tcPr>
            <w:tcW w:w="709" w:type="dxa"/>
          </w:tcPr>
          <w:p>
            <w:pPr>
              <w:pStyle w:val="zyTableNAm"/>
              <w:rPr>
                <w:rFonts w:ascii="Arial" w:hAnsi="Arial" w:cs="Arial"/>
                <w:sz w:val="18"/>
                <w:szCs w:val="18"/>
              </w:rPr>
            </w:pPr>
          </w:p>
        </w:tc>
        <w:tc>
          <w:tcPr>
            <w:tcW w:w="6379" w:type="dxa"/>
            <w:gridSpan w:val="3"/>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Fee under item 6(a) for a copy of an application is not payable where circumstances under regulation 6(4) exist.</w:t>
            </w:r>
          </w:p>
        </w:tc>
      </w:tr>
      <w:tr>
        <w:trPr>
          <w:cantSplit/>
        </w:trPr>
        <w:tc>
          <w:tcPr>
            <w:tcW w:w="709" w:type="dxa"/>
          </w:tcPr>
          <w:p>
            <w:pPr>
              <w:pStyle w:val="yTableNAm"/>
            </w:pPr>
            <w:r>
              <w:t>7.</w:t>
            </w:r>
          </w:p>
        </w:tc>
        <w:tc>
          <w:tcPr>
            <w:tcW w:w="3544" w:type="dxa"/>
          </w:tcPr>
          <w:p>
            <w:pPr>
              <w:pStyle w:val="yTableNAm"/>
              <w:ind w:left="601" w:hanging="601"/>
            </w:pPr>
            <w:r>
              <w:t>(a)</w:t>
            </w:r>
            <w:r>
              <w:tab/>
              <w:t xml:space="preserve">For the </w:t>
            </w:r>
            <w:r>
              <w:rPr>
                <w:szCs w:val="22"/>
              </w:rPr>
              <w:t>provision of a transcript,</w:t>
            </w:r>
            <w:r>
              <w:t xml:space="preserve"> or part of a transcript — </w:t>
            </w:r>
          </w:p>
        </w:tc>
        <w:tc>
          <w:tcPr>
            <w:tcW w:w="1417" w:type="dxa"/>
          </w:tcPr>
          <w:p>
            <w:pPr>
              <w:pStyle w:val="yTableNAm"/>
            </w:pPr>
          </w:p>
        </w:tc>
        <w:tc>
          <w:tcPr>
            <w:tcW w:w="1418" w:type="dxa"/>
          </w:tcPr>
          <w:p>
            <w:pPr>
              <w:pStyle w:val="yTableNAm"/>
            </w:pPr>
          </w:p>
        </w:tc>
      </w:tr>
      <w:tr>
        <w:trPr>
          <w:cantSplit/>
        </w:trPr>
        <w:tc>
          <w:tcPr>
            <w:tcW w:w="709" w:type="dxa"/>
          </w:tcPr>
          <w:p>
            <w:pPr>
              <w:pStyle w:val="yTableNAm"/>
            </w:pPr>
          </w:p>
        </w:tc>
        <w:tc>
          <w:tcPr>
            <w:tcW w:w="3544" w:type="dxa"/>
          </w:tcPr>
          <w:p>
            <w:pPr>
              <w:pStyle w:val="yTableNAm"/>
              <w:ind w:left="1168" w:hanging="1168"/>
            </w:pPr>
            <w:r>
              <w:tab/>
              <w:t>(i)</w:t>
            </w:r>
            <w:r>
              <w:tab/>
              <w:t xml:space="preserve">provided within 1 day after the day on which the fee is paid </w:t>
            </w:r>
          </w:p>
        </w:tc>
        <w:tc>
          <w:tcPr>
            <w:tcW w:w="1417" w:type="dxa"/>
          </w:tcPr>
          <w:p>
            <w:pPr>
              <w:pStyle w:val="yTableNAm"/>
            </w:pPr>
            <w:r>
              <w:t>20.50 plus</w:t>
            </w:r>
            <w:r>
              <w:br/>
              <w:t>8.45 per page</w:t>
            </w:r>
          </w:p>
        </w:tc>
        <w:tc>
          <w:tcPr>
            <w:tcW w:w="1418" w:type="dxa"/>
          </w:tcPr>
          <w:p>
            <w:pPr>
              <w:pStyle w:val="yTableNAm"/>
            </w:pPr>
            <w:r>
              <w:t xml:space="preserve">6.15 plus </w:t>
            </w:r>
            <w:r>
              <w:br/>
              <w:t>2.55 per page</w:t>
            </w:r>
          </w:p>
        </w:tc>
      </w:tr>
      <w:tr>
        <w:trPr>
          <w:cantSplit/>
        </w:trPr>
        <w:tc>
          <w:tcPr>
            <w:tcW w:w="709" w:type="dxa"/>
          </w:tcPr>
          <w:p>
            <w:pPr>
              <w:pStyle w:val="yTableNAm"/>
            </w:pPr>
          </w:p>
        </w:tc>
        <w:tc>
          <w:tcPr>
            <w:tcW w:w="3544" w:type="dxa"/>
          </w:tcPr>
          <w:p>
            <w:pPr>
              <w:pStyle w:val="yTableNAm"/>
              <w:ind w:left="1168" w:hanging="1168"/>
            </w:pPr>
            <w:r>
              <w:tab/>
              <w:t>(ii)</w:t>
            </w:r>
            <w:r>
              <w:tab/>
              <w:t xml:space="preserve">provided within 2 days after the day on which the fee is paid </w:t>
            </w:r>
          </w:p>
        </w:tc>
        <w:tc>
          <w:tcPr>
            <w:tcW w:w="1417" w:type="dxa"/>
          </w:tcPr>
          <w:p>
            <w:pPr>
              <w:pStyle w:val="yTableNAm"/>
            </w:pPr>
            <w:r>
              <w:t>20.50 plus</w:t>
            </w:r>
            <w:r>
              <w:br/>
              <w:t>7.75 per page</w:t>
            </w:r>
          </w:p>
        </w:tc>
        <w:tc>
          <w:tcPr>
            <w:tcW w:w="1418" w:type="dxa"/>
          </w:tcPr>
          <w:p>
            <w:pPr>
              <w:pStyle w:val="yTableNAm"/>
            </w:pPr>
            <w:r>
              <w:t xml:space="preserve">6.15 plus </w:t>
            </w:r>
            <w:r>
              <w:br/>
              <w:t>2.35 per page</w:t>
            </w:r>
          </w:p>
        </w:tc>
      </w:tr>
      <w:tr>
        <w:trPr>
          <w:cantSplit/>
        </w:trPr>
        <w:tc>
          <w:tcPr>
            <w:tcW w:w="709" w:type="dxa"/>
          </w:tcPr>
          <w:p>
            <w:pPr>
              <w:pStyle w:val="yTableNAm"/>
            </w:pPr>
          </w:p>
        </w:tc>
        <w:tc>
          <w:tcPr>
            <w:tcW w:w="3544" w:type="dxa"/>
          </w:tcPr>
          <w:p>
            <w:pPr>
              <w:pStyle w:val="yTableNAm"/>
              <w:ind w:left="1168" w:hanging="1168"/>
            </w:pPr>
            <w:r>
              <w:tab/>
              <w:t>(iii)</w:t>
            </w:r>
            <w:r>
              <w:tab/>
              <w:t xml:space="preserve">provided within 4 days after the day on which the fee is paid </w:t>
            </w:r>
          </w:p>
        </w:tc>
        <w:tc>
          <w:tcPr>
            <w:tcW w:w="1417" w:type="dxa"/>
          </w:tcPr>
          <w:p>
            <w:pPr>
              <w:pStyle w:val="yTableNAm"/>
            </w:pPr>
            <w:r>
              <w:t>20.50 plus</w:t>
            </w:r>
            <w:r>
              <w:br/>
              <w:t>7.30 per page</w:t>
            </w:r>
          </w:p>
        </w:tc>
        <w:tc>
          <w:tcPr>
            <w:tcW w:w="1418" w:type="dxa"/>
          </w:tcPr>
          <w:p>
            <w:pPr>
              <w:pStyle w:val="yTableNAm"/>
            </w:pPr>
            <w:r>
              <w:t xml:space="preserve">6.15 plus </w:t>
            </w:r>
            <w:r>
              <w:br/>
              <w:t>2.20 per page</w:t>
            </w:r>
          </w:p>
        </w:tc>
      </w:tr>
      <w:tr>
        <w:trPr>
          <w:cantSplit/>
        </w:trPr>
        <w:tc>
          <w:tcPr>
            <w:tcW w:w="709" w:type="dxa"/>
          </w:tcPr>
          <w:p>
            <w:pPr>
              <w:pStyle w:val="yTableNAm"/>
            </w:pPr>
          </w:p>
        </w:tc>
        <w:tc>
          <w:tcPr>
            <w:tcW w:w="3544" w:type="dxa"/>
          </w:tcPr>
          <w:p>
            <w:pPr>
              <w:pStyle w:val="yTableNAm"/>
              <w:ind w:left="1168" w:hanging="1168"/>
            </w:pPr>
            <w:r>
              <w:tab/>
              <w:t>(iv)</w:t>
            </w:r>
            <w:r>
              <w:tab/>
              <w:t xml:space="preserve">provided within 7 days after the day on which the fee is paid </w:t>
            </w:r>
          </w:p>
        </w:tc>
        <w:tc>
          <w:tcPr>
            <w:tcW w:w="1417" w:type="dxa"/>
          </w:tcPr>
          <w:p>
            <w:pPr>
              <w:pStyle w:val="yTableNAm"/>
            </w:pPr>
            <w:r>
              <w:t xml:space="preserve">20.50 plus </w:t>
            </w:r>
            <w:r>
              <w:br/>
              <w:t>7.05 per page</w:t>
            </w:r>
          </w:p>
        </w:tc>
        <w:tc>
          <w:tcPr>
            <w:tcW w:w="1418" w:type="dxa"/>
          </w:tcPr>
          <w:p>
            <w:pPr>
              <w:pStyle w:val="yTableNAm"/>
            </w:pPr>
            <w:r>
              <w:t xml:space="preserve">6.15 plus </w:t>
            </w:r>
            <w:r>
              <w:br/>
              <w:t>2.15 per page</w:t>
            </w:r>
          </w:p>
        </w:tc>
      </w:tr>
      <w:tr>
        <w:trPr>
          <w:cantSplit/>
        </w:trPr>
        <w:tc>
          <w:tcPr>
            <w:tcW w:w="709" w:type="dxa"/>
          </w:tcPr>
          <w:p>
            <w:pPr>
              <w:pStyle w:val="yTableNAm"/>
            </w:pPr>
          </w:p>
        </w:tc>
        <w:tc>
          <w:tcPr>
            <w:tcW w:w="3544" w:type="dxa"/>
          </w:tcPr>
          <w:p>
            <w:pPr>
              <w:pStyle w:val="yTableNAm"/>
              <w:ind w:left="1168" w:hanging="1168"/>
            </w:pPr>
            <w:r>
              <w:tab/>
              <w:t>(v)</w:t>
            </w:r>
            <w:r>
              <w:tab/>
              <w:t xml:space="preserve">provided within 14 days after the day on which the fee is paid </w:t>
            </w:r>
          </w:p>
        </w:tc>
        <w:tc>
          <w:tcPr>
            <w:tcW w:w="1417" w:type="dxa"/>
          </w:tcPr>
          <w:p>
            <w:pPr>
              <w:pStyle w:val="yTableNAm"/>
            </w:pPr>
            <w:r>
              <w:t xml:space="preserve">20.50 plus </w:t>
            </w:r>
            <w:r>
              <w:br/>
              <w:t>6.00 per page</w:t>
            </w:r>
          </w:p>
        </w:tc>
        <w:tc>
          <w:tcPr>
            <w:tcW w:w="1418" w:type="dxa"/>
          </w:tcPr>
          <w:p>
            <w:pPr>
              <w:pStyle w:val="yTableNAm"/>
            </w:pPr>
            <w:r>
              <w:t xml:space="preserve">6.15 plus </w:t>
            </w:r>
            <w:r>
              <w:br/>
              <w:t>2.00 per page</w:t>
            </w:r>
          </w:p>
        </w:tc>
      </w:tr>
      <w:tr>
        <w:trPr>
          <w:cantSplit/>
        </w:trPr>
        <w:tc>
          <w:tcPr>
            <w:tcW w:w="709" w:type="dxa"/>
          </w:tcPr>
          <w:p>
            <w:pPr>
              <w:pStyle w:val="yTableNAm"/>
            </w:pPr>
          </w:p>
        </w:tc>
        <w:tc>
          <w:tcPr>
            <w:tcW w:w="3544" w:type="dxa"/>
          </w:tcPr>
          <w:p>
            <w:pPr>
              <w:pStyle w:val="yTableNAm"/>
              <w:ind w:left="1168" w:hanging="1168"/>
            </w:pPr>
            <w:r>
              <w:tab/>
              <w:t>(vi)</w:t>
            </w:r>
            <w:r>
              <w:tab/>
              <w:t>provided on a running basis (i.e. periodically throughout or following the day of the proceedings)</w:t>
            </w:r>
          </w:p>
        </w:tc>
        <w:tc>
          <w:tcPr>
            <w:tcW w:w="1417" w:type="dxa"/>
          </w:tcPr>
          <w:p>
            <w:pPr>
              <w:pStyle w:val="yTableNAm"/>
            </w:pPr>
            <w:r>
              <w:t xml:space="preserve">20.50 plus </w:t>
            </w:r>
            <w:r>
              <w:br/>
              <w:t>9.00 per page</w:t>
            </w:r>
          </w:p>
        </w:tc>
        <w:tc>
          <w:tcPr>
            <w:tcW w:w="1418" w:type="dxa"/>
          </w:tcPr>
          <w:p>
            <w:pPr>
              <w:pStyle w:val="yTableNAm"/>
            </w:pPr>
            <w:r>
              <w:t xml:space="preserve">6.15 plus </w:t>
            </w:r>
            <w:r>
              <w:br/>
              <w:t>3.00 per page</w:t>
            </w:r>
          </w:p>
        </w:tc>
      </w:tr>
      <w:tr>
        <w:trPr>
          <w:cantSplit/>
        </w:trPr>
        <w:tc>
          <w:tcPr>
            <w:tcW w:w="709" w:type="dxa"/>
          </w:tcPr>
          <w:p>
            <w:pPr>
              <w:pStyle w:val="yTableNAm"/>
              <w:keepNext/>
            </w:pPr>
          </w:p>
        </w:tc>
        <w:tc>
          <w:tcPr>
            <w:tcW w:w="3544" w:type="dxa"/>
          </w:tcPr>
          <w:p>
            <w:pPr>
              <w:pStyle w:val="yTableNAm"/>
              <w:keepNext/>
              <w:ind w:left="601" w:hanging="601"/>
            </w:pPr>
            <w:r>
              <w:t>(b)</w:t>
            </w:r>
            <w:r>
              <w:tab/>
            </w:r>
            <w:r>
              <w:rPr>
                <w:szCs w:val="22"/>
              </w:rPr>
              <w:t>For the provision of a copy of a transcript, or part of a transcript, where the transcript or part has already been provided to the person requesting the copy —</w:t>
            </w:r>
          </w:p>
        </w:tc>
        <w:tc>
          <w:tcPr>
            <w:tcW w:w="1417" w:type="dxa"/>
          </w:tcPr>
          <w:p>
            <w:pPr>
              <w:pStyle w:val="yTableNAm"/>
              <w:keepNext/>
            </w:pPr>
          </w:p>
        </w:tc>
        <w:tc>
          <w:tcPr>
            <w:tcW w:w="1418" w:type="dxa"/>
          </w:tcPr>
          <w:p>
            <w:pPr>
              <w:pStyle w:val="yTableNAm"/>
              <w:keepNext/>
            </w:pPr>
          </w:p>
        </w:tc>
      </w:tr>
      <w:tr>
        <w:trPr>
          <w:cantSplit/>
        </w:trPr>
        <w:tc>
          <w:tcPr>
            <w:tcW w:w="709" w:type="dxa"/>
          </w:tcPr>
          <w:p>
            <w:pPr>
              <w:pStyle w:val="yTableNAm"/>
            </w:pPr>
          </w:p>
        </w:tc>
        <w:tc>
          <w:tcPr>
            <w:tcW w:w="3544" w:type="dxa"/>
          </w:tcPr>
          <w:p>
            <w:pPr>
              <w:pStyle w:val="yTableNAm"/>
              <w:ind w:left="1168" w:hanging="1168"/>
            </w:pPr>
            <w:r>
              <w:tab/>
              <w:t>(i)</w:t>
            </w:r>
            <w:r>
              <w:tab/>
              <w:t xml:space="preserve">electronic format </w:t>
            </w:r>
          </w:p>
        </w:tc>
        <w:tc>
          <w:tcPr>
            <w:tcW w:w="1417" w:type="dxa"/>
          </w:tcPr>
          <w:p>
            <w:pPr>
              <w:pStyle w:val="yTableNAm"/>
            </w:pPr>
            <w:r>
              <w:t>21.40 per copy</w:t>
            </w:r>
          </w:p>
        </w:tc>
        <w:tc>
          <w:tcPr>
            <w:tcW w:w="1418" w:type="dxa"/>
          </w:tcPr>
          <w:p>
            <w:pPr>
              <w:pStyle w:val="yTableNAm"/>
            </w:pPr>
            <w:r>
              <w:t>6.45 per copy</w:t>
            </w:r>
          </w:p>
        </w:tc>
      </w:tr>
      <w:tr>
        <w:trPr>
          <w:cantSplit/>
        </w:trPr>
        <w:tc>
          <w:tcPr>
            <w:tcW w:w="709" w:type="dxa"/>
          </w:tcPr>
          <w:p>
            <w:pPr>
              <w:pStyle w:val="yTableNAm"/>
            </w:pPr>
          </w:p>
        </w:tc>
        <w:tc>
          <w:tcPr>
            <w:tcW w:w="3544" w:type="dxa"/>
          </w:tcPr>
          <w:p>
            <w:pPr>
              <w:pStyle w:val="yTableNAm"/>
              <w:ind w:left="1168" w:hanging="1168"/>
            </w:pPr>
            <w:r>
              <w:tab/>
              <w:t>(ii)</w:t>
            </w:r>
            <w:r>
              <w:tab/>
              <w:t xml:space="preserve">paper copy </w:t>
            </w:r>
          </w:p>
        </w:tc>
        <w:tc>
          <w:tcPr>
            <w:tcW w:w="1417" w:type="dxa"/>
          </w:tcPr>
          <w:p>
            <w:pPr>
              <w:pStyle w:val="yTableNAm"/>
            </w:pPr>
            <w:r>
              <w:t>2.10 per page</w:t>
            </w:r>
          </w:p>
        </w:tc>
        <w:tc>
          <w:tcPr>
            <w:tcW w:w="1418" w:type="dxa"/>
          </w:tcPr>
          <w:p>
            <w:pPr>
              <w:pStyle w:val="yTableNAm"/>
            </w:pPr>
            <w:r>
              <w:t>0.60 per page</w:t>
            </w:r>
          </w:p>
        </w:tc>
      </w:tr>
      <w:tr>
        <w:trPr>
          <w:cantSplit/>
        </w:trPr>
        <w:tc>
          <w:tcPr>
            <w:tcW w:w="709" w:type="dxa"/>
            <w:tcBorders>
              <w:bottom w:val="single" w:sz="4" w:space="0" w:color="auto"/>
            </w:tcBorders>
          </w:tcPr>
          <w:p>
            <w:pPr>
              <w:pStyle w:val="yTableNAm"/>
            </w:pPr>
          </w:p>
        </w:tc>
        <w:tc>
          <w:tcPr>
            <w:tcW w:w="6379" w:type="dxa"/>
            <w:gridSpan w:val="3"/>
            <w:tcBorders>
              <w:bottom w:val="single" w:sz="4" w:space="0" w:color="auto"/>
            </w:tcBorders>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Fees under this item are payable in the case of an indictable offence dealt with summarily.</w:t>
            </w:r>
          </w:p>
        </w:tc>
      </w:tr>
    </w:tbl>
    <w:p>
      <w:pPr>
        <w:pStyle w:val="yFootnotesection"/>
      </w:pPr>
      <w:r>
        <w:tab/>
        <w:t>[Division 1 inserted: Gazette 15 Jun 2018 p. 1964</w:t>
      </w:r>
      <w:r>
        <w:noBreakHyphen/>
        <w:t>7; amended: Gazette 7 Dec 2018 p. 4667</w:t>
      </w:r>
      <w:r>
        <w:noBreakHyphen/>
        <w:t>8; 12 Mar 2019 p. 666.]</w:t>
      </w:r>
    </w:p>
    <w:p>
      <w:pPr>
        <w:pStyle w:val="yHeading3"/>
        <w:pageBreakBefore/>
        <w:spacing w:before="0"/>
      </w:pPr>
      <w:bookmarkStart w:id="24" w:name="_Toc3203257"/>
      <w:bookmarkStart w:id="25" w:name="_Toc3203290"/>
      <w:bookmarkStart w:id="26" w:name="_Toc3283757"/>
      <w:r>
        <w:rPr>
          <w:rStyle w:val="CharSDivNo"/>
        </w:rPr>
        <w:t>Division 2</w:t>
      </w:r>
      <w:r>
        <w:rPr>
          <w:b w:val="0"/>
        </w:rPr>
        <w:t> — </w:t>
      </w:r>
      <w:r>
        <w:rPr>
          <w:rStyle w:val="CharSDivText"/>
        </w:rPr>
        <w:t>Civil jurisdiction</w:t>
      </w:r>
      <w:bookmarkEnd w:id="24"/>
      <w:bookmarkEnd w:id="25"/>
      <w:bookmarkEnd w:id="26"/>
    </w:p>
    <w:p>
      <w:pPr>
        <w:pStyle w:val="yFootnoteheading"/>
        <w:keepNext/>
      </w:pPr>
      <w:r>
        <w:tab/>
        <w:t>[Heading inserted: Gazette 15 Jun 2018 p. 1968.]</w:t>
      </w:r>
    </w:p>
    <w:tbl>
      <w:tblPr>
        <w:tblW w:w="7088" w:type="dxa"/>
        <w:tblInd w:w="108" w:type="dxa"/>
        <w:tblLayout w:type="fixed"/>
        <w:tblLook w:val="0000" w:firstRow="0" w:lastRow="0" w:firstColumn="0" w:lastColumn="0" w:noHBand="0" w:noVBand="0"/>
      </w:tblPr>
      <w:tblGrid>
        <w:gridCol w:w="741"/>
        <w:gridCol w:w="3512"/>
        <w:gridCol w:w="1276"/>
        <w:gridCol w:w="1559"/>
      </w:tblGrid>
      <w:tr>
        <w:trPr>
          <w:cantSplit/>
          <w:tblHeader/>
        </w:trPr>
        <w:tc>
          <w:tcPr>
            <w:tcW w:w="741" w:type="dxa"/>
            <w:tcBorders>
              <w:top w:val="single" w:sz="4" w:space="0" w:color="auto"/>
              <w:bottom w:val="single" w:sz="4" w:space="0" w:color="auto"/>
            </w:tcBorders>
          </w:tcPr>
          <w:p>
            <w:pPr>
              <w:pStyle w:val="yTableNAm"/>
              <w:jc w:val="center"/>
            </w:pPr>
            <w:r>
              <w:rPr>
                <w:b/>
              </w:rPr>
              <w:t>Item</w:t>
            </w:r>
          </w:p>
        </w:tc>
        <w:tc>
          <w:tcPr>
            <w:tcW w:w="3512" w:type="dxa"/>
            <w:tcBorders>
              <w:top w:val="single" w:sz="4" w:space="0" w:color="auto"/>
              <w:bottom w:val="single" w:sz="4" w:space="0" w:color="auto"/>
            </w:tcBorders>
          </w:tcPr>
          <w:p>
            <w:pPr>
              <w:pStyle w:val="yTableNAm"/>
              <w:jc w:val="center"/>
            </w:pPr>
            <w:r>
              <w:rPr>
                <w:b/>
              </w:rPr>
              <w:t>Matter</w:t>
            </w:r>
          </w:p>
        </w:tc>
        <w:tc>
          <w:tcPr>
            <w:tcW w:w="1276" w:type="dxa"/>
            <w:tcBorders>
              <w:top w:val="single" w:sz="4" w:space="0" w:color="auto"/>
              <w:bottom w:val="single" w:sz="4" w:space="0" w:color="auto"/>
            </w:tcBorders>
          </w:tcPr>
          <w:p>
            <w:pPr>
              <w:pStyle w:val="yTableNAm"/>
              <w:jc w:val="center"/>
            </w:pPr>
            <w:r>
              <w:rPr>
                <w:b/>
              </w:rPr>
              <w:t>Column A</w:t>
            </w:r>
          </w:p>
          <w:p>
            <w:pPr>
              <w:pStyle w:val="yTableNAm"/>
              <w:jc w:val="center"/>
            </w:pPr>
            <w:r>
              <w:t>Fee for individual</w:t>
            </w:r>
            <w:r>
              <w:br/>
            </w:r>
          </w:p>
          <w:p>
            <w:pPr>
              <w:pStyle w:val="yTableNAm"/>
              <w:jc w:val="center"/>
            </w:pPr>
            <w:r>
              <w:t>$</w:t>
            </w:r>
          </w:p>
        </w:tc>
        <w:tc>
          <w:tcPr>
            <w:tcW w:w="1559" w:type="dxa"/>
            <w:tcBorders>
              <w:top w:val="single" w:sz="4" w:space="0" w:color="auto"/>
              <w:bottom w:val="single" w:sz="4" w:space="0" w:color="auto"/>
            </w:tcBorders>
          </w:tcPr>
          <w:p>
            <w:pPr>
              <w:pStyle w:val="yTableNAm"/>
              <w:jc w:val="center"/>
            </w:pPr>
            <w:r>
              <w:rPr>
                <w:b/>
              </w:rPr>
              <w:t>Column B</w:t>
            </w:r>
          </w:p>
          <w:p>
            <w:pPr>
              <w:pStyle w:val="yTableNAm"/>
              <w:jc w:val="center"/>
            </w:pPr>
            <w:r>
              <w:t>Fee for eligible individual</w:t>
            </w:r>
          </w:p>
          <w:p>
            <w:pPr>
              <w:pStyle w:val="yTableNAm"/>
              <w:jc w:val="center"/>
            </w:pPr>
            <w:r>
              <w:t>$</w:t>
            </w:r>
          </w:p>
        </w:tc>
      </w:tr>
      <w:tr>
        <w:trPr>
          <w:cantSplit/>
        </w:trPr>
        <w:tc>
          <w:tcPr>
            <w:tcW w:w="741" w:type="dxa"/>
          </w:tcPr>
          <w:p>
            <w:pPr>
              <w:pStyle w:val="yTableNAm"/>
            </w:pPr>
            <w:r>
              <w:t>1.</w:t>
            </w:r>
          </w:p>
        </w:tc>
        <w:tc>
          <w:tcPr>
            <w:tcW w:w="3512" w:type="dxa"/>
          </w:tcPr>
          <w:p>
            <w:pPr>
              <w:pStyle w:val="yTableNAm"/>
            </w:pPr>
            <w:r>
              <w:t xml:space="preserve">On filing an application for a misconduct restraining order under the </w:t>
            </w:r>
            <w:r>
              <w:rPr>
                <w:i/>
                <w:iCs/>
              </w:rPr>
              <w:t>Restraining Orders Act 1997</w:t>
            </w:r>
            <w:r>
              <w:t xml:space="preserve"> </w:t>
            </w:r>
          </w:p>
        </w:tc>
        <w:tc>
          <w:tcPr>
            <w:tcW w:w="1276" w:type="dxa"/>
          </w:tcPr>
          <w:p>
            <w:pPr>
              <w:pStyle w:val="yTableNAm"/>
            </w:pPr>
            <w:r>
              <w:br/>
            </w:r>
            <w:r>
              <w:br/>
              <w:t>128.00</w:t>
            </w:r>
          </w:p>
        </w:tc>
        <w:tc>
          <w:tcPr>
            <w:tcW w:w="1559" w:type="dxa"/>
          </w:tcPr>
          <w:p>
            <w:pPr>
              <w:pStyle w:val="yTableNAm"/>
            </w:pPr>
            <w:r>
              <w:br/>
            </w:r>
            <w:r>
              <w:br/>
              <w:t>38.40</w:t>
            </w:r>
          </w:p>
        </w:tc>
      </w:tr>
      <w:tr>
        <w:trPr>
          <w:cantSplit/>
        </w:trPr>
        <w:tc>
          <w:tcPr>
            <w:tcW w:w="741" w:type="dxa"/>
          </w:tcPr>
          <w:p>
            <w:pPr>
              <w:pStyle w:val="yTableNAm"/>
            </w:pPr>
            <w:r>
              <w:t>2.</w:t>
            </w:r>
          </w:p>
        </w:tc>
        <w:tc>
          <w:tcPr>
            <w:tcW w:w="3512" w:type="dxa"/>
          </w:tcPr>
          <w:p>
            <w:pPr>
              <w:pStyle w:val="yTableNAm"/>
            </w:pPr>
            <w:r>
              <w:t xml:space="preserve">On the execution of an arrest warrant of any kind — </w:t>
            </w:r>
          </w:p>
        </w:tc>
        <w:tc>
          <w:tcPr>
            <w:tcW w:w="1276" w:type="dxa"/>
          </w:tcPr>
          <w:p>
            <w:pPr>
              <w:pStyle w:val="zyTableNAm"/>
              <w:jc w:val="center"/>
            </w:pPr>
          </w:p>
        </w:tc>
        <w:tc>
          <w:tcPr>
            <w:tcW w:w="1559" w:type="dxa"/>
          </w:tcPr>
          <w:p>
            <w:pPr>
              <w:pStyle w:val="yTableNAm"/>
            </w:pPr>
          </w:p>
        </w:tc>
      </w:tr>
      <w:tr>
        <w:trPr>
          <w:cantSplit/>
        </w:trPr>
        <w:tc>
          <w:tcPr>
            <w:tcW w:w="741" w:type="dxa"/>
          </w:tcPr>
          <w:p>
            <w:pPr>
              <w:pStyle w:val="zyTableNAm"/>
            </w:pPr>
          </w:p>
        </w:tc>
        <w:tc>
          <w:tcPr>
            <w:tcW w:w="3512" w:type="dxa"/>
          </w:tcPr>
          <w:p>
            <w:pPr>
              <w:pStyle w:val="yTableNAm"/>
            </w:pPr>
            <w:r>
              <w:t>(a)</w:t>
            </w:r>
            <w:r>
              <w:tab/>
              <w:t xml:space="preserve">for arresting the person </w:t>
            </w:r>
          </w:p>
        </w:tc>
        <w:tc>
          <w:tcPr>
            <w:tcW w:w="1276" w:type="dxa"/>
          </w:tcPr>
          <w:p>
            <w:pPr>
              <w:pStyle w:val="yTableNAm"/>
            </w:pPr>
            <w:r>
              <w:t>141.50</w:t>
            </w:r>
          </w:p>
        </w:tc>
        <w:tc>
          <w:tcPr>
            <w:tcW w:w="1559" w:type="dxa"/>
          </w:tcPr>
          <w:p>
            <w:pPr>
              <w:pStyle w:val="yTableNAm"/>
            </w:pPr>
            <w:r>
              <w:t>141.50</w:t>
            </w:r>
          </w:p>
        </w:tc>
      </w:tr>
      <w:tr>
        <w:trPr>
          <w:cantSplit/>
        </w:trPr>
        <w:tc>
          <w:tcPr>
            <w:tcW w:w="741" w:type="dxa"/>
          </w:tcPr>
          <w:p>
            <w:pPr>
              <w:pStyle w:val="zyTableNAm"/>
            </w:pPr>
          </w:p>
        </w:tc>
        <w:tc>
          <w:tcPr>
            <w:tcW w:w="3512" w:type="dxa"/>
          </w:tcPr>
          <w:p>
            <w:pPr>
              <w:pStyle w:val="yTableNAm"/>
              <w:ind w:left="601" w:hanging="601"/>
            </w:pPr>
            <w:r>
              <w:t>(b)</w:t>
            </w:r>
            <w:r>
              <w:tab/>
              <w:t xml:space="preserve">for conveying the person to a court or a custodial place and releasing the person from arrest or custody </w:t>
            </w:r>
          </w:p>
        </w:tc>
        <w:tc>
          <w:tcPr>
            <w:tcW w:w="1276" w:type="dxa"/>
          </w:tcPr>
          <w:p>
            <w:pPr>
              <w:pStyle w:val="yTableNAm"/>
            </w:pPr>
            <w:r>
              <w:br/>
            </w:r>
            <w:r>
              <w:br/>
            </w:r>
            <w:r>
              <w:br/>
              <w:t>140.00</w:t>
            </w:r>
          </w:p>
        </w:tc>
        <w:tc>
          <w:tcPr>
            <w:tcW w:w="1559" w:type="dxa"/>
          </w:tcPr>
          <w:p>
            <w:pPr>
              <w:pStyle w:val="yTableNAm"/>
            </w:pPr>
            <w:r>
              <w:br/>
            </w:r>
            <w:r>
              <w:br/>
            </w:r>
            <w:r>
              <w:br/>
              <w:t>140.00</w:t>
            </w:r>
          </w:p>
        </w:tc>
      </w:tr>
      <w:tr>
        <w:trPr>
          <w:cantSplit/>
        </w:trPr>
        <w:tc>
          <w:tcPr>
            <w:tcW w:w="741" w:type="dxa"/>
          </w:tcPr>
          <w:p>
            <w:pPr>
              <w:pStyle w:val="zyTableNAm"/>
            </w:pPr>
          </w:p>
        </w:tc>
        <w:tc>
          <w:tcPr>
            <w:tcW w:w="3512" w:type="dxa"/>
          </w:tcPr>
          <w:p>
            <w:pPr>
              <w:pStyle w:val="yTableNAm"/>
              <w:ind w:left="601" w:hanging="601"/>
            </w:pPr>
            <w:r>
              <w:t>(c)</w:t>
            </w:r>
            <w:r>
              <w:tab/>
              <w:t xml:space="preserve">for each 30 minutes after 2 hours and 30 minutes that an enforcement officer is required to keep the person in custody until the person is conveyed to a court or a custodial place </w:t>
            </w:r>
          </w:p>
        </w:tc>
        <w:tc>
          <w:tcPr>
            <w:tcW w:w="1276" w:type="dxa"/>
          </w:tcPr>
          <w:p>
            <w:pPr>
              <w:pStyle w:val="yTableNAm"/>
            </w:pPr>
            <w:r>
              <w:br/>
            </w:r>
            <w:r>
              <w:br/>
            </w:r>
            <w:r>
              <w:br/>
            </w:r>
            <w:r>
              <w:br/>
            </w:r>
            <w:r>
              <w:br/>
            </w:r>
            <w:r>
              <w:br/>
              <w:t>37.10</w:t>
            </w:r>
          </w:p>
        </w:tc>
        <w:tc>
          <w:tcPr>
            <w:tcW w:w="1559" w:type="dxa"/>
          </w:tcPr>
          <w:p>
            <w:pPr>
              <w:pStyle w:val="yTableNAm"/>
            </w:pPr>
            <w:r>
              <w:br/>
            </w:r>
            <w:r>
              <w:br/>
            </w:r>
            <w:r>
              <w:br/>
            </w:r>
            <w:r>
              <w:br/>
            </w:r>
            <w:r>
              <w:br/>
            </w:r>
            <w:r>
              <w:br/>
              <w:t>37.10</w:t>
            </w:r>
          </w:p>
        </w:tc>
      </w:tr>
      <w:tr>
        <w:trPr>
          <w:cantSplit/>
          <w:trHeight w:val="1100"/>
        </w:trPr>
        <w:tc>
          <w:tcPr>
            <w:tcW w:w="741" w:type="dxa"/>
          </w:tcPr>
          <w:p>
            <w:pPr>
              <w:pStyle w:val="zyTableNAm"/>
              <w:rPr>
                <w:rFonts w:ascii="Arial" w:hAnsi="Arial" w:cs="Arial"/>
                <w:sz w:val="18"/>
                <w:szCs w:val="18"/>
              </w:rPr>
            </w:pPr>
          </w:p>
        </w:tc>
        <w:tc>
          <w:tcPr>
            <w:tcW w:w="6347" w:type="dxa"/>
            <w:gridSpan w:val="3"/>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under paragraph (a) is payable whether or not the Sheriff’s functions under the warrant are performed and includes up to 3 attempts to perform the functions at the same address.</w:t>
            </w:r>
          </w:p>
        </w:tc>
      </w:tr>
      <w:tr>
        <w:trPr>
          <w:cantSplit/>
          <w:trHeight w:val="1929"/>
        </w:trPr>
        <w:tc>
          <w:tcPr>
            <w:tcW w:w="741" w:type="dxa"/>
          </w:tcPr>
          <w:p>
            <w:pPr>
              <w:pStyle w:val="zyTableNAm"/>
              <w:rPr>
                <w:rFonts w:ascii="Arial" w:hAnsi="Arial" w:cs="Arial"/>
                <w:sz w:val="18"/>
                <w:szCs w:val="18"/>
              </w:rPr>
            </w:pPr>
          </w:p>
        </w:tc>
        <w:tc>
          <w:tcPr>
            <w:tcW w:w="6347" w:type="dxa"/>
            <w:gridSpan w:val="3"/>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 xml:space="preserve">The fee under paragraph (a) includes the costs of —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rPr>
          <w:cantSplit/>
        </w:trPr>
        <w:tc>
          <w:tcPr>
            <w:tcW w:w="741" w:type="dxa"/>
            <w:tcBorders>
              <w:bottom w:val="single" w:sz="4" w:space="0" w:color="auto"/>
            </w:tcBorders>
          </w:tcPr>
          <w:p>
            <w:pPr>
              <w:pStyle w:val="yTableNAm"/>
            </w:pPr>
            <w:r>
              <w:t>3.</w:t>
            </w:r>
          </w:p>
        </w:tc>
        <w:tc>
          <w:tcPr>
            <w:tcW w:w="3512" w:type="dxa"/>
            <w:tcBorders>
              <w:bottom w:val="single" w:sz="4" w:space="0" w:color="auto"/>
            </w:tcBorders>
          </w:tcPr>
          <w:p>
            <w:pPr>
              <w:pStyle w:val="yTableNAm"/>
            </w:pPr>
            <w:r>
              <w:t xml:space="preserve">For an application for an extraordinary drivers licence </w:t>
            </w:r>
          </w:p>
        </w:tc>
        <w:tc>
          <w:tcPr>
            <w:tcW w:w="1276" w:type="dxa"/>
            <w:tcBorders>
              <w:bottom w:val="single" w:sz="4" w:space="0" w:color="auto"/>
            </w:tcBorders>
          </w:tcPr>
          <w:p>
            <w:pPr>
              <w:pStyle w:val="yTableNAm"/>
            </w:pPr>
            <w:r>
              <w:br/>
              <w:t>211.00</w:t>
            </w:r>
          </w:p>
        </w:tc>
        <w:tc>
          <w:tcPr>
            <w:tcW w:w="1559" w:type="dxa"/>
            <w:tcBorders>
              <w:bottom w:val="single" w:sz="4" w:space="0" w:color="auto"/>
            </w:tcBorders>
          </w:tcPr>
          <w:p>
            <w:pPr>
              <w:pStyle w:val="yTableNAm"/>
            </w:pPr>
            <w:r>
              <w:br/>
              <w:t>66.00</w:t>
            </w:r>
          </w:p>
        </w:tc>
      </w:tr>
    </w:tbl>
    <w:p>
      <w:pPr>
        <w:pStyle w:val="yFootnotesection"/>
      </w:pPr>
      <w:r>
        <w:tab/>
        <w:t>[Division 2 inserted: Gazette 15 Jun 2018 p. 1968</w:t>
      </w:r>
      <w:r>
        <w:noBreakHyphen/>
        <w:t>9.]</w:t>
      </w:r>
    </w:p>
    <w:p>
      <w:pPr>
        <w:pStyle w:val="yHeading3"/>
      </w:pPr>
      <w:bookmarkStart w:id="27" w:name="_Toc3203258"/>
      <w:bookmarkStart w:id="28" w:name="_Toc3203291"/>
      <w:bookmarkStart w:id="29" w:name="_Toc3283758"/>
      <w:r>
        <w:rPr>
          <w:rStyle w:val="CharSDivNo"/>
        </w:rPr>
        <w:t>Division 3</w:t>
      </w:r>
      <w:r>
        <w:t> — </w:t>
      </w:r>
      <w:r>
        <w:rPr>
          <w:rStyle w:val="CharSDivText"/>
        </w:rPr>
        <w:t>Criminal jurisdiction</w:t>
      </w:r>
      <w:bookmarkEnd w:id="27"/>
      <w:bookmarkEnd w:id="28"/>
      <w:bookmarkEnd w:id="29"/>
    </w:p>
    <w:p>
      <w:pPr>
        <w:pStyle w:val="yFootnoteheading"/>
      </w:pPr>
      <w:r>
        <w:tab/>
        <w:t>[Heading inserted: Gazette 15 Jun 2018 p. 1969.]</w:t>
      </w:r>
    </w:p>
    <w:tbl>
      <w:tblPr>
        <w:tblW w:w="7088" w:type="dxa"/>
        <w:tblInd w:w="108" w:type="dxa"/>
        <w:tblLayout w:type="fixed"/>
        <w:tblLook w:val="0000" w:firstRow="0" w:lastRow="0" w:firstColumn="0" w:lastColumn="0" w:noHBand="0" w:noVBand="0"/>
      </w:tblPr>
      <w:tblGrid>
        <w:gridCol w:w="798"/>
        <w:gridCol w:w="3455"/>
        <w:gridCol w:w="1276"/>
        <w:gridCol w:w="1559"/>
      </w:tblGrid>
      <w:tr>
        <w:trPr>
          <w:cantSplit/>
          <w:tblHeader/>
        </w:trPr>
        <w:tc>
          <w:tcPr>
            <w:tcW w:w="798" w:type="dxa"/>
            <w:tcBorders>
              <w:top w:val="single" w:sz="4" w:space="0" w:color="auto"/>
              <w:bottom w:val="single" w:sz="4" w:space="0" w:color="auto"/>
            </w:tcBorders>
          </w:tcPr>
          <w:p>
            <w:pPr>
              <w:pStyle w:val="yTableNAm"/>
            </w:pPr>
            <w:r>
              <w:rPr>
                <w:b/>
              </w:rPr>
              <w:t>Item</w:t>
            </w:r>
          </w:p>
        </w:tc>
        <w:tc>
          <w:tcPr>
            <w:tcW w:w="3455" w:type="dxa"/>
            <w:tcBorders>
              <w:top w:val="single" w:sz="4" w:space="0" w:color="auto"/>
              <w:bottom w:val="single" w:sz="4" w:space="0" w:color="auto"/>
            </w:tcBorders>
          </w:tcPr>
          <w:p>
            <w:pPr>
              <w:pStyle w:val="yTableNAm"/>
            </w:pPr>
            <w:r>
              <w:rPr>
                <w:b/>
              </w:rPr>
              <w:t>Matter</w:t>
            </w:r>
          </w:p>
        </w:tc>
        <w:tc>
          <w:tcPr>
            <w:tcW w:w="1276" w:type="dxa"/>
            <w:tcBorders>
              <w:top w:val="single" w:sz="4" w:space="0" w:color="auto"/>
              <w:bottom w:val="single" w:sz="4" w:space="0" w:color="auto"/>
            </w:tcBorders>
          </w:tcPr>
          <w:p>
            <w:pPr>
              <w:pStyle w:val="yTableNAm"/>
            </w:pPr>
            <w:r>
              <w:rPr>
                <w:b/>
              </w:rPr>
              <w:t>Column A</w:t>
            </w:r>
          </w:p>
          <w:p>
            <w:pPr>
              <w:pStyle w:val="yTableNAm"/>
            </w:pPr>
            <w:r>
              <w:t>Fee for individual</w:t>
            </w:r>
            <w:r>
              <w:br/>
            </w:r>
          </w:p>
          <w:p>
            <w:pPr>
              <w:pStyle w:val="yTableNAm"/>
            </w:pPr>
            <w:r>
              <w:t>$</w:t>
            </w:r>
          </w:p>
        </w:tc>
        <w:tc>
          <w:tcPr>
            <w:tcW w:w="1559" w:type="dxa"/>
            <w:tcBorders>
              <w:top w:val="single" w:sz="4" w:space="0" w:color="auto"/>
              <w:bottom w:val="single" w:sz="4" w:space="0" w:color="auto"/>
            </w:tcBorders>
          </w:tcPr>
          <w:p>
            <w:pPr>
              <w:pStyle w:val="yTableNAm"/>
            </w:pPr>
            <w:r>
              <w:rPr>
                <w:b/>
              </w:rPr>
              <w:t>Column B</w:t>
            </w:r>
          </w:p>
          <w:p>
            <w:pPr>
              <w:pStyle w:val="yTableNAm"/>
            </w:pPr>
            <w:r>
              <w:t>Fee for eligible individual</w:t>
            </w:r>
          </w:p>
          <w:p>
            <w:pPr>
              <w:pStyle w:val="yTableNAm"/>
            </w:pPr>
            <w:r>
              <w:t>$</w:t>
            </w:r>
          </w:p>
        </w:tc>
      </w:tr>
      <w:tr>
        <w:trPr>
          <w:cantSplit/>
        </w:trPr>
        <w:tc>
          <w:tcPr>
            <w:tcW w:w="798" w:type="dxa"/>
          </w:tcPr>
          <w:p>
            <w:pPr>
              <w:pStyle w:val="yTableNAm"/>
            </w:pPr>
            <w:r>
              <w:t>1.</w:t>
            </w:r>
          </w:p>
        </w:tc>
        <w:tc>
          <w:tcPr>
            <w:tcW w:w="3455" w:type="dxa"/>
          </w:tcPr>
          <w:p>
            <w:pPr>
              <w:pStyle w:val="yTableNAm"/>
            </w:pPr>
            <w:r>
              <w:t xml:space="preserve">On filing — </w:t>
            </w:r>
          </w:p>
        </w:tc>
        <w:tc>
          <w:tcPr>
            <w:tcW w:w="1276" w:type="dxa"/>
          </w:tcPr>
          <w:p>
            <w:pPr>
              <w:pStyle w:val="zyTableNAm"/>
              <w:keepNext/>
              <w:jc w:val="center"/>
            </w:pPr>
          </w:p>
        </w:tc>
        <w:tc>
          <w:tcPr>
            <w:tcW w:w="1559" w:type="dxa"/>
          </w:tcPr>
          <w:p>
            <w:pPr>
              <w:pStyle w:val="yTableNAm"/>
            </w:pPr>
          </w:p>
        </w:tc>
      </w:tr>
      <w:tr>
        <w:trPr>
          <w:cantSplit/>
        </w:trPr>
        <w:tc>
          <w:tcPr>
            <w:tcW w:w="798" w:type="dxa"/>
          </w:tcPr>
          <w:p>
            <w:pPr>
              <w:pStyle w:val="zyTableNAm"/>
            </w:pPr>
          </w:p>
        </w:tc>
        <w:tc>
          <w:tcPr>
            <w:tcW w:w="3455" w:type="dxa"/>
          </w:tcPr>
          <w:p>
            <w:pPr>
              <w:pStyle w:val="yTableNAm"/>
            </w:pPr>
            <w:r>
              <w:t>(a)</w:t>
            </w:r>
            <w:r>
              <w:tab/>
              <w:t xml:space="preserve">a prosecution notice </w:t>
            </w:r>
          </w:p>
        </w:tc>
        <w:tc>
          <w:tcPr>
            <w:tcW w:w="1276" w:type="dxa"/>
          </w:tcPr>
          <w:p>
            <w:pPr>
              <w:pStyle w:val="yTableNAm"/>
            </w:pPr>
            <w:r>
              <w:t>107.50</w:t>
            </w:r>
          </w:p>
        </w:tc>
        <w:tc>
          <w:tcPr>
            <w:tcW w:w="1559" w:type="dxa"/>
          </w:tcPr>
          <w:p>
            <w:pPr>
              <w:pStyle w:val="yTableNAm"/>
            </w:pPr>
            <w:r>
              <w:t>32.10</w:t>
            </w:r>
          </w:p>
        </w:tc>
      </w:tr>
      <w:tr>
        <w:trPr>
          <w:cantSplit/>
        </w:trPr>
        <w:tc>
          <w:tcPr>
            <w:tcW w:w="798" w:type="dxa"/>
          </w:tcPr>
          <w:p>
            <w:pPr>
              <w:pStyle w:val="zyTableNAm"/>
            </w:pPr>
          </w:p>
        </w:tc>
        <w:tc>
          <w:tcPr>
            <w:tcW w:w="3455" w:type="dxa"/>
          </w:tcPr>
          <w:p>
            <w:pPr>
              <w:pStyle w:val="yTableNAm"/>
              <w:ind w:left="601" w:hanging="601"/>
            </w:pPr>
            <w:r>
              <w:t>(b)</w:t>
            </w:r>
            <w:r>
              <w:tab/>
              <w:t xml:space="preserve">an application under the </w:t>
            </w:r>
            <w:r>
              <w:rPr>
                <w:i/>
              </w:rPr>
              <w:t>Criminal Procedure Act 2004</w:t>
            </w:r>
            <w:r>
              <w:t xml:space="preserve"> section 71 </w:t>
            </w:r>
          </w:p>
        </w:tc>
        <w:tc>
          <w:tcPr>
            <w:tcW w:w="1276" w:type="dxa"/>
          </w:tcPr>
          <w:p>
            <w:pPr>
              <w:pStyle w:val="yTableNAm"/>
            </w:pPr>
            <w:r>
              <w:br/>
            </w:r>
            <w:r>
              <w:br/>
              <w:t>107.50</w:t>
            </w:r>
          </w:p>
        </w:tc>
        <w:tc>
          <w:tcPr>
            <w:tcW w:w="1559" w:type="dxa"/>
          </w:tcPr>
          <w:p>
            <w:pPr>
              <w:pStyle w:val="yTableNAm"/>
            </w:pPr>
            <w:r>
              <w:br/>
            </w:r>
            <w:r>
              <w:br/>
              <w:t>32.10</w:t>
            </w:r>
          </w:p>
        </w:tc>
      </w:tr>
      <w:tr>
        <w:trPr>
          <w:cantSplit/>
        </w:trPr>
        <w:tc>
          <w:tcPr>
            <w:tcW w:w="798" w:type="dxa"/>
          </w:tcPr>
          <w:p>
            <w:pPr>
              <w:pStyle w:val="yTableNAm"/>
            </w:pPr>
            <w:r>
              <w:t>2.</w:t>
            </w:r>
          </w:p>
        </w:tc>
        <w:tc>
          <w:tcPr>
            <w:tcW w:w="3455" w:type="dxa"/>
          </w:tcPr>
          <w:p>
            <w:pPr>
              <w:pStyle w:val="yTableNAm"/>
            </w:pPr>
            <w:r>
              <w:t xml:space="preserve">For the issue of a summons or court hearing notice to an accused </w:t>
            </w:r>
          </w:p>
        </w:tc>
        <w:tc>
          <w:tcPr>
            <w:tcW w:w="1276" w:type="dxa"/>
          </w:tcPr>
          <w:p>
            <w:pPr>
              <w:pStyle w:val="yTableNAm"/>
            </w:pPr>
            <w:r>
              <w:br/>
              <w:t>20.60</w:t>
            </w:r>
          </w:p>
        </w:tc>
        <w:tc>
          <w:tcPr>
            <w:tcW w:w="1559" w:type="dxa"/>
          </w:tcPr>
          <w:p>
            <w:pPr>
              <w:pStyle w:val="yTableNAm"/>
            </w:pPr>
            <w:r>
              <w:br/>
              <w:t>6.15</w:t>
            </w:r>
          </w:p>
        </w:tc>
      </w:tr>
      <w:tr>
        <w:trPr>
          <w:cantSplit/>
        </w:trPr>
        <w:tc>
          <w:tcPr>
            <w:tcW w:w="798" w:type="dxa"/>
            <w:tcBorders>
              <w:bottom w:val="single" w:sz="4" w:space="0" w:color="auto"/>
            </w:tcBorders>
          </w:tcPr>
          <w:p>
            <w:pPr>
              <w:pStyle w:val="yTableNAm"/>
            </w:pPr>
            <w:r>
              <w:t>3.</w:t>
            </w:r>
          </w:p>
        </w:tc>
        <w:tc>
          <w:tcPr>
            <w:tcW w:w="3455" w:type="dxa"/>
            <w:tcBorders>
              <w:bottom w:val="single" w:sz="4" w:space="0" w:color="auto"/>
            </w:tcBorders>
          </w:tcPr>
          <w:p>
            <w:pPr>
              <w:pStyle w:val="yTableNAm"/>
            </w:pPr>
            <w:r>
              <w:t xml:space="preserve">For a warrant of any kind — </w:t>
            </w:r>
          </w:p>
          <w:p>
            <w:pPr>
              <w:pStyle w:val="yTableNAm"/>
            </w:pPr>
            <w:r>
              <w:t>(a)</w:t>
            </w:r>
            <w:r>
              <w:tab/>
              <w:t xml:space="preserve">issue of it </w:t>
            </w:r>
          </w:p>
          <w:p>
            <w:pPr>
              <w:pStyle w:val="yTableNAm"/>
            </w:pPr>
            <w:r>
              <w:t>(b)</w:t>
            </w:r>
            <w:r>
              <w:tab/>
              <w:t xml:space="preserve">execution of it </w:t>
            </w:r>
          </w:p>
        </w:tc>
        <w:tc>
          <w:tcPr>
            <w:tcW w:w="1276" w:type="dxa"/>
            <w:tcBorders>
              <w:bottom w:val="single" w:sz="4" w:space="0" w:color="auto"/>
            </w:tcBorders>
          </w:tcPr>
          <w:p>
            <w:pPr>
              <w:pStyle w:val="yTableNAm"/>
            </w:pPr>
          </w:p>
          <w:p>
            <w:pPr>
              <w:pStyle w:val="yTableNAm"/>
            </w:pPr>
            <w:r>
              <w:t>107.50</w:t>
            </w:r>
          </w:p>
          <w:p>
            <w:pPr>
              <w:pStyle w:val="yTableNAm"/>
            </w:pPr>
            <w:r>
              <w:t>140.00</w:t>
            </w:r>
          </w:p>
        </w:tc>
        <w:tc>
          <w:tcPr>
            <w:tcW w:w="1559" w:type="dxa"/>
            <w:tcBorders>
              <w:bottom w:val="single" w:sz="4" w:space="0" w:color="auto"/>
            </w:tcBorders>
          </w:tcPr>
          <w:p>
            <w:pPr>
              <w:pStyle w:val="yTableNAm"/>
            </w:pPr>
          </w:p>
          <w:p>
            <w:pPr>
              <w:pStyle w:val="yTableNAm"/>
            </w:pPr>
            <w:r>
              <w:t>32.10</w:t>
            </w:r>
          </w:p>
          <w:p>
            <w:pPr>
              <w:pStyle w:val="yTableNAm"/>
            </w:pPr>
            <w:r>
              <w:t>140.00</w:t>
            </w:r>
          </w:p>
        </w:tc>
      </w:tr>
    </w:tbl>
    <w:p>
      <w:pPr>
        <w:pStyle w:val="yFootnotesection"/>
      </w:pPr>
      <w:r>
        <w:tab/>
        <w:t>[Division 3 inserted: Gazette 15 Jun 2018 p. 1969.]</w:t>
      </w:r>
    </w:p>
    <w:p>
      <w:pPr>
        <w:pStyle w:val="yEdnoteschedule"/>
      </w:pPr>
      <w:r>
        <w:t>[Schedule 2 deleted: Gazette 14 Jun 2016 p. 1868.]</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31" w:name="_Toc3203259"/>
      <w:bookmarkStart w:id="32" w:name="_Toc3203292"/>
      <w:bookmarkStart w:id="33" w:name="_Toc3283759"/>
      <w:r>
        <w:t>Notes</w:t>
      </w:r>
      <w:bookmarkEnd w:id="31"/>
      <w:bookmarkEnd w:id="32"/>
      <w:bookmarkEnd w:id="33"/>
    </w:p>
    <w:p>
      <w:pPr>
        <w:pStyle w:val="nSubsection"/>
      </w:pPr>
      <w:r>
        <w:rPr>
          <w:vertAlign w:val="superscript"/>
        </w:rPr>
        <w:t>1</w:t>
      </w:r>
      <w:r>
        <w:tab/>
        <w:t xml:space="preserve">This is a compilation of the </w:t>
      </w:r>
      <w:r>
        <w:rPr>
          <w:i/>
          <w:noProof/>
        </w:rPr>
        <w:t>Children’s Court (Fees) Regulations 2005</w:t>
      </w:r>
      <w:r>
        <w:t xml:space="preserve"> and includes the amendments made by the other written laws referred to in the following table.  The table also contains information about any reprint.</w:t>
      </w:r>
    </w:p>
    <w:p>
      <w:pPr>
        <w:pStyle w:val="nHeading3"/>
      </w:pPr>
      <w:bookmarkStart w:id="34" w:name="_Toc3283760"/>
      <w:r>
        <w:t>Compilation table</w:t>
      </w:r>
      <w:bookmarkEnd w:id="3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Children’s Court (Fees) Regulations 2005</w:t>
            </w:r>
          </w:p>
        </w:tc>
        <w:tc>
          <w:tcPr>
            <w:tcW w:w="1276" w:type="dxa"/>
            <w:tcBorders>
              <w:top w:val="single" w:sz="8" w:space="0" w:color="auto"/>
            </w:tcBorders>
          </w:tcPr>
          <w:p>
            <w:pPr>
              <w:pStyle w:val="nTable"/>
              <w:spacing w:after="40"/>
            </w:pPr>
            <w:r>
              <w:t>28 Apr 2005 p. 1415</w:t>
            </w:r>
            <w:r>
              <w:noBreakHyphen/>
              <w:t>33</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rPr>
                <w:i/>
              </w:rPr>
            </w:pPr>
            <w:r>
              <w:rPr>
                <w:i/>
              </w:rPr>
              <w:t>Children’s Court (Fees) Amendment Regulations 2005</w:t>
            </w:r>
          </w:p>
        </w:tc>
        <w:tc>
          <w:tcPr>
            <w:tcW w:w="1276" w:type="dxa"/>
          </w:tcPr>
          <w:p>
            <w:pPr>
              <w:pStyle w:val="nTable"/>
              <w:spacing w:after="40"/>
            </w:pPr>
            <w:r>
              <w:t>30 Aug 2005 p. 4054</w:t>
            </w:r>
          </w:p>
        </w:tc>
        <w:tc>
          <w:tcPr>
            <w:tcW w:w="2693" w:type="dxa"/>
          </w:tcPr>
          <w:p>
            <w:pPr>
              <w:pStyle w:val="nTable"/>
              <w:spacing w:after="40"/>
            </w:pPr>
            <w:r>
              <w:t>30 Aug 2005</w:t>
            </w:r>
          </w:p>
        </w:tc>
      </w:tr>
      <w:tr>
        <w:tc>
          <w:tcPr>
            <w:tcW w:w="3118" w:type="dxa"/>
          </w:tcPr>
          <w:p>
            <w:pPr>
              <w:pStyle w:val="nTable"/>
              <w:spacing w:after="40"/>
              <w:rPr>
                <w:i/>
              </w:rPr>
            </w:pPr>
            <w:r>
              <w:rPr>
                <w:i/>
              </w:rPr>
              <w:t>Children’s Court (Fees) Amendment Regulations 2006</w:t>
            </w:r>
          </w:p>
        </w:tc>
        <w:tc>
          <w:tcPr>
            <w:tcW w:w="1276" w:type="dxa"/>
          </w:tcPr>
          <w:p>
            <w:pPr>
              <w:pStyle w:val="nTable"/>
              <w:spacing w:after="40"/>
            </w:pPr>
            <w:r>
              <w:t>23 Jun 2006 p. 2181</w:t>
            </w:r>
            <w:r>
              <w:noBreakHyphen/>
              <w:t>3</w:t>
            </w:r>
          </w:p>
        </w:tc>
        <w:tc>
          <w:tcPr>
            <w:tcW w:w="2693" w:type="dxa"/>
          </w:tcPr>
          <w:p>
            <w:pPr>
              <w:pStyle w:val="nTable"/>
              <w:spacing w:after="40"/>
            </w:pPr>
            <w:r>
              <w:t>1 Jul 2006 (see r. 2)</w:t>
            </w:r>
          </w:p>
        </w:tc>
      </w:tr>
      <w:tr>
        <w:tc>
          <w:tcPr>
            <w:tcW w:w="3118" w:type="dxa"/>
          </w:tcPr>
          <w:p>
            <w:pPr>
              <w:pStyle w:val="nTable"/>
              <w:spacing w:after="40"/>
              <w:rPr>
                <w:i/>
              </w:rPr>
            </w:pPr>
            <w:r>
              <w:rPr>
                <w:i/>
              </w:rPr>
              <w:t>Children’s Court (Fees) Amendment Regulations 2007</w:t>
            </w:r>
          </w:p>
        </w:tc>
        <w:tc>
          <w:tcPr>
            <w:tcW w:w="1276" w:type="dxa"/>
          </w:tcPr>
          <w:p>
            <w:pPr>
              <w:pStyle w:val="nTable"/>
              <w:spacing w:after="40"/>
            </w:pPr>
            <w:r>
              <w:t>26 Jun 2007 p. 3040</w:t>
            </w:r>
            <w:r>
              <w:noBreakHyphen/>
              <w:t>1</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Children’s Court (Fees) Amendment Regulations 2008</w:t>
            </w:r>
          </w:p>
        </w:tc>
        <w:tc>
          <w:tcPr>
            <w:tcW w:w="1276" w:type="dxa"/>
          </w:tcPr>
          <w:p>
            <w:pPr>
              <w:pStyle w:val="nTable"/>
              <w:spacing w:after="40"/>
            </w:pPr>
            <w:r>
              <w:t>11 Mar 2008 p. 817</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c>
          <w:tcPr>
            <w:tcW w:w="3118" w:type="dxa"/>
          </w:tcPr>
          <w:p>
            <w:pPr>
              <w:pStyle w:val="nTable"/>
              <w:spacing w:after="40"/>
              <w:rPr>
                <w:i/>
              </w:rPr>
            </w:pPr>
            <w:r>
              <w:rPr>
                <w:i/>
              </w:rPr>
              <w:t>Children’s Court (Fees) Amendment Regulations (No. 2) 2008</w:t>
            </w:r>
          </w:p>
        </w:tc>
        <w:tc>
          <w:tcPr>
            <w:tcW w:w="1276" w:type="dxa"/>
          </w:tcPr>
          <w:p>
            <w:pPr>
              <w:pStyle w:val="nTable"/>
              <w:spacing w:after="40"/>
            </w:pPr>
            <w:r>
              <w:t>27 Jun 2008 p. 3070</w:t>
            </w:r>
            <w:r>
              <w:noBreakHyphen/>
              <w:t>2</w:t>
            </w:r>
          </w:p>
        </w:tc>
        <w:tc>
          <w:tcPr>
            <w:tcW w:w="2693" w:type="dxa"/>
          </w:tcPr>
          <w:p>
            <w:pPr>
              <w:pStyle w:val="nTable"/>
              <w:spacing w:after="40"/>
              <w:rPr>
                <w:snapToGrid w:val="0"/>
              </w:rPr>
            </w:pPr>
            <w:r>
              <w:rPr>
                <w:snapToGrid w:val="0"/>
              </w:rPr>
              <w:t>r. 1 and 2: 27 Jun 2008 (see r. 2(a));</w:t>
            </w:r>
            <w:r>
              <w:rPr>
                <w:snapToGrid w:val="0"/>
              </w:rPr>
              <w:br/>
              <w:t>Regulations other than r. 1 and 2: 1 Jul 2008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Children’s Court (Fees) Regulations 2005</w:t>
            </w:r>
            <w:r>
              <w:rPr>
                <w:b/>
                <w:bCs/>
                <w:snapToGrid w:val="0"/>
              </w:rPr>
              <w:t xml:space="preserve"> as at 5 Sep 2008</w:t>
            </w:r>
            <w:r>
              <w:rPr>
                <w:b/>
                <w:bCs/>
                <w:snapToGrid w:val="0"/>
              </w:rPr>
              <w:br/>
            </w:r>
            <w:r>
              <w:rPr>
                <w:snapToGrid w:val="0"/>
              </w:rPr>
              <w:t>(includes amendments listed above)</w:t>
            </w:r>
          </w:p>
        </w:tc>
      </w:tr>
      <w:tr>
        <w:tc>
          <w:tcPr>
            <w:tcW w:w="3118" w:type="dxa"/>
          </w:tcPr>
          <w:p>
            <w:pPr>
              <w:pStyle w:val="nTable"/>
              <w:spacing w:after="40"/>
              <w:rPr>
                <w:i/>
              </w:rPr>
            </w:pPr>
            <w:r>
              <w:rPr>
                <w:i/>
              </w:rPr>
              <w:t>Children’s Court (Fees) Amendment Regulations 2009</w:t>
            </w:r>
          </w:p>
        </w:tc>
        <w:tc>
          <w:tcPr>
            <w:tcW w:w="1276" w:type="dxa"/>
          </w:tcPr>
          <w:p>
            <w:pPr>
              <w:pStyle w:val="nTable"/>
              <w:spacing w:after="40"/>
            </w:pPr>
            <w:r>
              <w:t>9 Jun 2009 p. 1925</w:t>
            </w:r>
          </w:p>
        </w:tc>
        <w:tc>
          <w:tcPr>
            <w:tcW w:w="2693" w:type="dxa"/>
          </w:tcPr>
          <w:p>
            <w:pPr>
              <w:pStyle w:val="nTable"/>
              <w:spacing w:after="40"/>
            </w:pPr>
            <w:r>
              <w:rPr>
                <w:snapToGrid w:val="0"/>
              </w:rPr>
              <w:t>r. 1 and 2: 9 Jun 2009 (see r. 2(a));</w:t>
            </w:r>
            <w:r>
              <w:rPr>
                <w:snapToGrid w:val="0"/>
              </w:rPr>
              <w:br/>
              <w:t>Regulations other than r. 1 and 2: 10 Jun 2009 (see r. 2(b))</w:t>
            </w:r>
          </w:p>
        </w:tc>
      </w:tr>
      <w:tr>
        <w:tc>
          <w:tcPr>
            <w:tcW w:w="3118" w:type="dxa"/>
          </w:tcPr>
          <w:p>
            <w:pPr>
              <w:pStyle w:val="nTable"/>
              <w:spacing w:after="40"/>
              <w:rPr>
                <w:i/>
              </w:rPr>
            </w:pPr>
            <w:r>
              <w:rPr>
                <w:i/>
              </w:rPr>
              <w:t>Children’s Court (Fees) Amendment Regulations (No. 2) 2009</w:t>
            </w:r>
          </w:p>
        </w:tc>
        <w:tc>
          <w:tcPr>
            <w:tcW w:w="1276" w:type="dxa"/>
          </w:tcPr>
          <w:p>
            <w:pPr>
              <w:pStyle w:val="nTable"/>
              <w:spacing w:after="40"/>
            </w:pPr>
            <w:r>
              <w:t>4 Sep 2009 p. 3483-5</w:t>
            </w:r>
          </w:p>
        </w:tc>
        <w:tc>
          <w:tcPr>
            <w:tcW w:w="2693" w:type="dxa"/>
          </w:tcPr>
          <w:p>
            <w:pPr>
              <w:pStyle w:val="nTable"/>
              <w:spacing w:after="40"/>
              <w:rPr>
                <w:snapToGrid w:val="0"/>
              </w:rPr>
            </w:pPr>
            <w:r>
              <w:rPr>
                <w:snapToGrid w:val="0"/>
              </w:rPr>
              <w:t>r. 1 and 2: 4 Sep 2009 (see r. 2(a));</w:t>
            </w:r>
            <w:r>
              <w:rPr>
                <w:snapToGrid w:val="0"/>
              </w:rPr>
              <w:br/>
              <w:t>Regulations other than r. 1 and 2: 5 Sep 2009 (see r. 2(b))</w:t>
            </w:r>
          </w:p>
        </w:tc>
      </w:tr>
      <w:tr>
        <w:tc>
          <w:tcPr>
            <w:tcW w:w="3118" w:type="dxa"/>
          </w:tcPr>
          <w:p>
            <w:pPr>
              <w:pStyle w:val="nTable"/>
              <w:keepNext/>
              <w:spacing w:after="40"/>
              <w:rPr>
                <w:i/>
              </w:rPr>
            </w:pPr>
            <w:r>
              <w:rPr>
                <w:i/>
              </w:rPr>
              <w:t>Children’s Court (Fees) Amendment Regulations 2011</w:t>
            </w:r>
          </w:p>
        </w:tc>
        <w:tc>
          <w:tcPr>
            <w:tcW w:w="1276" w:type="dxa"/>
          </w:tcPr>
          <w:p>
            <w:pPr>
              <w:pStyle w:val="nTable"/>
              <w:keepNext/>
              <w:spacing w:after="40"/>
            </w:pPr>
            <w:r>
              <w:t>8 Mar 2011 p. 791</w:t>
            </w:r>
            <w:r>
              <w:noBreakHyphen/>
              <w:t>2</w:t>
            </w:r>
          </w:p>
        </w:tc>
        <w:tc>
          <w:tcPr>
            <w:tcW w:w="2693" w:type="dxa"/>
          </w:tcPr>
          <w:p>
            <w:pPr>
              <w:pStyle w:val="nTable"/>
              <w:keepNext/>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keepNext/>
              <w:spacing w:after="40"/>
              <w:rPr>
                <w:i/>
              </w:rPr>
            </w:pPr>
            <w:r>
              <w:rPr>
                <w:i/>
              </w:rPr>
              <w:t>Children’s Court (Fees) Amendment Regulations (No. 2) 2011</w:t>
            </w:r>
          </w:p>
        </w:tc>
        <w:tc>
          <w:tcPr>
            <w:tcW w:w="1276" w:type="dxa"/>
          </w:tcPr>
          <w:p>
            <w:pPr>
              <w:pStyle w:val="nTable"/>
              <w:keepNext/>
              <w:spacing w:after="40"/>
            </w:pPr>
            <w:r>
              <w:t>20 Dec 2011 p. 5390</w:t>
            </w:r>
            <w:r>
              <w:noBreakHyphen/>
              <w:t>2</w:t>
            </w:r>
          </w:p>
        </w:tc>
        <w:tc>
          <w:tcPr>
            <w:tcW w:w="2693" w:type="dxa"/>
          </w:tcPr>
          <w:p>
            <w:pPr>
              <w:pStyle w:val="nTable"/>
              <w:keepNext/>
              <w:spacing w:after="40"/>
              <w:rPr>
                <w:snapToGrid w:val="0"/>
              </w:rPr>
            </w:pPr>
            <w:r>
              <w:rPr>
                <w:snapToGrid w:val="0"/>
              </w:rPr>
              <w:t>r. 1 and 2: 20 Dec 2011 (see r. 2(a));</w:t>
            </w:r>
            <w:r>
              <w:rPr>
                <w:snapToGrid w:val="0"/>
              </w:rPr>
              <w:br/>
              <w:t>Regulations other than r. 1 and 2: 21 Dec 2011 (see r. 2(b))</w:t>
            </w:r>
          </w:p>
        </w:tc>
      </w:tr>
      <w:tr>
        <w:tc>
          <w:tcPr>
            <w:tcW w:w="3118" w:type="dxa"/>
            <w:shd w:val="clear" w:color="auto" w:fill="auto"/>
          </w:tcPr>
          <w:p>
            <w:pPr>
              <w:pStyle w:val="nTable"/>
              <w:spacing w:after="40"/>
              <w:rPr>
                <w:i/>
              </w:rPr>
            </w:pPr>
            <w:r>
              <w:rPr>
                <w:i/>
              </w:rPr>
              <w:t>Children’s Court (Fees) Amendment Regulations 2012</w:t>
            </w:r>
          </w:p>
        </w:tc>
        <w:tc>
          <w:tcPr>
            <w:tcW w:w="1276" w:type="dxa"/>
            <w:shd w:val="clear" w:color="auto" w:fill="auto"/>
          </w:tcPr>
          <w:p>
            <w:pPr>
              <w:pStyle w:val="nTable"/>
              <w:spacing w:after="40"/>
            </w:pPr>
            <w:r>
              <w:t>27 Mar 2012 p. 1505</w:t>
            </w:r>
          </w:p>
        </w:tc>
        <w:tc>
          <w:tcPr>
            <w:tcW w:w="2693" w:type="dxa"/>
            <w:shd w:val="clear" w:color="auto" w:fill="auto"/>
          </w:tcPr>
          <w:p>
            <w:pPr>
              <w:pStyle w:val="nTable"/>
              <w:spacing w:after="40"/>
              <w:rPr>
                <w:snapToGrid w:val="0"/>
              </w:rPr>
            </w:pPr>
            <w:r>
              <w:rPr>
                <w:snapToGrid w:val="0"/>
              </w:rPr>
              <w:t>r. 1 and 2: 27 Mar 2012 (see r. 2(a));</w:t>
            </w:r>
            <w:r>
              <w:rPr>
                <w:snapToGrid w:val="0"/>
              </w:rPr>
              <w:br/>
              <w:t>Regulations other than r. 1 and 2: 28 Mar 2012 (see r. 2(b))</w:t>
            </w:r>
          </w:p>
        </w:tc>
      </w:tr>
      <w:tr>
        <w:tc>
          <w:tcPr>
            <w:tcW w:w="7087" w:type="dxa"/>
            <w:gridSpan w:val="3"/>
            <w:shd w:val="clear" w:color="auto" w:fill="auto"/>
          </w:tcPr>
          <w:p>
            <w:pPr>
              <w:pStyle w:val="nTable"/>
              <w:spacing w:after="40"/>
              <w:rPr>
                <w:snapToGrid w:val="0"/>
              </w:rPr>
            </w:pPr>
            <w:r>
              <w:rPr>
                <w:b/>
                <w:bCs/>
                <w:snapToGrid w:val="0"/>
              </w:rPr>
              <w:t xml:space="preserve">Reprint 2:  The </w:t>
            </w:r>
            <w:r>
              <w:rPr>
                <w:b/>
                <w:bCs/>
                <w:i/>
              </w:rPr>
              <w:t>Children’s Court (Fees) Regulations 2005</w:t>
            </w:r>
            <w:r>
              <w:rPr>
                <w:b/>
                <w:bCs/>
                <w:snapToGrid w:val="0"/>
              </w:rPr>
              <w:t xml:space="preserve"> as at 15 Jun 2012</w:t>
            </w:r>
            <w:r>
              <w:rPr>
                <w:b/>
                <w:bCs/>
                <w:snapToGrid w:val="0"/>
              </w:rPr>
              <w:br/>
            </w:r>
            <w:r>
              <w:rPr>
                <w:snapToGrid w:val="0"/>
              </w:rPr>
              <w:t>(includes amendments listed above)</w:t>
            </w:r>
          </w:p>
        </w:tc>
      </w:tr>
      <w:tr>
        <w:tc>
          <w:tcPr>
            <w:tcW w:w="3118" w:type="dxa"/>
            <w:shd w:val="clear" w:color="auto" w:fill="auto"/>
          </w:tcPr>
          <w:p>
            <w:pPr>
              <w:pStyle w:val="nTable"/>
              <w:spacing w:after="40"/>
              <w:rPr>
                <w:i/>
              </w:rPr>
            </w:pPr>
            <w:r>
              <w:rPr>
                <w:i/>
              </w:rPr>
              <w:t>Children’s Court (Fees) Amendment Regulations (No. 2) 2012</w:t>
            </w:r>
          </w:p>
        </w:tc>
        <w:tc>
          <w:tcPr>
            <w:tcW w:w="1276" w:type="dxa"/>
            <w:shd w:val="clear" w:color="auto" w:fill="auto"/>
          </w:tcPr>
          <w:p>
            <w:pPr>
              <w:pStyle w:val="nTable"/>
              <w:spacing w:after="40"/>
            </w:pPr>
            <w:r>
              <w:t>30 Nov 2012 p. 5794</w:t>
            </w:r>
            <w:r>
              <w:noBreakHyphen/>
              <w:t>5</w:t>
            </w:r>
          </w:p>
        </w:tc>
        <w:tc>
          <w:tcPr>
            <w:tcW w:w="2693" w:type="dxa"/>
            <w:shd w:val="clear" w:color="auto" w:fill="auto"/>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18" w:type="dxa"/>
            <w:shd w:val="clear" w:color="auto" w:fill="auto"/>
          </w:tcPr>
          <w:p>
            <w:pPr>
              <w:pStyle w:val="nTable"/>
              <w:spacing w:after="40"/>
              <w:rPr>
                <w:i/>
              </w:rPr>
            </w:pPr>
            <w:r>
              <w:rPr>
                <w:i/>
              </w:rPr>
              <w:t>Children’s Court (Fees) Amendment Regulations 2013</w:t>
            </w:r>
          </w:p>
        </w:tc>
        <w:tc>
          <w:tcPr>
            <w:tcW w:w="1276" w:type="dxa"/>
            <w:shd w:val="clear" w:color="auto" w:fill="auto"/>
          </w:tcPr>
          <w:p>
            <w:pPr>
              <w:pStyle w:val="nTable"/>
              <w:spacing w:after="40"/>
            </w:pPr>
            <w:r>
              <w:t>15 Nov 2013 p. 5250</w:t>
            </w:r>
            <w:r>
              <w:noBreakHyphen/>
              <w:t>2</w:t>
            </w:r>
          </w:p>
        </w:tc>
        <w:tc>
          <w:tcPr>
            <w:tcW w:w="2693" w:type="dxa"/>
            <w:shd w:val="clear" w:color="auto" w:fill="auto"/>
          </w:tcPr>
          <w:p>
            <w:pPr>
              <w:pStyle w:val="nTable"/>
              <w:spacing w:after="40"/>
              <w:rPr>
                <w:snapToGrid w:val="0"/>
              </w:rPr>
            </w:pPr>
            <w:r>
              <w:rPr>
                <w:bCs/>
                <w:snapToGrid w:val="0"/>
              </w:rPr>
              <w:t>r. 1 and 2: 15 Nov 2013 (see r. 2(a));</w:t>
            </w:r>
            <w:r>
              <w:rPr>
                <w:bCs/>
                <w:snapToGrid w:val="0"/>
              </w:rPr>
              <w:br/>
              <w:t>Regulations other than r. 1 and 2: 16 Nov 2013 (see r. 2(b))</w:t>
            </w:r>
          </w:p>
        </w:tc>
      </w:tr>
      <w:tr>
        <w:tc>
          <w:tcPr>
            <w:tcW w:w="3118" w:type="dxa"/>
            <w:shd w:val="clear" w:color="auto" w:fill="auto"/>
          </w:tcPr>
          <w:p>
            <w:pPr>
              <w:pStyle w:val="nTable"/>
              <w:spacing w:after="40"/>
              <w:rPr>
                <w:i/>
              </w:rPr>
            </w:pPr>
            <w:r>
              <w:rPr>
                <w:i/>
              </w:rPr>
              <w:t>Children’s Court (Fees) Amendment Regulations (No. 2) 2014</w:t>
            </w:r>
          </w:p>
        </w:tc>
        <w:tc>
          <w:tcPr>
            <w:tcW w:w="1276" w:type="dxa"/>
            <w:shd w:val="clear" w:color="auto" w:fill="auto"/>
          </w:tcPr>
          <w:p>
            <w:pPr>
              <w:pStyle w:val="nTable"/>
              <w:spacing w:after="40"/>
            </w:pPr>
            <w:r>
              <w:t>27 Jun 2014 p. 2333-4</w:t>
            </w:r>
          </w:p>
        </w:tc>
        <w:tc>
          <w:tcPr>
            <w:tcW w:w="2693" w:type="dxa"/>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c>
          <w:tcPr>
            <w:tcW w:w="3118" w:type="dxa"/>
            <w:shd w:val="clear" w:color="auto" w:fill="auto"/>
          </w:tcPr>
          <w:p>
            <w:pPr>
              <w:pStyle w:val="nTable"/>
              <w:spacing w:after="40"/>
              <w:rPr>
                <w:i/>
              </w:rPr>
            </w:pPr>
            <w:r>
              <w:rPr>
                <w:i/>
              </w:rPr>
              <w:t>Children’s Court (Fees) Amendment Regulations 2015</w:t>
            </w:r>
          </w:p>
        </w:tc>
        <w:tc>
          <w:tcPr>
            <w:tcW w:w="1276" w:type="dxa"/>
            <w:shd w:val="clear" w:color="auto" w:fill="auto"/>
          </w:tcPr>
          <w:p>
            <w:pPr>
              <w:pStyle w:val="nTable"/>
              <w:spacing w:after="40"/>
            </w:pPr>
            <w:r>
              <w:t>19 Jun 2015 p. 2114</w:t>
            </w:r>
            <w:r>
              <w:noBreakHyphen/>
              <w:t>15</w:t>
            </w:r>
          </w:p>
        </w:tc>
        <w:tc>
          <w:tcPr>
            <w:tcW w:w="2693" w:type="dxa"/>
            <w:shd w:val="clear" w:color="auto" w:fill="auto"/>
          </w:tcPr>
          <w:p>
            <w:pPr>
              <w:pStyle w:val="nTable"/>
              <w:spacing w:after="40"/>
              <w:rPr>
                <w:bCs/>
                <w:snapToGrid w:val="0"/>
              </w:rPr>
            </w:pPr>
            <w:r>
              <w:rPr>
                <w:bCs/>
                <w:snapToGrid w:val="0"/>
              </w:rPr>
              <w:t>r. 1 and 2: 19 Jun 2015 (see r. 2(a));</w:t>
            </w:r>
            <w:r>
              <w:rPr>
                <w:bCs/>
                <w:snapToGrid w:val="0"/>
              </w:rPr>
              <w:br/>
              <w:t>Regulations other than r. 1 and 2: 1 Jul 2015 (see r. 2(b)(i))</w:t>
            </w:r>
          </w:p>
        </w:tc>
      </w:tr>
      <w:tr>
        <w:tc>
          <w:tcPr>
            <w:tcW w:w="3118" w:type="dxa"/>
            <w:shd w:val="clear" w:color="auto" w:fill="auto"/>
          </w:tcPr>
          <w:p>
            <w:pPr>
              <w:pStyle w:val="nTable"/>
              <w:spacing w:after="40"/>
              <w:rPr>
                <w:i/>
              </w:rPr>
            </w:pPr>
            <w:r>
              <w:rPr>
                <w:i/>
              </w:rPr>
              <w:t>Attorney General Regulations Amendment (Fees) Regulations 2016</w:t>
            </w:r>
            <w:r>
              <w:t xml:space="preserve"> Pt. 2</w:t>
            </w:r>
          </w:p>
        </w:tc>
        <w:tc>
          <w:tcPr>
            <w:tcW w:w="1276" w:type="dxa"/>
            <w:shd w:val="clear" w:color="auto" w:fill="auto"/>
          </w:tcPr>
          <w:p>
            <w:pPr>
              <w:pStyle w:val="nTable"/>
              <w:spacing w:after="40"/>
            </w:pPr>
            <w:r>
              <w:t>14 Jun 2016 p. 1849</w:t>
            </w:r>
            <w:r>
              <w:noBreakHyphen/>
              <w:t>986</w:t>
            </w:r>
          </w:p>
        </w:tc>
        <w:tc>
          <w:tcPr>
            <w:tcW w:w="2693" w:type="dxa"/>
            <w:shd w:val="clear" w:color="auto" w:fill="auto"/>
          </w:tcPr>
          <w:p>
            <w:pPr>
              <w:pStyle w:val="nTable"/>
              <w:spacing w:after="40"/>
              <w:rPr>
                <w:bCs/>
                <w:snapToGrid w:val="0"/>
              </w:rPr>
            </w:pPr>
            <w:r>
              <w:t>4 Jul 2016 (see r. 2(b))</w:t>
            </w:r>
          </w:p>
        </w:tc>
      </w:tr>
      <w:tr>
        <w:tc>
          <w:tcPr>
            <w:tcW w:w="3118" w:type="dxa"/>
            <w:shd w:val="clear" w:color="auto" w:fill="auto"/>
          </w:tcPr>
          <w:p>
            <w:pPr>
              <w:pStyle w:val="nTable"/>
              <w:spacing w:after="40"/>
              <w:rPr>
                <w:i/>
              </w:rPr>
            </w:pPr>
            <w:r>
              <w:rPr>
                <w:i/>
              </w:rPr>
              <w:t>Attorney General Regulations Amendment (Family Violence Restraining Orders) Regulations 2017</w:t>
            </w:r>
            <w:r>
              <w:t xml:space="preserve"> Pt. 3</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c>
          <w:tcPr>
            <w:tcW w:w="3118" w:type="dxa"/>
            <w:shd w:val="clear" w:color="auto" w:fill="auto"/>
          </w:tcPr>
          <w:p>
            <w:pPr>
              <w:pStyle w:val="nTable"/>
              <w:spacing w:after="40"/>
            </w:pPr>
            <w:r>
              <w:rPr>
                <w:i/>
              </w:rPr>
              <w:t xml:space="preserve">Attorney General Regulations Amendment (Fees and Charges) Regulations 2017 </w:t>
            </w:r>
            <w:r>
              <w:t>Pt. 2</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bCs/>
                <w:snapToGrid w:val="0"/>
                <w:spacing w:val="-2"/>
              </w:rPr>
              <w:t xml:space="preserve"> (see r. 2(b)(ii))</w:t>
            </w:r>
          </w:p>
        </w:tc>
      </w:tr>
      <w:tr>
        <w:tc>
          <w:tcPr>
            <w:tcW w:w="3118" w:type="dxa"/>
            <w:shd w:val="clear" w:color="auto" w:fill="auto"/>
          </w:tcPr>
          <w:p>
            <w:pPr>
              <w:pStyle w:val="nTable"/>
              <w:keepNext/>
              <w:spacing w:after="40"/>
            </w:pPr>
            <w:r>
              <w:rPr>
                <w:i/>
              </w:rPr>
              <w:t>Attorney General Regulations Amendment (Bailiff Fees) Regulations 2018</w:t>
            </w:r>
            <w:r>
              <w:t xml:space="preserve"> Pt. 2</w:t>
            </w:r>
          </w:p>
        </w:tc>
        <w:tc>
          <w:tcPr>
            <w:tcW w:w="1276" w:type="dxa"/>
            <w:shd w:val="clear" w:color="auto" w:fill="auto"/>
          </w:tcPr>
          <w:p>
            <w:pPr>
              <w:pStyle w:val="nTable"/>
              <w:keepNext/>
              <w:spacing w:after="40"/>
            </w:pPr>
            <w:r>
              <w:t>9 Feb 2018 p. 401</w:t>
            </w:r>
            <w:r>
              <w:noBreakHyphen/>
              <w:t>5</w:t>
            </w:r>
          </w:p>
        </w:tc>
        <w:tc>
          <w:tcPr>
            <w:tcW w:w="2693" w:type="dxa"/>
            <w:shd w:val="clear" w:color="auto" w:fill="auto"/>
          </w:tcPr>
          <w:p>
            <w:pPr>
              <w:pStyle w:val="nTable"/>
              <w:keepNext/>
              <w:spacing w:after="40"/>
              <w:rPr>
                <w:bCs/>
                <w:snapToGrid w:val="0"/>
              </w:rPr>
            </w:pPr>
            <w:r>
              <w:rPr>
                <w:bCs/>
                <w:snapToGrid w:val="0"/>
              </w:rPr>
              <w:t>10 Feb 2018 (see r. 2(b))</w:t>
            </w:r>
          </w:p>
        </w:tc>
      </w:tr>
      <w:tr>
        <w:tc>
          <w:tcPr>
            <w:tcW w:w="3118" w:type="dxa"/>
            <w:shd w:val="clear" w:color="auto" w:fill="auto"/>
          </w:tcPr>
          <w:p>
            <w:pPr>
              <w:pStyle w:val="nTable"/>
              <w:spacing w:after="40"/>
            </w:pPr>
            <w:r>
              <w:rPr>
                <w:i/>
              </w:rPr>
              <w:t>Attorney General Regulations Amendment (Fees and Charges) Regulations 2018</w:t>
            </w:r>
            <w:r>
              <w:t xml:space="preserve"> Pt. 2</w:t>
            </w:r>
          </w:p>
        </w:tc>
        <w:tc>
          <w:tcPr>
            <w:tcW w:w="1276" w:type="dxa"/>
            <w:shd w:val="clear" w:color="auto" w:fill="auto"/>
          </w:tcPr>
          <w:p>
            <w:pPr>
              <w:pStyle w:val="nTable"/>
              <w:spacing w:after="40"/>
            </w:pPr>
            <w:r>
              <w:t>15 Jun 2018 p. 1963</w:t>
            </w:r>
            <w:r>
              <w:noBreakHyphen/>
              <w:t>2049</w:t>
            </w:r>
          </w:p>
        </w:tc>
        <w:tc>
          <w:tcPr>
            <w:tcW w:w="2693" w:type="dxa"/>
            <w:shd w:val="clear" w:color="auto" w:fill="auto"/>
          </w:tcPr>
          <w:p>
            <w:pPr>
              <w:pStyle w:val="nTable"/>
              <w:spacing w:after="40"/>
              <w:rPr>
                <w:bCs/>
                <w:snapToGrid w:val="0"/>
              </w:rPr>
            </w:pPr>
            <w:r>
              <w:rPr>
                <w:bCs/>
                <w:snapToGrid w:val="0"/>
              </w:rPr>
              <w:t>1 Jul 2018 (see r. 2(b))</w:t>
            </w:r>
          </w:p>
        </w:tc>
      </w:tr>
      <w:tr>
        <w:tc>
          <w:tcPr>
            <w:tcW w:w="3118" w:type="dxa"/>
            <w:shd w:val="clear" w:color="auto" w:fill="auto"/>
          </w:tcPr>
          <w:p>
            <w:pPr>
              <w:pStyle w:val="nTable"/>
              <w:spacing w:after="40"/>
            </w:pPr>
            <w:r>
              <w:rPr>
                <w:i/>
              </w:rPr>
              <w:t>Justice Regulations Amendment (Fee Relief) Regulations 2018</w:t>
            </w:r>
            <w:r>
              <w:t xml:space="preserve"> Pt. 2</w:t>
            </w:r>
          </w:p>
        </w:tc>
        <w:tc>
          <w:tcPr>
            <w:tcW w:w="1276" w:type="dxa"/>
            <w:shd w:val="clear" w:color="auto" w:fill="auto"/>
          </w:tcPr>
          <w:p>
            <w:pPr>
              <w:pStyle w:val="nTable"/>
              <w:spacing w:after="40"/>
            </w:pPr>
            <w:r>
              <w:t>20 Jul 2018 p. 2621</w:t>
            </w:r>
            <w:r>
              <w:noBreakHyphen/>
              <w:t>30</w:t>
            </w:r>
          </w:p>
        </w:tc>
        <w:tc>
          <w:tcPr>
            <w:tcW w:w="2693" w:type="dxa"/>
            <w:shd w:val="clear" w:color="auto" w:fill="auto"/>
          </w:tcPr>
          <w:p>
            <w:pPr>
              <w:pStyle w:val="nTable"/>
              <w:spacing w:after="40"/>
              <w:rPr>
                <w:bCs/>
                <w:snapToGrid w:val="0"/>
              </w:rPr>
            </w:pPr>
            <w:r>
              <w:rPr>
                <w:bCs/>
                <w:snapToGrid w:val="0"/>
              </w:rPr>
              <w:t>21 Jul 2018 (see r. 2(b))</w:t>
            </w:r>
          </w:p>
        </w:tc>
      </w:tr>
      <w:tr>
        <w:tc>
          <w:tcPr>
            <w:tcW w:w="7087" w:type="dxa"/>
            <w:gridSpan w:val="3"/>
            <w:shd w:val="clear" w:color="auto" w:fill="auto"/>
          </w:tcPr>
          <w:p>
            <w:pPr>
              <w:pStyle w:val="nTable"/>
              <w:spacing w:after="40"/>
              <w:rPr>
                <w:bCs/>
                <w:snapToGrid w:val="0"/>
              </w:rPr>
            </w:pPr>
            <w:r>
              <w:rPr>
                <w:b/>
                <w:bCs/>
                <w:snapToGrid w:val="0"/>
              </w:rPr>
              <w:t xml:space="preserve">Reprint 3: The </w:t>
            </w:r>
            <w:r>
              <w:rPr>
                <w:b/>
                <w:bCs/>
                <w:i/>
                <w:noProof/>
                <w:snapToGrid w:val="0"/>
              </w:rPr>
              <w:t>Children’s Court (Fees) Regulations 2005</w:t>
            </w:r>
            <w:r>
              <w:rPr>
                <w:b/>
                <w:bCs/>
                <w:snapToGrid w:val="0"/>
              </w:rPr>
              <w:t xml:space="preserve"> as at 28 Sep 2018</w:t>
            </w:r>
            <w:r>
              <w:rPr>
                <w:bCs/>
                <w:snapToGrid w:val="0"/>
              </w:rPr>
              <w:t xml:space="preserve"> (includes amendments listed above)</w:t>
            </w:r>
          </w:p>
        </w:tc>
      </w:tr>
      <w:tr>
        <w:tc>
          <w:tcPr>
            <w:tcW w:w="3118" w:type="dxa"/>
            <w:shd w:val="clear" w:color="auto" w:fill="auto"/>
          </w:tcPr>
          <w:p>
            <w:pPr>
              <w:pStyle w:val="nTable"/>
              <w:spacing w:after="40"/>
            </w:pPr>
            <w:r>
              <w:rPr>
                <w:i/>
              </w:rPr>
              <w:t>Attorney General Regulations Amendment (Transcript Fees) Regulations 2018</w:t>
            </w:r>
            <w:r>
              <w:t xml:space="preserve"> Pt. 2</w:t>
            </w:r>
          </w:p>
        </w:tc>
        <w:tc>
          <w:tcPr>
            <w:tcW w:w="1276" w:type="dxa"/>
            <w:shd w:val="clear" w:color="auto" w:fill="auto"/>
          </w:tcPr>
          <w:p>
            <w:pPr>
              <w:pStyle w:val="nTable"/>
              <w:spacing w:after="40"/>
            </w:pPr>
            <w:r>
              <w:t>7 Dec 2018 p. 4667</w:t>
            </w:r>
            <w:r>
              <w:noBreakHyphen/>
              <w:t>74</w:t>
            </w:r>
          </w:p>
        </w:tc>
        <w:tc>
          <w:tcPr>
            <w:tcW w:w="2693" w:type="dxa"/>
            <w:shd w:val="clear" w:color="auto" w:fill="auto"/>
          </w:tcPr>
          <w:p>
            <w:pPr>
              <w:pStyle w:val="nTable"/>
              <w:spacing w:after="40"/>
              <w:rPr>
                <w:bCs/>
                <w:snapToGrid w:val="0"/>
              </w:rPr>
            </w:pPr>
            <w:r>
              <w:t>18 Dec 2018 (see r. 2(b)(i))</w:t>
            </w:r>
          </w:p>
        </w:tc>
      </w:tr>
      <w:tr>
        <w:tc>
          <w:tcPr>
            <w:tcW w:w="3118" w:type="dxa"/>
            <w:tcBorders>
              <w:bottom w:val="single" w:sz="4" w:space="0" w:color="auto"/>
            </w:tcBorders>
            <w:shd w:val="clear" w:color="auto" w:fill="auto"/>
          </w:tcPr>
          <w:p>
            <w:pPr>
              <w:pStyle w:val="nTable"/>
              <w:spacing w:after="40"/>
              <w:rPr>
                <w:i/>
              </w:rPr>
            </w:pPr>
            <w:r>
              <w:rPr>
                <w:i/>
              </w:rPr>
              <w:t xml:space="preserve">Attorney General Regulations Amendment (Transcript Fees) Regulations 2019 </w:t>
            </w:r>
            <w:r>
              <w:t>Pt. 2</w:t>
            </w:r>
          </w:p>
        </w:tc>
        <w:tc>
          <w:tcPr>
            <w:tcW w:w="1276" w:type="dxa"/>
            <w:tcBorders>
              <w:bottom w:val="single" w:sz="4" w:space="0" w:color="auto"/>
            </w:tcBorders>
            <w:shd w:val="clear" w:color="auto" w:fill="auto"/>
          </w:tcPr>
          <w:p>
            <w:pPr>
              <w:pStyle w:val="nTable"/>
              <w:spacing w:after="40"/>
            </w:pPr>
            <w:r>
              <w:t>12 Mar 2019 p. 666</w:t>
            </w:r>
            <w:r>
              <w:noBreakHyphen/>
              <w:t>9</w:t>
            </w:r>
          </w:p>
        </w:tc>
        <w:tc>
          <w:tcPr>
            <w:tcW w:w="2693" w:type="dxa"/>
            <w:tcBorders>
              <w:bottom w:val="single" w:sz="4" w:space="0" w:color="auto"/>
            </w:tcBorders>
            <w:shd w:val="clear" w:color="auto" w:fill="auto"/>
          </w:tcPr>
          <w:p>
            <w:pPr>
              <w:pStyle w:val="nTable"/>
              <w:spacing w:after="40"/>
            </w:pPr>
            <w:r>
              <w:rPr>
                <w:bCs/>
                <w:snapToGrid w:val="0"/>
              </w:rPr>
              <w:t>13 Mar 2019 (see r. 2(b))</w:t>
            </w:r>
          </w:p>
        </w:tc>
      </w:tr>
    </w:tbl>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36" w:name="_Toc3283761"/>
      <w:r>
        <w:rPr>
          <w:sz w:val="28"/>
        </w:rPr>
        <w:t>Defined terms</w:t>
      </w:r>
      <w:bookmarkEnd w:id="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form</w:t>
      </w:r>
      <w:r>
        <w:tab/>
        <w:t>3</w:t>
      </w:r>
    </w:p>
    <w:p>
      <w:pPr>
        <w:pStyle w:val="DefinedTerms"/>
      </w:pPr>
      <w:r>
        <w:t>Centrelink</w:t>
      </w:r>
      <w:r>
        <w:tab/>
        <w:t>8(1)</w:t>
      </w:r>
    </w:p>
    <w:p>
      <w:pPr>
        <w:pStyle w:val="DefinedTerms"/>
      </w:pPr>
      <w:r>
        <w:t>civil jurisdiction</w:t>
      </w:r>
      <w:r>
        <w:tab/>
        <w:t>3</w:t>
      </w:r>
    </w:p>
    <w:p>
      <w:pPr>
        <w:pStyle w:val="DefinedTerms"/>
      </w:pPr>
      <w:r>
        <w:t>criminal jurisdiction</w:t>
      </w:r>
      <w:r>
        <w:tab/>
        <w:t>3</w:t>
      </w:r>
    </w:p>
    <w:p>
      <w:pPr>
        <w:pStyle w:val="DefinedTerms"/>
      </w:pPr>
      <w:r>
        <w:t>deputy registrar</w:t>
      </w:r>
      <w:r>
        <w:tab/>
        <w:t>3</w:t>
      </w:r>
    </w:p>
    <w:p>
      <w:pPr>
        <w:pStyle w:val="DefinedTerms"/>
      </w:pPr>
      <w:r>
        <w:t>eligible individual</w:t>
      </w:r>
      <w:r>
        <w:tab/>
        <w:t>3</w:t>
      </w:r>
    </w:p>
    <w:p>
      <w:pPr>
        <w:pStyle w:val="DefinedTerms"/>
      </w:pPr>
      <w:r>
        <w:t>eligible individual fee</w:t>
      </w:r>
      <w:r>
        <w:tab/>
        <w:t>3</w:t>
      </w:r>
    </w:p>
    <w:p>
      <w:pPr>
        <w:pStyle w:val="DefinedTerms"/>
      </w:pPr>
      <w:r>
        <w:t>enforcement officer</w:t>
      </w:r>
      <w:r>
        <w:tab/>
        <w:t>3</w:t>
      </w:r>
    </w:p>
    <w:p>
      <w:pPr>
        <w:pStyle w:val="DefinedTerms"/>
      </w:pPr>
      <w:r>
        <w:t>prosecution notice</w:t>
      </w:r>
      <w:r>
        <w:tab/>
        <w:t>3</w:t>
      </w:r>
    </w:p>
    <w:p>
      <w:pPr>
        <w:pStyle w:val="DefinedTerms"/>
      </w:pPr>
      <w:r>
        <w:t>respondent</w:t>
      </w:r>
      <w:r>
        <w:tab/>
        <w:t>6(2)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Mar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Mar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30" w:name="Schedule"/>
    <w:bookmarkEnd w:id="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 w:name="DefinedTerms"/>
    <w:bookmarkEnd w:id="3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 w:name="Coversheet"/>
    <w:bookmarkEnd w:id="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311131100"/>
    <w:docVar w:name="WAFER_20140121133126" w:val="RemoveTocBookmarks,RemoveUnusedBookmarks,RemoveLanguageTags,UsedStyles,ResetPageSize,UpdateArrangement"/>
    <w:docVar w:name="WAFER_20140121133126_GUID" w:val="1799f60d-5263-426d-a817-8fd9ba040835"/>
    <w:docVar w:name="WAFER_20140121135010" w:val="RemoveTocBookmarks,RunningHeaders"/>
    <w:docVar w:name="WAFER_20140121135010_GUID" w:val="2d77f2a5-5d6e-4a42-8c7c-923534465d47"/>
    <w:docVar w:name="WAFER_20150401104738" w:val="ResetPageSize,UpdateArrangement,UpdateNTable"/>
    <w:docVar w:name="WAFER_20150401104738_GUID" w:val="f6689c79-7ee3-43b0-8ae9-24be6d539d04"/>
    <w:docVar w:name="WAFER_20151102151053" w:val="UpdateStyles,UsedStyles"/>
    <w:docVar w:name="WAFER_20151102151053_GUID" w:val="746d443f-5c4d-46a4-b837-cf88aab39c57"/>
    <w:docVar w:name="WAFER_20160630113447" w:val="RemoveTocBookmarks,RemoveUnusedBookmarks,RemoveLanguageTags,UsedStyles,ResetPageSize"/>
    <w:docVar w:name="WAFER_20160630113447_GUID" w:val="dbb6701a-1aa8-44cc-ad30-9ab06a0804b4"/>
    <w:docVar w:name="WAFER_20180213160021" w:val="RemoveTocBookmarks,RemoveUnusedBookmarks,RemoveLanguageTags,UsedStyles,ResetPageSize,RemoveCustomizations"/>
    <w:docVar w:name="WAFER_20180213160021_GUID" w:val="9459e398-0adb-482e-b5c7-3f6a57b02da1"/>
    <w:docVar w:name="WAFER_20180228103753" w:val="RemoveTocBookmarks,RemoveUnusedBookmarks,RemoveLanguageTags,UsedStyles,RemoveTrackChanges"/>
    <w:docVar w:name="WAFER_20180228103753_GUID" w:val="77dc35d4-c7f8-4c92-a824-5a9f9b4932d0"/>
    <w:docVar w:name="WAFER_20180228103814" w:val="RemoveTocBookmarks,RemoveLanguageTags,RemoveTrackChanges,RunningHeaders"/>
    <w:docVar w:name="WAFER_20180228103814_GUID" w:val="03bb89b6-b3d6-409a-a16f-b5be88fbe4b1"/>
    <w:docVar w:name="WAFER_20181206133305" w:val="RemoveTocBookmarks,RemoveUnusedBookmarks,RemoveLanguageTags,UsedStyles,ResetPageSize"/>
    <w:docVar w:name="WAFER_20181206133305_GUID" w:val="163f645e-1654-4922-a744-c71d6a740a09"/>
    <w:docVar w:name="WAFER_20190311131100" w:val="RemoveTocBookmarks,RemoveUnusedBookmarks,RemoveLanguageTags,UpdateStyles,UsedStyles,ResetPageSize"/>
    <w:docVar w:name="WAFER_20190311131100_GUID" w:val="7dad6d96-308d-45e9-8613-a3cfe97c1c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3961</Words>
  <Characters>18462</Characters>
  <Application>Microsoft Office Word</Application>
  <DocSecurity>0</DocSecurity>
  <Lines>971</Lines>
  <Paragraphs>509</Paragraphs>
  <ScaleCrop>false</ScaleCrop>
  <HeadingPairs>
    <vt:vector size="2" baseType="variant">
      <vt:variant>
        <vt:lpstr>Title</vt:lpstr>
      </vt:variant>
      <vt:variant>
        <vt:i4>1</vt:i4>
      </vt:variant>
    </vt:vector>
  </HeadingPairs>
  <TitlesOfParts>
    <vt:vector size="1" baseType="lpstr">
      <vt:lpstr>Childrens Court (Fees) Regulations 2005</vt:lpstr>
    </vt:vector>
  </TitlesOfParts>
  <Manager/>
  <Company/>
  <LinksUpToDate>false</LinksUpToDate>
  <CharactersWithSpaces>21914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2005 - 03-d0-00</dc:title>
  <dc:subject/>
  <dc:creator/>
  <cp:keywords/>
  <dc:description/>
  <cp:lastModifiedBy>svcMRProcess</cp:lastModifiedBy>
  <cp:revision>4</cp:revision>
  <cp:lastPrinted>2018-09-04T01:15:00Z</cp:lastPrinted>
  <dcterms:created xsi:type="dcterms:W3CDTF">2019-03-12T08:38:00Z</dcterms:created>
  <dcterms:modified xsi:type="dcterms:W3CDTF">2019-03-12T08:38:00Z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OwlsUID">
    <vt:i4>34705</vt:i4>
  </property>
  <property fmtid="{D5CDD505-2E9C-101B-9397-08002B2CF9AE}" pid="4" name="DocumentType">
    <vt:lpwstr>Reg</vt:lpwstr>
  </property>
  <property fmtid="{D5CDD505-2E9C-101B-9397-08002B2CF9AE}" pid="5" name="ReprintedAsAt">
    <vt:filetime>2018-09-27T16:00:00Z</vt:filetime>
  </property>
  <property fmtid="{D5CDD505-2E9C-101B-9397-08002B2CF9AE}" pid="6" name="ReprintNo">
    <vt:lpwstr>3</vt:lpwstr>
  </property>
  <property fmtid="{D5CDD505-2E9C-101B-9397-08002B2CF9AE}" pid="7" name="AsAtDate">
    <vt:lpwstr>13 Mar 2019</vt:lpwstr>
  </property>
  <property fmtid="{D5CDD505-2E9C-101B-9397-08002B2CF9AE}" pid="8" name="Suffix">
    <vt:lpwstr>03-d0-00</vt:lpwstr>
  </property>
  <property fmtid="{D5CDD505-2E9C-101B-9397-08002B2CF9AE}" pid="9" name="CommencementDate">
    <vt:lpwstr>20190313</vt:lpwstr>
  </property>
</Properties>
</file>