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_Toc4142654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_Toc4142655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_Toc4142656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_Toc4142658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_Toc4142659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_Toc4142660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_Toc4142661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_Toc4142663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_Toc4142664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_Toc4142665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_Toc4142666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_Toc4142667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_Toc4142668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_Toc4142669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_Toc4142670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_Toc4142671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_Toc4142672 \h </w:instrText>
      </w:r>
      <w:r>
        <w:fldChar w:fldCharType="separate"/>
      </w:r>
      <w:r>
        <w:t>15</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_Toc4142673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_Toc4142674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_Toc4142675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_Toc4142677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_Toc4142678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_Toc4142680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_Toc4142681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_Toc4142682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_Toc4142683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_Toc4142692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_Toc4142693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14265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142654"/>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6" w:name="_Toc414265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7" w:name="_Toc4142656"/>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8" w:name="_Toc4142657"/>
      <w:r>
        <w:rPr>
          <w:rStyle w:val="CharPartNo"/>
        </w:rPr>
        <w:t>Part 2</w:t>
      </w:r>
      <w:r>
        <w:rPr>
          <w:rStyle w:val="CharDivNo"/>
        </w:rPr>
        <w:t> </w:t>
      </w:r>
      <w:r>
        <w:t>—</w:t>
      </w:r>
      <w:r>
        <w:rPr>
          <w:rStyle w:val="CharDivText"/>
        </w:rPr>
        <w:t> </w:t>
      </w:r>
      <w:r>
        <w:rPr>
          <w:rStyle w:val="CharPartText"/>
        </w:rPr>
        <w:t>General</w:t>
      </w:r>
      <w:bookmarkEnd w:id="8"/>
    </w:p>
    <w:p>
      <w:pPr>
        <w:pStyle w:val="Heading5"/>
      </w:pPr>
      <w:bookmarkStart w:id="9" w:name="_Toc4142658"/>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4142659"/>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4142660"/>
      <w:r>
        <w:rPr>
          <w:rStyle w:val="CharSectno"/>
        </w:rPr>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4142661"/>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3" w:name="_Toc4142662"/>
      <w:r>
        <w:rPr>
          <w:rStyle w:val="CharPartNo"/>
        </w:rPr>
        <w:t>Part 3</w:t>
      </w:r>
      <w:r>
        <w:rPr>
          <w:rStyle w:val="CharDivNo"/>
        </w:rPr>
        <w:t> </w:t>
      </w:r>
      <w:r>
        <w:t>—</w:t>
      </w:r>
      <w:r>
        <w:rPr>
          <w:rStyle w:val="CharDivText"/>
        </w:rPr>
        <w:t> </w:t>
      </w:r>
      <w:r>
        <w:rPr>
          <w:rStyle w:val="CharPartText"/>
        </w:rPr>
        <w:t>Fees</w:t>
      </w:r>
      <w:bookmarkEnd w:id="13"/>
    </w:p>
    <w:p>
      <w:pPr>
        <w:pStyle w:val="Heading5"/>
      </w:pPr>
      <w:bookmarkStart w:id="14" w:name="_Toc4142663"/>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5" w:name="_Toc4142664"/>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6" w:name="_Toc4142665"/>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17" w:name="_Toc4142666"/>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18" w:name="_Toc4142667"/>
      <w:r>
        <w:rPr>
          <w:rStyle w:val="CharSectno"/>
        </w:rPr>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19" w:name="_Toc4142668"/>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0" w:name="_Toc4142669"/>
      <w:r>
        <w:rPr>
          <w:rStyle w:val="CharSectno"/>
        </w:rPr>
        <w:t>9F</w:t>
      </w:r>
      <w:r>
        <w:t>.</w:t>
      </w:r>
      <w:r>
        <w:tab/>
        <w:t>Waiving fee for copy of document or transcript</w:t>
      </w:r>
      <w:bookmarkEnd w:id="2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1" w:name="_Toc4142670"/>
      <w:r>
        <w:rPr>
          <w:rStyle w:val="CharSectno"/>
        </w:rPr>
        <w:t>9</w:t>
      </w:r>
      <w:r>
        <w:t>.</w:t>
      </w:r>
      <w:r>
        <w:tab/>
        <w:t>Fees relating to application under provision in Sch. 3, 4 or 6</w:t>
      </w:r>
      <w:bookmarkEnd w:id="2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22" w:name="_Toc4142671"/>
      <w:r>
        <w:rPr>
          <w:rStyle w:val="CharSectno"/>
        </w:rPr>
        <w:t>10</w:t>
      </w:r>
      <w:r>
        <w:t>.</w:t>
      </w:r>
      <w:r>
        <w:tab/>
        <w:t>Fees relating to application to do with development on land</w:t>
      </w:r>
      <w:bookmarkEnd w:id="2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23" w:name="_Toc4142672"/>
      <w:r>
        <w:rPr>
          <w:rStyle w:val="CharSectno"/>
        </w:rPr>
        <w:t>11A</w:t>
      </w:r>
      <w:r>
        <w:t>.</w:t>
      </w:r>
      <w:r>
        <w:tab/>
        <w:t>No fee relating to application under provision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24" w:name="_Toc4142673"/>
      <w:r>
        <w:rPr>
          <w:rStyle w:val="CharSectno"/>
        </w:rPr>
        <w:t>11B</w:t>
      </w:r>
      <w:r>
        <w:t>.</w:t>
      </w:r>
      <w:r>
        <w:tab/>
        <w:t>Fees relating to application not covered by r. 9, 10 or 11A</w:t>
      </w:r>
      <w:bookmarkEnd w:id="2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p>
    <w:p>
      <w:pPr>
        <w:pStyle w:val="Heading5"/>
        <w:spacing w:before="180"/>
      </w:pPr>
      <w:bookmarkStart w:id="25" w:name="_Toc4142674"/>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6" w:name="_Toc4142675"/>
      <w:r>
        <w:rPr>
          <w:rStyle w:val="CharSectno"/>
        </w:rPr>
        <w:t>27</w:t>
      </w:r>
      <w:r>
        <w:t>.</w:t>
      </w:r>
      <w:r>
        <w:tab/>
        <w:t>Other fees</w:t>
      </w:r>
      <w:bookmarkEnd w:id="26"/>
    </w:p>
    <w:p>
      <w:pPr>
        <w:pStyle w:val="Subsection"/>
      </w:pPr>
      <w:r>
        <w:tab/>
      </w:r>
      <w:r>
        <w:tab/>
        <w:t>The fees set out in Schedule 20 are to be charged in respect of the matters shown in that Schedule.</w:t>
      </w:r>
    </w:p>
    <w:p>
      <w:pPr>
        <w:pStyle w:val="Heading2"/>
      </w:pPr>
      <w:bookmarkStart w:id="27" w:name="_Toc414267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4142677"/>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29" w:name="_Toc4142678"/>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0" w:name="_Toc414267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4142680"/>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2" w:name="_Toc4142681"/>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3" w:name="_Toc4142682"/>
      <w:r>
        <w:rPr>
          <w:rStyle w:val="CharSectno"/>
        </w:rPr>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4" w:name="_Toc4142683"/>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414268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7" w:name="_Toc4142685"/>
      <w:r>
        <w:rPr>
          <w:rStyle w:val="CharSchNo"/>
        </w:rPr>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38" w:name="_Toc4142686"/>
      <w:r>
        <w:rPr>
          <w:rStyle w:val="CharSchNo"/>
        </w:rPr>
        <w:t>Schedule 3</w:t>
      </w:r>
      <w:r>
        <w:t> — </w:t>
      </w:r>
      <w:r>
        <w:rPr>
          <w:rStyle w:val="CharSchText"/>
        </w:rPr>
        <w:t>Provision under which proceedings commenced</w:t>
      </w:r>
      <w:bookmarkEnd w:id="38"/>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39" w:name="_Toc4142687"/>
      <w:r>
        <w:rPr>
          <w:rStyle w:val="CharSchNo"/>
        </w:rPr>
        <w:t>Schedule 4</w:t>
      </w:r>
      <w:r>
        <w:t> — </w:t>
      </w:r>
      <w:r>
        <w:rPr>
          <w:rStyle w:val="CharSchText"/>
        </w:rPr>
        <w:t>Provision under which proceedings commenced</w:t>
      </w:r>
      <w:bookmarkEnd w:id="39"/>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40" w:name="_Toc4142688"/>
      <w:r>
        <w:rPr>
          <w:rStyle w:val="CharSchNo"/>
        </w:rPr>
        <w:t>Schedule 6</w:t>
      </w:r>
      <w:r>
        <w:t> — </w:t>
      </w:r>
      <w:r>
        <w:rPr>
          <w:rStyle w:val="CharSchText"/>
        </w:rPr>
        <w:t>Provision under which proceedings commenced</w:t>
      </w:r>
      <w:bookmarkEnd w:id="4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41" w:name="_Toc4142689"/>
      <w:r>
        <w:rPr>
          <w:rStyle w:val="CharSchNo"/>
        </w:rPr>
        <w:t>Schedule 7</w:t>
      </w:r>
      <w:r>
        <w:t> — </w:t>
      </w:r>
      <w:r>
        <w:rPr>
          <w:rStyle w:val="CharSchText"/>
        </w:rPr>
        <w:t>Enactments under which proceedings commenced</w:t>
      </w:r>
      <w:bookmarkEnd w:id="41"/>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42" w:name="_Toc4142690"/>
      <w:r>
        <w:rPr>
          <w:rStyle w:val="CharSchNo"/>
        </w:rPr>
        <w:t>Schedule 20</w:t>
      </w:r>
      <w:r>
        <w:rPr>
          <w:rStyle w:val="CharSDivNo"/>
        </w:rPr>
        <w:t> </w:t>
      </w:r>
      <w:r>
        <w:t>—</w:t>
      </w:r>
      <w:r>
        <w:rPr>
          <w:rStyle w:val="CharSDivText"/>
        </w:rPr>
        <w:t> </w:t>
      </w:r>
      <w:r>
        <w:rPr>
          <w:rStyle w:val="CharSchText"/>
        </w:rPr>
        <w:t>Other fees</w:t>
      </w:r>
      <w:bookmarkEnd w:id="42"/>
    </w:p>
    <w:p>
      <w:pPr>
        <w:pStyle w:val="yShoulderClause"/>
      </w:pPr>
      <w:r>
        <w:t>[r. 27]</w:t>
      </w:r>
    </w:p>
    <w:p>
      <w:pPr>
        <w:pStyle w:val="yFootnoteheading"/>
      </w:pPr>
      <w:r>
        <w:tab/>
        <w:t>[Heading inserted: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Gazette 15 Jun 2018 p. 2026</w:t>
      </w:r>
      <w:r>
        <w:noBreakHyphen/>
        <w:t>8; amended: Gazette 7 Dec 2018 p. 4671</w:t>
      </w:r>
      <w:r>
        <w:noBreakHyphen/>
        <w:t>2; 12 Mar 2019 p. 668.]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4142691"/>
      <w:r>
        <w:t>Notes</w:t>
      </w:r>
      <w:bookmarkEnd w:id="43"/>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44" w:name="_Toc4142692"/>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6</w:t>
            </w:r>
          </w:p>
        </w:tc>
        <w:tc>
          <w:tcPr>
            <w:tcW w:w="1276" w:type="dxa"/>
            <w:tcBorders>
              <w:bottom w:val="single" w:sz="4" w:space="0" w:color="auto"/>
            </w:tcBorders>
            <w:shd w:val="clear" w:color="auto" w:fill="auto"/>
          </w:tcPr>
          <w:p>
            <w:pPr>
              <w:pStyle w:val="nTable"/>
              <w:keepNext/>
              <w:spacing w:after="40"/>
            </w:pPr>
            <w:r>
              <w:t>12 Mar 2019 p. 666</w:t>
            </w:r>
            <w:r>
              <w:noBreakHyphen/>
              <w:t>9</w:t>
            </w:r>
          </w:p>
        </w:tc>
        <w:tc>
          <w:tcPr>
            <w:tcW w:w="2693" w:type="dxa"/>
            <w:tcBorders>
              <w:bottom w:val="single" w:sz="4" w:space="0" w:color="auto"/>
            </w:tcBorders>
            <w:shd w:val="clear" w:color="auto" w:fill="auto"/>
          </w:tcPr>
          <w:p>
            <w:pPr>
              <w:pStyle w:val="nTable"/>
              <w:keepNext/>
              <w:spacing w:after="40"/>
            </w:pPr>
            <w:r>
              <w:rPr>
                <w:bCs/>
                <w:snapToGrid w:val="0"/>
              </w:rPr>
              <w:t>13 Mar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4142693"/>
      <w:r>
        <w:t>Provisions that have not come into operation</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State Administrative Tribunal Amendment Regulations 2019</w:t>
            </w:r>
            <w:r>
              <w:t xml:space="preserve"> r. 3 and 4 </w:t>
            </w:r>
            <w:r>
              <w:rPr>
                <w:vertAlign w:val="superscript"/>
              </w:rPr>
              <w:t>12</w:t>
            </w:r>
          </w:p>
        </w:tc>
        <w:tc>
          <w:tcPr>
            <w:tcW w:w="1276" w:type="dxa"/>
          </w:tcPr>
          <w:p>
            <w:pPr>
              <w:pStyle w:val="nTable"/>
              <w:spacing w:after="40"/>
            </w:pPr>
            <w:r>
              <w:t>22 Mar 2019</w:t>
            </w:r>
          </w:p>
        </w:tc>
        <w:tc>
          <w:tcPr>
            <w:tcW w:w="2693" w:type="dxa"/>
          </w:tcPr>
          <w:p>
            <w:pPr>
              <w:pStyle w:val="nTable"/>
              <w:spacing w:after="40"/>
            </w:pPr>
            <w:r>
              <w:t>1 Apr 2019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rPr>
          <w:snapToGrid w:val="0"/>
        </w:rPr>
      </w:pPr>
      <w:r>
        <w:rPr>
          <w:vertAlign w:val="superscript"/>
        </w:rPr>
        <w:t>12</w:t>
      </w:r>
      <w:r>
        <w:tab/>
        <w:t>On the date as at which this compilation was prepared</w:t>
      </w:r>
      <w:r>
        <w:rPr>
          <w:i/>
        </w:rPr>
        <w:t xml:space="preserve"> </w:t>
      </w:r>
      <w:r>
        <w:t xml:space="preserve">the </w:t>
      </w:r>
      <w:r>
        <w:rPr>
          <w:i/>
        </w:rPr>
        <w:t xml:space="preserve">State Administrative Tribunal Amendment Regulations 2019 </w:t>
      </w:r>
      <w:r>
        <w:t>r. 3 and 4 </w:t>
      </w:r>
      <w:r>
        <w:rPr>
          <w:snapToGrid w:val="0"/>
        </w:rPr>
        <w:t>had not come into operation.  They read as follows:</w:t>
      </w:r>
    </w:p>
    <w:p>
      <w:pPr>
        <w:pStyle w:val="BlankOpen"/>
      </w:pPr>
    </w:p>
    <w:p>
      <w:pPr>
        <w:pStyle w:val="nzHeading5"/>
        <w:rPr>
          <w:snapToGrid w:val="0"/>
        </w:rPr>
      </w:pPr>
      <w:bookmarkStart w:id="46" w:name="_Toc2850987"/>
      <w:r>
        <w:rPr>
          <w:rStyle w:val="CharSectno"/>
        </w:rPr>
        <w:t>3</w:t>
      </w:r>
      <w:r>
        <w:rPr>
          <w:snapToGrid w:val="0"/>
        </w:rPr>
        <w:t>.</w:t>
      </w:r>
      <w:r>
        <w:rPr>
          <w:snapToGrid w:val="0"/>
        </w:rPr>
        <w:tab/>
        <w:t>Regulations amended</w:t>
      </w:r>
      <w:bookmarkEnd w:id="46"/>
    </w:p>
    <w:p>
      <w:pPr>
        <w:pStyle w:val="nzSubsection"/>
      </w:pPr>
      <w:r>
        <w:tab/>
      </w:r>
      <w:r>
        <w:tab/>
        <w:t xml:space="preserve">These </w:t>
      </w:r>
      <w:r>
        <w:rPr>
          <w:spacing w:val="-2"/>
        </w:rPr>
        <w:t>regulations amend</w:t>
      </w:r>
      <w:r>
        <w:t xml:space="preserve"> the </w:t>
      </w:r>
      <w:r>
        <w:rPr>
          <w:i/>
        </w:rPr>
        <w:t>State Administrative Tribunal Regulations 2004</w:t>
      </w:r>
      <w:r>
        <w:t>.</w:t>
      </w:r>
    </w:p>
    <w:p>
      <w:pPr>
        <w:pStyle w:val="nzHeading5"/>
      </w:pPr>
      <w:bookmarkStart w:id="47" w:name="_Toc2850988"/>
      <w:r>
        <w:rPr>
          <w:rStyle w:val="CharSectno"/>
        </w:rPr>
        <w:t>4</w:t>
      </w:r>
      <w:r>
        <w:t>.</w:t>
      </w:r>
      <w:r>
        <w:tab/>
        <w:t>Schedule 6 amended</w:t>
      </w:r>
      <w:bookmarkEnd w:id="47"/>
    </w:p>
    <w:p>
      <w:pPr>
        <w:pStyle w:val="nzSubsection"/>
      </w:pPr>
      <w:r>
        <w:tab/>
      </w:r>
      <w:r>
        <w:tab/>
        <w:t xml:space="preserve">In Schedule 6 delete the item relating to the </w:t>
      </w:r>
      <w:r>
        <w:rPr>
          <w:i/>
        </w:rPr>
        <w:t xml:space="preserve">Fair Trading (Retirement Villages Interim Code) Regulations (No. 2) 2018 </w:t>
      </w:r>
      <w:r>
        <w:t>and insert:</w:t>
      </w:r>
    </w:p>
    <w:p>
      <w:pPr>
        <w:pStyle w:val="BlankOpen"/>
      </w:pPr>
    </w:p>
    <w:p>
      <w:pPr>
        <w:pStyle w:val="nzMiscellaneousBody"/>
        <w:ind w:left="1442"/>
      </w:pPr>
      <w:r>
        <w:rPr>
          <w:i/>
        </w:rPr>
        <w:t>Fair Trading (Retirement Villages Interim Code) Regulations 2019</w:t>
      </w:r>
      <w:r>
        <w:t xml:space="preserve"> Sch. 1 cl. 22(3)</w:t>
      </w: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9" w:name="_Toc4142694"/>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115155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29DD-B605-4428-B5FE-722CE0F8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8378</Words>
  <Characters>40047</Characters>
  <Application>Microsoft Office Word</Application>
  <DocSecurity>0</DocSecurity>
  <Lines>1820</Lines>
  <Paragraphs>968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2004 - 05-j0-00</dc:title>
  <dc:subject/>
  <dc:creator/>
  <cp:keywords/>
  <dc:description/>
  <cp:lastModifiedBy>svcMRProcess</cp:lastModifiedBy>
  <cp:revision>4</cp:revision>
  <cp:lastPrinted>2018-09-28T01:40:00Z</cp:lastPrinted>
  <dcterms:created xsi:type="dcterms:W3CDTF">2019-03-22T06:14:00Z</dcterms:created>
  <dcterms:modified xsi:type="dcterms:W3CDTF">2019-03-22T06:14:00Z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22 Mar 2019</vt:lpwstr>
  </property>
  <property fmtid="{D5CDD505-2E9C-101B-9397-08002B2CF9AE}" pid="8" name="Suffix">
    <vt:lpwstr>05-j0-00</vt:lpwstr>
  </property>
  <property fmtid="{D5CDD505-2E9C-101B-9397-08002B2CF9AE}" pid="9" name="CommencementDate">
    <vt:lpwstr>20190322</vt:lpwstr>
  </property>
</Properties>
</file>