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69" w:rsidRDefault="00B64FF3">
      <w:pPr>
        <w:pStyle w:val="WA"/>
      </w:pPr>
      <w:bookmarkStart w:id="0" w:name="_GoBack"/>
      <w:bookmarkEnd w:id="0"/>
      <w:r>
        <w:t>Western Australia</w:t>
      </w:r>
    </w:p>
    <w:p w:rsidR="00C24D69" w:rsidRDefault="00B64FF3">
      <w:pPr>
        <w:pStyle w:val="NameofActRegPage1"/>
        <w:spacing w:before="3760" w:after="4200"/>
      </w:pPr>
      <w:r>
        <w:fldChar w:fldCharType="begin"/>
      </w:r>
      <w:r>
        <w:instrText xml:space="preserve"> STYLEREF "Name Of Act/Reg"</w:instrText>
      </w:r>
      <w:r>
        <w:fldChar w:fldCharType="separate"/>
      </w:r>
      <w:r w:rsidR="009971F8">
        <w:rPr>
          <w:noProof/>
        </w:rPr>
        <w:t>Regional Development Commissions Regulations 1994</w:t>
      </w:r>
      <w:r>
        <w:fldChar w:fldCharType="end"/>
      </w:r>
    </w:p>
    <w:p w:rsidR="00C24D69" w:rsidRDefault="00C24D69">
      <w:pPr>
        <w:jc w:val="center"/>
        <w:rPr>
          <w:b/>
        </w:rPr>
        <w:sectPr w:rsidR="00C24D6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C24D69" w:rsidRDefault="00B64FF3">
      <w:pPr>
        <w:pStyle w:val="WA"/>
      </w:pPr>
      <w:r>
        <w:lastRenderedPageBreak/>
        <w:t>Western Australia</w:t>
      </w:r>
    </w:p>
    <w:p w:rsidR="00C24D69" w:rsidRDefault="00B64FF3">
      <w:pPr>
        <w:pStyle w:val="NameofActRegPage1"/>
      </w:pPr>
      <w:r>
        <w:fldChar w:fldCharType="begin"/>
      </w:r>
      <w:r>
        <w:instrText xml:space="preserve"> STYLEREF "Name Of Act/Reg"</w:instrText>
      </w:r>
      <w:r>
        <w:fldChar w:fldCharType="separate"/>
      </w:r>
      <w:r w:rsidR="009971F8">
        <w:rPr>
          <w:noProof/>
        </w:rPr>
        <w:t>Regional Development Commissions Regulations 1994</w:t>
      </w:r>
      <w:r>
        <w:fldChar w:fldCharType="end"/>
      </w:r>
    </w:p>
    <w:p w:rsidR="00C24D69" w:rsidRDefault="00B64FF3">
      <w:pPr>
        <w:pStyle w:val="Arrangement"/>
      </w:pPr>
      <w:r>
        <w:t>CONTENTS</w:t>
      </w:r>
    </w:p>
    <w:p w:rsidR="00C24D69" w:rsidRDefault="00B64FF3">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_Toc434201204 \h </w:instrText>
      </w:r>
      <w:r>
        <w:rPr>
          <w:noProof/>
        </w:rPr>
      </w:r>
      <w:r>
        <w:rPr>
          <w:noProof/>
        </w:rPr>
        <w:fldChar w:fldCharType="separate"/>
      </w:r>
      <w:r w:rsidR="009971F8">
        <w:rPr>
          <w:noProof/>
        </w:rPr>
        <w:t>1</w:t>
      </w:r>
      <w:r>
        <w:rPr>
          <w:noProof/>
        </w:rPr>
        <w:fldChar w:fldCharType="end"/>
      </w:r>
    </w:p>
    <w:p w:rsidR="00C24D69" w:rsidRDefault="00B64FF3">
      <w:pPr>
        <w:pStyle w:val="TOC4"/>
        <w:tabs>
          <w:tab w:val="left" w:pos="1483"/>
        </w:tabs>
        <w:rPr>
          <w:noProof/>
        </w:rPr>
      </w:pPr>
      <w:r>
        <w:rPr>
          <w:noProof/>
        </w:rPr>
        <w:t>2</w:t>
      </w:r>
      <w:r>
        <w:rPr>
          <w:noProof/>
          <w:snapToGrid w:val="0"/>
        </w:rPr>
        <w:t>.</w:t>
      </w:r>
      <w:r>
        <w:rPr>
          <w:noProof/>
        </w:rPr>
        <w:tab/>
      </w:r>
      <w:r>
        <w:rPr>
          <w:noProof/>
          <w:snapToGrid w:val="0"/>
        </w:rPr>
        <w:t>Appointed members of Boards</w:t>
      </w:r>
      <w:r>
        <w:rPr>
          <w:noProof/>
        </w:rPr>
        <w:tab/>
      </w:r>
      <w:r>
        <w:rPr>
          <w:noProof/>
        </w:rPr>
        <w:fldChar w:fldCharType="begin"/>
      </w:r>
      <w:r>
        <w:rPr>
          <w:noProof/>
        </w:rPr>
        <w:instrText xml:space="preserve"> PAGEREF _Toc434201205 \h </w:instrText>
      </w:r>
      <w:r>
        <w:rPr>
          <w:noProof/>
        </w:rPr>
      </w:r>
      <w:r>
        <w:rPr>
          <w:noProof/>
        </w:rPr>
        <w:fldChar w:fldCharType="separate"/>
      </w:r>
      <w:r w:rsidR="009971F8">
        <w:rPr>
          <w:noProof/>
        </w:rPr>
        <w:t>1</w:t>
      </w:r>
      <w:r>
        <w:rPr>
          <w:noProof/>
        </w:rPr>
        <w:fldChar w:fldCharType="end"/>
      </w:r>
    </w:p>
    <w:p w:rsidR="00C24D69" w:rsidRDefault="00B64FF3">
      <w:pPr>
        <w:pStyle w:val="TOC4"/>
        <w:tabs>
          <w:tab w:val="left" w:pos="1483"/>
        </w:tabs>
        <w:rPr>
          <w:noProof/>
        </w:rPr>
      </w:pPr>
      <w:r>
        <w:rPr>
          <w:noProof/>
        </w:rPr>
        <w:t>11</w:t>
      </w:r>
      <w:r>
        <w:rPr>
          <w:noProof/>
          <w:snapToGrid w:val="0"/>
        </w:rPr>
        <w:t>.</w:t>
      </w:r>
      <w:r>
        <w:rPr>
          <w:noProof/>
        </w:rPr>
        <w:tab/>
      </w:r>
      <w:r>
        <w:rPr>
          <w:noProof/>
          <w:snapToGrid w:val="0"/>
        </w:rPr>
        <w:t>Board members resident in the region — method of nomination (section 16)</w:t>
      </w:r>
      <w:r>
        <w:rPr>
          <w:noProof/>
        </w:rPr>
        <w:tab/>
      </w:r>
      <w:r>
        <w:rPr>
          <w:noProof/>
        </w:rPr>
        <w:fldChar w:fldCharType="begin"/>
      </w:r>
      <w:r>
        <w:rPr>
          <w:noProof/>
        </w:rPr>
        <w:instrText xml:space="preserve"> PAGEREF _Toc434201206 \h </w:instrText>
      </w:r>
      <w:r>
        <w:rPr>
          <w:noProof/>
        </w:rPr>
      </w:r>
      <w:r>
        <w:rPr>
          <w:noProof/>
        </w:rPr>
        <w:fldChar w:fldCharType="separate"/>
      </w:r>
      <w:r w:rsidR="009971F8">
        <w:rPr>
          <w:noProof/>
        </w:rPr>
        <w:t>2</w:t>
      </w:r>
      <w:r>
        <w:rPr>
          <w:noProof/>
        </w:rPr>
        <w:fldChar w:fldCharType="end"/>
      </w:r>
    </w:p>
    <w:p w:rsidR="00C24D69" w:rsidRDefault="00B64FF3">
      <w:pPr>
        <w:pStyle w:val="TOC4"/>
        <w:tabs>
          <w:tab w:val="left" w:pos="1483"/>
        </w:tabs>
        <w:rPr>
          <w:noProof/>
        </w:rPr>
      </w:pPr>
      <w:r>
        <w:rPr>
          <w:noProof/>
        </w:rPr>
        <w:t>12</w:t>
      </w:r>
      <w:r>
        <w:rPr>
          <w:noProof/>
          <w:snapToGrid w:val="0"/>
        </w:rPr>
        <w:t>.</w:t>
      </w:r>
      <w:r>
        <w:rPr>
          <w:noProof/>
        </w:rPr>
        <w:tab/>
      </w:r>
      <w:r>
        <w:rPr>
          <w:noProof/>
          <w:snapToGrid w:val="0"/>
        </w:rPr>
        <w:t>Members nominated by local government authorities —method of nomination (section 16)</w:t>
      </w:r>
      <w:r>
        <w:rPr>
          <w:noProof/>
        </w:rPr>
        <w:tab/>
      </w:r>
      <w:r>
        <w:rPr>
          <w:noProof/>
        </w:rPr>
        <w:fldChar w:fldCharType="begin"/>
      </w:r>
      <w:r>
        <w:rPr>
          <w:noProof/>
        </w:rPr>
        <w:instrText xml:space="preserve"> PAGEREF _Toc434201207 \h </w:instrText>
      </w:r>
      <w:r>
        <w:rPr>
          <w:noProof/>
        </w:rPr>
      </w:r>
      <w:r>
        <w:rPr>
          <w:noProof/>
        </w:rPr>
        <w:fldChar w:fldCharType="separate"/>
      </w:r>
      <w:r w:rsidR="009971F8">
        <w:rPr>
          <w:noProof/>
        </w:rPr>
        <w:t>3</w:t>
      </w:r>
      <w:r>
        <w:rPr>
          <w:noProof/>
        </w:rPr>
        <w:fldChar w:fldCharType="end"/>
      </w:r>
    </w:p>
    <w:p w:rsidR="00C24D69" w:rsidRDefault="00B64FF3">
      <w:pPr>
        <w:pStyle w:val="TOC2"/>
        <w:tabs>
          <w:tab w:val="right" w:leader="dot" w:pos="7086"/>
        </w:tabs>
        <w:rPr>
          <w:noProof/>
        </w:rPr>
      </w:pPr>
      <w:r>
        <w:rPr>
          <w:noProof/>
        </w:rPr>
        <w:t>NOTES</w:t>
      </w:r>
    </w:p>
    <w:p w:rsidR="00C24D69" w:rsidRDefault="00B64FF3">
      <w:pPr>
        <w:pStyle w:val="TOC2"/>
      </w:pPr>
      <w:r>
        <w:fldChar w:fldCharType="end"/>
      </w:r>
    </w:p>
    <w:p w:rsidR="00C24D69" w:rsidRDefault="00B64FF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24D69" w:rsidRDefault="00C24D69">
      <w:pPr>
        <w:pStyle w:val="NoteHeading"/>
        <w:sectPr w:rsidR="00C24D6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C24D69" w:rsidRDefault="00B64FF3">
      <w:pPr>
        <w:pStyle w:val="WA"/>
      </w:pPr>
      <w:r>
        <w:t>Western Australia</w:t>
      </w:r>
    </w:p>
    <w:p w:rsidR="00C24D69" w:rsidRDefault="00B64FF3">
      <w:pPr>
        <w:pStyle w:val="PrincipalActReg"/>
        <w:rPr>
          <w:snapToGrid w:val="0"/>
        </w:rPr>
      </w:pPr>
      <w:r>
        <w:rPr>
          <w:snapToGrid w:val="0"/>
        </w:rPr>
        <w:t>INTERPRETATION ACT 1984</w:t>
      </w:r>
    </w:p>
    <w:p w:rsidR="00C24D69" w:rsidRDefault="00B64FF3">
      <w:pPr>
        <w:pStyle w:val="PrincipalActReg"/>
        <w:rPr>
          <w:snapToGrid w:val="0"/>
        </w:rPr>
      </w:pPr>
      <w:r>
        <w:rPr>
          <w:snapToGrid w:val="0"/>
        </w:rPr>
        <w:t>REGIONAL DEVELOPMENT COMMISSIONS ACT 1993</w:t>
      </w:r>
    </w:p>
    <w:p w:rsidR="00C24D69" w:rsidRDefault="00B64FF3">
      <w:pPr>
        <w:pStyle w:val="NameofActReg"/>
      </w:pPr>
      <w:r>
        <w:t>Regional Development Commissions Regulations 1994</w:t>
      </w:r>
    </w:p>
    <w:p w:rsidR="00C24D69" w:rsidRDefault="00B64FF3">
      <w:pPr>
        <w:pStyle w:val="MadeBy"/>
        <w:rPr>
          <w:snapToGrid w:val="0"/>
        </w:rPr>
      </w:pPr>
      <w:r>
        <w:rPr>
          <w:snapToGrid w:val="0"/>
        </w:rPr>
        <w:t xml:space="preserve">Made by His Excellency the Governor in Executive Council under section 25 (1) of the </w:t>
      </w:r>
      <w:r>
        <w:rPr>
          <w:i/>
          <w:snapToGrid w:val="0"/>
        </w:rPr>
        <w:t>Interpretation Act 1984</w:t>
      </w:r>
      <w:r>
        <w:rPr>
          <w:snapToGrid w:val="0"/>
        </w:rPr>
        <w:t xml:space="preserve"> and section 15 (1) and 16 of the </w:t>
      </w:r>
      <w:r>
        <w:rPr>
          <w:i/>
          <w:snapToGrid w:val="0"/>
        </w:rPr>
        <w:t>Regional Development Commissions Act 1993</w:t>
      </w:r>
      <w:r>
        <w:rPr>
          <w:snapToGrid w:val="0"/>
        </w:rPr>
        <w:t>.</w:t>
      </w:r>
    </w:p>
    <w:p w:rsidR="00C24D69" w:rsidRDefault="00B64FF3">
      <w:pPr>
        <w:pStyle w:val="Heading5"/>
        <w:rPr>
          <w:snapToGrid w:val="0"/>
        </w:rPr>
      </w:pPr>
      <w:bookmarkStart w:id="1" w:name="_Toc434201204"/>
      <w:r>
        <w:rPr>
          <w:rStyle w:val="CharSectno"/>
        </w:rPr>
        <w:t>1</w:t>
      </w:r>
      <w:r>
        <w:rPr>
          <w:snapToGrid w:val="0"/>
        </w:rPr>
        <w:t>.</w:t>
      </w:r>
      <w:r>
        <w:rPr>
          <w:snapToGrid w:val="0"/>
        </w:rPr>
        <w:tab/>
        <w:t>Citation</w:t>
      </w:r>
      <w:bookmarkEnd w:id="1"/>
      <w:r>
        <w:rPr>
          <w:snapToGrid w:val="0"/>
        </w:rPr>
        <w:t xml:space="preserve"> </w:t>
      </w:r>
    </w:p>
    <w:p w:rsidR="00C24D69" w:rsidRDefault="00B64FF3">
      <w:pPr>
        <w:pStyle w:val="Subsection"/>
        <w:rPr>
          <w:snapToGrid w:val="0"/>
        </w:rPr>
      </w:pPr>
      <w:r>
        <w:rPr>
          <w:snapToGrid w:val="0"/>
        </w:rPr>
        <w:tab/>
      </w:r>
      <w:r>
        <w:rPr>
          <w:snapToGrid w:val="0"/>
        </w:rPr>
        <w:tab/>
        <w:t xml:space="preserve">These regulations may be cited as the </w:t>
      </w:r>
      <w:r>
        <w:rPr>
          <w:i/>
          <w:snapToGrid w:val="0"/>
        </w:rPr>
        <w:t>Regional Development Commissions Regulations 1994</w:t>
      </w:r>
      <w:r>
        <w:rPr>
          <w:snapToGrid w:val="0"/>
        </w:rPr>
        <w:t>.</w:t>
      </w:r>
    </w:p>
    <w:p w:rsidR="00C24D69" w:rsidRDefault="00B64FF3">
      <w:pPr>
        <w:pStyle w:val="Heading5"/>
        <w:rPr>
          <w:snapToGrid w:val="0"/>
        </w:rPr>
      </w:pPr>
      <w:bookmarkStart w:id="2" w:name="_Toc434201205"/>
      <w:r>
        <w:rPr>
          <w:rStyle w:val="CharSectno"/>
        </w:rPr>
        <w:t>2</w:t>
      </w:r>
      <w:r>
        <w:rPr>
          <w:snapToGrid w:val="0"/>
        </w:rPr>
        <w:t>.</w:t>
      </w:r>
      <w:r>
        <w:rPr>
          <w:snapToGrid w:val="0"/>
        </w:rPr>
        <w:tab/>
        <w:t>Appointed members of Boards</w:t>
      </w:r>
      <w:bookmarkEnd w:id="2"/>
      <w:r>
        <w:rPr>
          <w:snapToGrid w:val="0"/>
        </w:rPr>
        <w:t xml:space="preserve"> </w:t>
      </w:r>
    </w:p>
    <w:p w:rsidR="00C24D69" w:rsidRDefault="00B64FF3">
      <w:pPr>
        <w:pStyle w:val="Subsection"/>
        <w:rPr>
          <w:snapToGrid w:val="0"/>
        </w:rPr>
      </w:pPr>
      <w:r>
        <w:rPr>
          <w:snapToGrid w:val="0"/>
        </w:rPr>
        <w:tab/>
      </w:r>
      <w:r>
        <w:rPr>
          <w:snapToGrid w:val="0"/>
        </w:rPr>
        <w:tab/>
        <w:t>For the purposes of section 15 (1) (b) of the Act, the board of management of a commission is to have 9 appointed members of whom — </w:t>
      </w:r>
    </w:p>
    <w:p w:rsidR="00C24D69" w:rsidRDefault="00B64FF3">
      <w:pPr>
        <w:pStyle w:val="Indenta"/>
        <w:rPr>
          <w:snapToGrid w:val="0"/>
        </w:rPr>
      </w:pPr>
      <w:r>
        <w:rPr>
          <w:snapToGrid w:val="0"/>
        </w:rPr>
        <w:tab/>
        <w:t>(a)</w:t>
      </w:r>
      <w:r>
        <w:rPr>
          <w:snapToGrid w:val="0"/>
        </w:rPr>
        <w:tab/>
        <w:t>3 are to be persons who are resident in the commission's region and nominated in accordance with regulation 11;</w:t>
      </w:r>
    </w:p>
    <w:p w:rsidR="00C24D69" w:rsidRDefault="00B64FF3">
      <w:pPr>
        <w:pStyle w:val="Indenta"/>
        <w:rPr>
          <w:snapToGrid w:val="0"/>
        </w:rPr>
      </w:pPr>
      <w:r>
        <w:rPr>
          <w:snapToGrid w:val="0"/>
        </w:rPr>
        <w:tab/>
        <w:t>(b)</w:t>
      </w:r>
      <w:r>
        <w:rPr>
          <w:snapToGrid w:val="0"/>
        </w:rPr>
        <w:tab/>
        <w:t>3 are nominated by local governments in that region in accordance with regulation 12; and</w:t>
      </w:r>
    </w:p>
    <w:p w:rsidR="00C24D69" w:rsidRDefault="00B64FF3">
      <w:pPr>
        <w:pStyle w:val="Indenta"/>
        <w:rPr>
          <w:snapToGrid w:val="0"/>
        </w:rPr>
      </w:pPr>
      <w:r>
        <w:rPr>
          <w:snapToGrid w:val="0"/>
        </w:rPr>
        <w:tab/>
        <w:t>(c)</w:t>
      </w:r>
      <w:r>
        <w:rPr>
          <w:snapToGrid w:val="0"/>
        </w:rPr>
        <w:tab/>
        <w:t>3 are to be appointed at the Minister's discretion.</w:t>
      </w:r>
    </w:p>
    <w:p w:rsidR="00C24D69" w:rsidRDefault="00B64FF3">
      <w:pPr>
        <w:pStyle w:val="Footnotesection"/>
      </w:pPr>
      <w:r>
        <w:tab/>
        <w:t xml:space="preserve">[Regulation 2 inserted in Gazette 29 April 1997 p.2140.] </w:t>
      </w:r>
    </w:p>
    <w:p w:rsidR="00C24D69" w:rsidRDefault="00B64FF3">
      <w:pPr>
        <w:pStyle w:val="Ednotesection"/>
      </w:pPr>
      <w:r>
        <w:t>[</w:t>
      </w:r>
      <w:r>
        <w:rPr>
          <w:b/>
        </w:rPr>
        <w:t>3</w:t>
      </w:r>
      <w:r>
        <w:rPr>
          <w:b/>
        </w:rPr>
        <w:noBreakHyphen/>
        <w:t>10.</w:t>
      </w:r>
      <w:r>
        <w:rPr>
          <w:b/>
        </w:rPr>
        <w:tab/>
      </w:r>
      <w:r>
        <w:rPr>
          <w:b/>
        </w:rPr>
        <w:tab/>
      </w:r>
      <w:r>
        <w:t xml:space="preserve">Repealed in Gazette 29 April 1997 p.2140.] </w:t>
      </w:r>
    </w:p>
    <w:p w:rsidR="00C24D69" w:rsidRDefault="00B64FF3">
      <w:pPr>
        <w:pStyle w:val="Heading5"/>
        <w:rPr>
          <w:snapToGrid w:val="0"/>
        </w:rPr>
      </w:pPr>
      <w:bookmarkStart w:id="3" w:name="_Toc434201206"/>
      <w:r>
        <w:rPr>
          <w:rStyle w:val="CharSectno"/>
        </w:rPr>
        <w:t>11</w:t>
      </w:r>
      <w:r>
        <w:rPr>
          <w:snapToGrid w:val="0"/>
        </w:rPr>
        <w:t>.</w:t>
      </w:r>
      <w:r>
        <w:rPr>
          <w:snapToGrid w:val="0"/>
        </w:rPr>
        <w:tab/>
        <w:t>Board members resident in the region — method of nomination (section 16)</w:t>
      </w:r>
      <w:bookmarkEnd w:id="3"/>
      <w:r>
        <w:rPr>
          <w:snapToGrid w:val="0"/>
        </w:rPr>
        <w:t xml:space="preserve"> </w:t>
      </w:r>
    </w:p>
    <w:p w:rsidR="00C24D69" w:rsidRDefault="00B64FF3">
      <w:pPr>
        <w:pStyle w:val="Subsection"/>
        <w:rPr>
          <w:snapToGrid w:val="0"/>
        </w:rPr>
      </w:pPr>
      <w:r>
        <w:rPr>
          <w:snapToGrid w:val="0"/>
        </w:rPr>
        <w:tab/>
        <w:t>(1)</w:t>
      </w:r>
      <w:r>
        <w:rPr>
          <w:snapToGrid w:val="0"/>
        </w:rPr>
        <w:tab/>
        <w:t>The members referred to in regulation 2 (a) must be nominated in the following manner — </w:t>
      </w:r>
    </w:p>
    <w:p w:rsidR="00C24D69" w:rsidRDefault="00B64FF3">
      <w:pPr>
        <w:pStyle w:val="Indenta"/>
        <w:rPr>
          <w:snapToGrid w:val="0"/>
        </w:rPr>
      </w:pPr>
      <w:r>
        <w:rPr>
          <w:snapToGrid w:val="0"/>
        </w:rPr>
        <w:tab/>
        <w:t>(a)</w:t>
      </w:r>
      <w:r>
        <w:rPr>
          <w:snapToGrid w:val="0"/>
        </w:rPr>
        <w:tab/>
        <w:t>nominations will be sought from — </w:t>
      </w:r>
    </w:p>
    <w:p w:rsidR="00C24D69" w:rsidRDefault="00B64FF3">
      <w:pPr>
        <w:pStyle w:val="Indenti"/>
        <w:rPr>
          <w:snapToGrid w:val="0"/>
        </w:rPr>
      </w:pPr>
      <w:r>
        <w:rPr>
          <w:snapToGrid w:val="0"/>
        </w:rPr>
        <w:tab/>
        <w:t>(i)</w:t>
      </w:r>
      <w:r>
        <w:rPr>
          <w:snapToGrid w:val="0"/>
        </w:rPr>
        <w:tab/>
        <w:t>the community, by way of advertisements placed in newspapers circulating in the appropriate region; and</w:t>
      </w:r>
    </w:p>
    <w:p w:rsidR="00C24D69" w:rsidRDefault="00B64FF3">
      <w:pPr>
        <w:pStyle w:val="Indenti"/>
        <w:rPr>
          <w:snapToGrid w:val="0"/>
        </w:rPr>
      </w:pPr>
      <w:r>
        <w:rPr>
          <w:snapToGrid w:val="0"/>
        </w:rPr>
        <w:tab/>
        <w:t>(ii)</w:t>
      </w:r>
      <w:r>
        <w:rPr>
          <w:snapToGrid w:val="0"/>
        </w:rPr>
        <w:tab/>
        <w:t>a wide range of community organisations, including employer and employee groups, education and training institutions, tourism and recreation bodies and other sections of the community, by way of direct correspondence with those organisations;</w:t>
      </w:r>
    </w:p>
    <w:p w:rsidR="00C24D69" w:rsidRDefault="00B64FF3">
      <w:pPr>
        <w:pStyle w:val="Indenta"/>
        <w:rPr>
          <w:snapToGrid w:val="0"/>
        </w:rPr>
      </w:pPr>
      <w:r>
        <w:rPr>
          <w:snapToGrid w:val="0"/>
        </w:rPr>
        <w:tab/>
        <w:t>(b)</w:t>
      </w:r>
      <w:r>
        <w:rPr>
          <w:snapToGrid w:val="0"/>
        </w:rPr>
        <w:tab/>
        <w:t>the period for nominations will be noted on the advertisement or correspondence, being a period of not less than 42 days from the day on which the advertisement is published or the correspondence is sent (as the case may be).</w:t>
      </w:r>
    </w:p>
    <w:p w:rsidR="00C24D69" w:rsidRDefault="00B64FF3">
      <w:pPr>
        <w:pStyle w:val="Subsection"/>
        <w:rPr>
          <w:snapToGrid w:val="0"/>
        </w:rPr>
      </w:pPr>
      <w:r>
        <w:rPr>
          <w:snapToGrid w:val="0"/>
        </w:rPr>
        <w:tab/>
        <w:t>(2)</w:t>
      </w:r>
      <w:r>
        <w:rPr>
          <w:snapToGrid w:val="0"/>
        </w:rPr>
        <w:tab/>
        <w:t>Where nominations are sought for a particular region in accordance with subregulation (1) and — </w:t>
      </w:r>
    </w:p>
    <w:p w:rsidR="00C24D69" w:rsidRDefault="00B64FF3">
      <w:pPr>
        <w:pStyle w:val="Indenta"/>
        <w:rPr>
          <w:snapToGrid w:val="0"/>
        </w:rPr>
      </w:pPr>
      <w:r>
        <w:rPr>
          <w:snapToGrid w:val="0"/>
        </w:rPr>
        <w:tab/>
        <w:t>(i)</w:t>
      </w:r>
      <w:r>
        <w:rPr>
          <w:snapToGrid w:val="0"/>
        </w:rPr>
        <w:tab/>
        <w:t>names have not been provided by the community and the community organisations in that region; or</w:t>
      </w:r>
    </w:p>
    <w:p w:rsidR="00C24D69" w:rsidRDefault="00B64FF3">
      <w:pPr>
        <w:pStyle w:val="Indenta"/>
        <w:rPr>
          <w:snapToGrid w:val="0"/>
        </w:rPr>
      </w:pPr>
      <w:r>
        <w:rPr>
          <w:snapToGrid w:val="0"/>
        </w:rPr>
        <w:tab/>
        <w:t>(ii)</w:t>
      </w:r>
      <w:r>
        <w:rPr>
          <w:snapToGrid w:val="0"/>
        </w:rPr>
        <w:tab/>
        <w:t>sufficient nominations are not received by the Minister,</w:t>
      </w:r>
    </w:p>
    <w:p w:rsidR="00C24D69" w:rsidRDefault="00B64FF3">
      <w:pPr>
        <w:pStyle w:val="Subsection"/>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rsidR="00C24D69" w:rsidRDefault="00B64FF3">
      <w:pPr>
        <w:pStyle w:val="Footnotesection"/>
      </w:pPr>
      <w:r>
        <w:tab/>
        <w:t xml:space="preserve">[Regulation 11 amended in Gazette 29 April 1997 p.2140.] </w:t>
      </w:r>
    </w:p>
    <w:p w:rsidR="00C24D69" w:rsidRDefault="00B64FF3">
      <w:pPr>
        <w:pStyle w:val="Heading5"/>
        <w:rPr>
          <w:snapToGrid w:val="0"/>
        </w:rPr>
      </w:pPr>
      <w:bookmarkStart w:id="4" w:name="_Toc434201207"/>
      <w:r>
        <w:rPr>
          <w:rStyle w:val="CharSectno"/>
        </w:rPr>
        <w:t>12</w:t>
      </w:r>
      <w:r>
        <w:rPr>
          <w:snapToGrid w:val="0"/>
        </w:rPr>
        <w:t>.</w:t>
      </w:r>
      <w:r>
        <w:rPr>
          <w:snapToGrid w:val="0"/>
        </w:rPr>
        <w:tab/>
        <w:t>Members nominated by local government authorities —method of nomination (section 16)</w:t>
      </w:r>
      <w:bookmarkEnd w:id="4"/>
      <w:r>
        <w:rPr>
          <w:snapToGrid w:val="0"/>
        </w:rPr>
        <w:t xml:space="preserve"> </w:t>
      </w:r>
    </w:p>
    <w:p w:rsidR="00C24D69" w:rsidRDefault="00B64FF3">
      <w:pPr>
        <w:pStyle w:val="Subsection"/>
        <w:rPr>
          <w:snapToGrid w:val="0"/>
        </w:rPr>
      </w:pPr>
      <w:r>
        <w:rPr>
          <w:snapToGrid w:val="0"/>
        </w:rPr>
        <w:tab/>
        <w:t>(1)</w:t>
      </w:r>
      <w:r>
        <w:rPr>
          <w:snapToGrid w:val="0"/>
        </w:rPr>
        <w:tab/>
        <w:t>The members referred to in regulation 2 (b) must be nominated in the following manner — </w:t>
      </w:r>
    </w:p>
    <w:p w:rsidR="00C24D69" w:rsidRDefault="00B64FF3">
      <w:pPr>
        <w:pStyle w:val="Indenta"/>
        <w:rPr>
          <w:snapToGrid w:val="0"/>
        </w:rPr>
      </w:pPr>
      <w:r>
        <w:rPr>
          <w:snapToGrid w:val="0"/>
        </w:rPr>
        <w:tab/>
        <w:t>(a)</w:t>
      </w:r>
      <w:r>
        <w:rPr>
          <w:snapToGrid w:val="0"/>
        </w:rPr>
        <w:tab/>
        <w:t>nominations will be sought from local governments in the appropriate region by way of direct correspondence with those local governments;</w:t>
      </w:r>
    </w:p>
    <w:p w:rsidR="00C24D69" w:rsidRDefault="00B64FF3">
      <w:pPr>
        <w:pStyle w:val="Indenta"/>
        <w:rPr>
          <w:snapToGrid w:val="0"/>
        </w:rPr>
      </w:pPr>
      <w:r>
        <w:rPr>
          <w:snapToGrid w:val="0"/>
        </w:rPr>
        <w:tab/>
        <w:t>(b)</w:t>
      </w:r>
      <w:r>
        <w:rPr>
          <w:snapToGrid w:val="0"/>
        </w:rPr>
        <w:tab/>
        <w:t>the local governments will be requested to provide the names of twice as many persons who are willing and able to be candidates for appointment as there are places available to local government nominees on the Board in that region;</w:t>
      </w:r>
    </w:p>
    <w:p w:rsidR="00C24D69" w:rsidRDefault="00B64FF3">
      <w:pPr>
        <w:pStyle w:val="Indenta"/>
        <w:rPr>
          <w:snapToGrid w:val="0"/>
        </w:rPr>
      </w:pPr>
      <w:r>
        <w:rPr>
          <w:snapToGrid w:val="0"/>
        </w:rPr>
        <w:tab/>
        <w:t>(c)</w:t>
      </w:r>
      <w:r>
        <w:rPr>
          <w:snapToGrid w:val="0"/>
        </w:rPr>
        <w:tab/>
        <w:t>the period for nominations will be noted on the correspondence, being a period of not less than 42 days from the day on which the correspondence is sent.</w:t>
      </w:r>
    </w:p>
    <w:p w:rsidR="00C24D69" w:rsidRDefault="00B64FF3">
      <w:pPr>
        <w:pStyle w:val="Subsection"/>
        <w:rPr>
          <w:snapToGrid w:val="0"/>
        </w:rPr>
      </w:pPr>
      <w:r>
        <w:rPr>
          <w:snapToGrid w:val="0"/>
        </w:rPr>
        <w:tab/>
        <w:t>(2)</w:t>
      </w:r>
      <w:r>
        <w:rPr>
          <w:snapToGrid w:val="0"/>
        </w:rPr>
        <w:tab/>
        <w:t>Where local governments have been requested to provide the names of twice as many persons who are willing and able to be candidates for appointment as there are places available to local government nominees on the Board in that region and — </w:t>
      </w:r>
    </w:p>
    <w:p w:rsidR="00C24D69" w:rsidRDefault="00B64FF3">
      <w:pPr>
        <w:pStyle w:val="Indenta"/>
        <w:rPr>
          <w:snapToGrid w:val="0"/>
        </w:rPr>
      </w:pPr>
      <w:r>
        <w:rPr>
          <w:snapToGrid w:val="0"/>
        </w:rPr>
        <w:tab/>
        <w:t>(i)</w:t>
      </w:r>
      <w:r>
        <w:rPr>
          <w:snapToGrid w:val="0"/>
        </w:rPr>
        <w:tab/>
        <w:t>a list of names has not been provided by any of the local governments in that region; or</w:t>
      </w:r>
    </w:p>
    <w:p w:rsidR="00C24D69" w:rsidRDefault="00B64FF3">
      <w:pPr>
        <w:pStyle w:val="Indenta"/>
        <w:rPr>
          <w:snapToGrid w:val="0"/>
        </w:rPr>
      </w:pPr>
      <w:r>
        <w:rPr>
          <w:snapToGrid w:val="0"/>
        </w:rPr>
        <w:tab/>
        <w:t>(ii)</w:t>
      </w:r>
      <w:r>
        <w:rPr>
          <w:snapToGrid w:val="0"/>
        </w:rPr>
        <w:tab/>
        <w:t>sufficient nominations are not received by the Minister,</w:t>
      </w:r>
    </w:p>
    <w:p w:rsidR="00C24D69" w:rsidRDefault="00B64FF3">
      <w:pPr>
        <w:pStyle w:val="Subsection"/>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rsidR="00C24D69" w:rsidRDefault="00B64FF3">
      <w:pPr>
        <w:pStyle w:val="Footnotesection"/>
      </w:pPr>
      <w:r>
        <w:tab/>
        <w:t>[Regulation 12 amended in Gazette 29 April 1997 pp.2140</w:t>
      </w:r>
      <w:r>
        <w:noBreakHyphen/>
        <w:t xml:space="preserve">1.] </w:t>
      </w:r>
    </w:p>
    <w:p w:rsidR="00C24D69" w:rsidRDefault="00C24D69">
      <w:pPr>
        <w:rPr>
          <w:rStyle w:val="CharDivText"/>
        </w:rPr>
        <w:sectPr w:rsidR="00C24D6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C24D69" w:rsidRDefault="00B64FF3">
      <w:pPr>
        <w:pStyle w:val="nHeading2"/>
      </w:pPr>
      <w:r>
        <w:t>Notes</w:t>
      </w:r>
    </w:p>
    <w:p w:rsidR="00C24D69" w:rsidRDefault="00B64FF3">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Regional Development Commissions Regulations 1994</w:t>
      </w:r>
      <w:r>
        <w:rPr>
          <w:snapToGrid w:val="0"/>
        </w:rPr>
        <w:t xml:space="preserve"> and includes the amendments referred to in the following Table.</w:t>
      </w:r>
    </w:p>
    <w:p w:rsidR="00C24D69" w:rsidRDefault="00B64FF3">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24D69">
        <w:trPr>
          <w:tblHeader/>
        </w:trPr>
        <w:tc>
          <w:tcPr>
            <w:tcW w:w="3118" w:type="dxa"/>
            <w:tcBorders>
              <w:top w:val="single" w:sz="8" w:space="0" w:color="auto"/>
              <w:bottom w:val="single" w:sz="8" w:space="0" w:color="auto"/>
            </w:tcBorders>
          </w:tcPr>
          <w:p w:rsidR="00C24D69" w:rsidRDefault="00B64FF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C24D69" w:rsidRDefault="00B64FF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C24D69" w:rsidRDefault="00B64FF3">
            <w:pPr>
              <w:pStyle w:val="nTable"/>
              <w:spacing w:before="40" w:after="40"/>
              <w:rPr>
                <w:b/>
                <w:sz w:val="19"/>
              </w:rPr>
            </w:pPr>
            <w:r>
              <w:rPr>
                <w:b/>
                <w:sz w:val="19"/>
              </w:rPr>
              <w:t>Commencement</w:t>
            </w:r>
          </w:p>
        </w:tc>
      </w:tr>
      <w:tr w:rsidR="00C24D69">
        <w:tc>
          <w:tcPr>
            <w:tcW w:w="3118" w:type="dxa"/>
          </w:tcPr>
          <w:p w:rsidR="00C24D69" w:rsidRDefault="00B64FF3">
            <w:pPr>
              <w:pStyle w:val="nTable"/>
              <w:spacing w:before="40" w:after="40"/>
              <w:rPr>
                <w:sz w:val="19"/>
              </w:rPr>
            </w:pPr>
            <w:r>
              <w:rPr>
                <w:i/>
                <w:sz w:val="19"/>
              </w:rPr>
              <w:t>Regional Development Commissions Regulations 1994</w:t>
            </w:r>
          </w:p>
        </w:tc>
        <w:tc>
          <w:tcPr>
            <w:tcW w:w="1276" w:type="dxa"/>
          </w:tcPr>
          <w:p w:rsidR="00C24D69" w:rsidRDefault="00B64FF3">
            <w:pPr>
              <w:pStyle w:val="nTable"/>
              <w:spacing w:before="40" w:after="40"/>
              <w:rPr>
                <w:sz w:val="19"/>
              </w:rPr>
            </w:pPr>
            <w:r>
              <w:rPr>
                <w:sz w:val="19"/>
              </w:rPr>
              <w:t>1 Mar 1994 p. 779</w:t>
            </w:r>
            <w:r>
              <w:rPr>
                <w:sz w:val="19"/>
              </w:rPr>
              <w:noBreakHyphen/>
              <w:t>82</w:t>
            </w:r>
          </w:p>
        </w:tc>
        <w:tc>
          <w:tcPr>
            <w:tcW w:w="2693" w:type="dxa"/>
          </w:tcPr>
          <w:p w:rsidR="00C24D69" w:rsidRDefault="00B64FF3">
            <w:pPr>
              <w:pStyle w:val="nTable"/>
              <w:spacing w:before="40" w:after="40"/>
              <w:rPr>
                <w:sz w:val="19"/>
              </w:rPr>
            </w:pPr>
            <w:r>
              <w:rPr>
                <w:sz w:val="19"/>
              </w:rPr>
              <w:t>1 Mar 1994</w:t>
            </w:r>
          </w:p>
        </w:tc>
      </w:tr>
      <w:tr w:rsidR="00C24D69">
        <w:tc>
          <w:tcPr>
            <w:tcW w:w="3118" w:type="dxa"/>
            <w:tcBorders>
              <w:bottom w:val="single" w:sz="8" w:space="0" w:color="auto"/>
            </w:tcBorders>
          </w:tcPr>
          <w:p w:rsidR="00C24D69" w:rsidRDefault="00B64FF3">
            <w:pPr>
              <w:pStyle w:val="nTable"/>
              <w:spacing w:before="40" w:after="40"/>
              <w:rPr>
                <w:iCs/>
                <w:sz w:val="19"/>
              </w:rPr>
            </w:pPr>
            <w:r>
              <w:rPr>
                <w:i/>
                <w:sz w:val="19"/>
              </w:rPr>
              <w:t>Regional Development Commissions Amendment Regulations 1997</w:t>
            </w:r>
            <w:r>
              <w:rPr>
                <w:iCs/>
                <w:sz w:val="19"/>
                <w:vertAlign w:val="superscript"/>
              </w:rPr>
              <w:t> 2</w:t>
            </w:r>
          </w:p>
        </w:tc>
        <w:tc>
          <w:tcPr>
            <w:tcW w:w="1276" w:type="dxa"/>
            <w:tcBorders>
              <w:bottom w:val="single" w:sz="8" w:space="0" w:color="auto"/>
            </w:tcBorders>
          </w:tcPr>
          <w:p w:rsidR="00C24D69" w:rsidRDefault="00B64FF3">
            <w:pPr>
              <w:pStyle w:val="nTable"/>
              <w:spacing w:before="40" w:after="40"/>
              <w:rPr>
                <w:sz w:val="19"/>
              </w:rPr>
            </w:pPr>
            <w:r>
              <w:rPr>
                <w:sz w:val="19"/>
              </w:rPr>
              <w:t>29 Apr 1997 p. 2140</w:t>
            </w:r>
            <w:r>
              <w:rPr>
                <w:sz w:val="19"/>
              </w:rPr>
              <w:noBreakHyphen/>
              <w:t>1</w:t>
            </w:r>
          </w:p>
        </w:tc>
        <w:tc>
          <w:tcPr>
            <w:tcW w:w="2693" w:type="dxa"/>
            <w:tcBorders>
              <w:bottom w:val="single" w:sz="8" w:space="0" w:color="auto"/>
            </w:tcBorders>
          </w:tcPr>
          <w:p w:rsidR="00C24D69" w:rsidRDefault="00B64FF3">
            <w:pPr>
              <w:pStyle w:val="nTable"/>
              <w:spacing w:before="40" w:after="40"/>
              <w:rPr>
                <w:sz w:val="19"/>
              </w:rPr>
            </w:pPr>
            <w:r>
              <w:rPr>
                <w:sz w:val="19"/>
              </w:rPr>
              <w:t>29 Apr 1997</w:t>
            </w:r>
          </w:p>
        </w:tc>
      </w:tr>
    </w:tbl>
    <w:p w:rsidR="00C24D69" w:rsidRDefault="00B64FF3">
      <w:pPr>
        <w:pStyle w:val="nSubsection"/>
        <w:rPr>
          <w:snapToGrid w:val="0"/>
        </w:rPr>
      </w:pPr>
      <w:r>
        <w:rPr>
          <w:snapToGrid w:val="0"/>
          <w:vertAlign w:val="superscript"/>
        </w:rPr>
        <w:t>2</w:t>
      </w:r>
      <w:r>
        <w:rPr>
          <w:snapToGrid w:val="0"/>
        </w:rPr>
        <w:tab/>
        <w:t xml:space="preserve">Regulation 3 (2) of the </w:t>
      </w:r>
      <w:r>
        <w:rPr>
          <w:i/>
          <w:snapToGrid w:val="0"/>
        </w:rPr>
        <w:t>Regional Development Commissions Amendment Regulations 1997</w:t>
      </w:r>
      <w:r>
        <w:rPr>
          <w:snapToGrid w:val="0"/>
        </w:rPr>
        <w:t xml:space="preserve"> reads as follows — </w:t>
      </w:r>
    </w:p>
    <w:p w:rsidR="00C24D69" w:rsidRDefault="00B64FF3">
      <w:pPr>
        <w:pStyle w:val="MiscOpen"/>
        <w:rPr>
          <w:snapToGrid w:val="0"/>
        </w:rPr>
      </w:pPr>
      <w:r>
        <w:rPr>
          <w:snapToGrid w:val="0"/>
        </w:rPr>
        <w:t>“</w:t>
      </w:r>
    </w:p>
    <w:p w:rsidR="00C24D69" w:rsidRDefault="00B64FF3">
      <w:pPr>
        <w:pStyle w:val="nzSubsection"/>
        <w:rPr>
          <w:snapToGrid w:val="0"/>
        </w:rPr>
      </w:pPr>
      <w:r>
        <w:rPr>
          <w:snapToGrid w:val="0"/>
        </w:rPr>
        <w:tab/>
        <w:t>(2)</w:t>
      </w:r>
      <w:r>
        <w:rPr>
          <w:snapToGrid w:val="0"/>
        </w:rPr>
        <w:tab/>
        <w:t>From the commencement of these regulations until the 1 July 1997, the board of management of the Gascoyne Development Commission, the Great Southern Development Commission or the South West Development Commission is not to be taken to be improperly constituted due to the fact that it does not comply with regulation 2 of the principal regulations if it complies with regulation 2, 4 or 9 (whichever is relevant) of the principal regulations as in force before the commencement of these regulations.</w:t>
      </w:r>
    </w:p>
    <w:p w:rsidR="00C24D69" w:rsidRDefault="00B64FF3">
      <w:pPr>
        <w:pStyle w:val="MiscClose"/>
      </w:pPr>
      <w:r>
        <w:t>”.</w:t>
      </w:r>
    </w:p>
    <w:p w:rsidR="00C24D69" w:rsidRDefault="00C24D69">
      <w:pPr>
        <w:sectPr w:rsidR="00C24D69">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C24D69" w:rsidRDefault="00C24D69"/>
    <w:sectPr w:rsidR="00C24D69">
      <w:headerReference w:type="even" r:id="rId29"/>
      <w:headerReference w:type="default" r:id="rId30"/>
      <w:type w:val="continuous"/>
      <w:pgSz w:w="11906" w:h="16838" w:code="9"/>
      <w:pgMar w:top="2381" w:right="2410" w:bottom="2977" w:left="2410"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69" w:rsidRDefault="00B64FF3">
      <w:r>
        <w:separator/>
      </w:r>
    </w:p>
  </w:endnote>
  <w:endnote w:type="continuationSeparator" w:id="0">
    <w:p w:rsidR="00C24D69" w:rsidRDefault="00B6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Footer"/>
      <w:tabs>
        <w:tab w:val="clear" w:pos="4153"/>
        <w:tab w:val="right" w:pos="7088"/>
      </w:tabs>
      <w:rPr>
        <w:rStyle w:val="PageNumber"/>
      </w:rPr>
    </w:pPr>
  </w:p>
  <w:p w:rsidR="00C24D69" w:rsidRDefault="00B64F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1F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1F8">
      <w:rPr>
        <w:rFonts w:ascii="Arial" w:hAnsi="Arial" w:cs="Arial"/>
        <w:sz w:val="20"/>
        <w:lang w:val="en-US"/>
      </w:rPr>
      <w:t>11 Nov 1998</w:t>
    </w:r>
    <w:r>
      <w:rPr>
        <w:rFonts w:ascii="Arial" w:hAnsi="Arial" w:cs="Arial"/>
        <w:sz w:val="20"/>
        <w:lang w:val="en-US"/>
      </w:rPr>
      <w:fldChar w:fldCharType="end"/>
    </w:r>
  </w:p>
  <w:p w:rsidR="00C24D69" w:rsidRDefault="00B64FF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Footer"/>
      <w:tabs>
        <w:tab w:val="clear" w:pos="4153"/>
        <w:tab w:val="right" w:pos="7088"/>
      </w:tabs>
      <w:rPr>
        <w:rStyle w:val="PageNumber"/>
      </w:rPr>
    </w:pPr>
  </w:p>
  <w:p w:rsidR="00C24D69" w:rsidRDefault="00B64F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1F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1F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C24D69" w:rsidRDefault="00B64FF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Footer"/>
      <w:tabs>
        <w:tab w:val="clear" w:pos="4153"/>
        <w:tab w:val="right" w:pos="7088"/>
      </w:tabs>
      <w:rPr>
        <w:rStyle w:val="PageNumber"/>
      </w:rPr>
    </w:pPr>
  </w:p>
  <w:p w:rsidR="00C24D69" w:rsidRDefault="00B64F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1F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1F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C24D69" w:rsidRDefault="00B64FF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Footer"/>
      <w:tabs>
        <w:tab w:val="clear" w:pos="4153"/>
        <w:tab w:val="right" w:pos="7088"/>
      </w:tabs>
      <w:rPr>
        <w:rStyle w:val="PageNumber"/>
      </w:rPr>
    </w:pPr>
  </w:p>
  <w:p w:rsidR="00C24D69" w:rsidRDefault="00B64F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1F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1F8">
      <w:rPr>
        <w:rFonts w:ascii="Arial" w:hAnsi="Arial" w:cs="Arial"/>
        <w:sz w:val="20"/>
        <w:lang w:val="en-US"/>
      </w:rPr>
      <w:t>11 Nov 1998</w:t>
    </w:r>
    <w:r>
      <w:rPr>
        <w:rFonts w:ascii="Arial" w:hAnsi="Arial" w:cs="Arial"/>
        <w:sz w:val="20"/>
        <w:lang w:val="en-US"/>
      </w:rPr>
      <w:fldChar w:fldCharType="end"/>
    </w:r>
  </w:p>
  <w:p w:rsidR="00C24D69" w:rsidRDefault="00B64FF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Footer"/>
      <w:tabs>
        <w:tab w:val="clear" w:pos="4153"/>
        <w:tab w:val="right" w:pos="7088"/>
      </w:tabs>
      <w:rPr>
        <w:rStyle w:val="PageNumber"/>
      </w:rPr>
    </w:pPr>
  </w:p>
  <w:p w:rsidR="00C24D69" w:rsidRDefault="00B64F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1F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1F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24D69" w:rsidRDefault="00B64FF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Footer"/>
      <w:tabs>
        <w:tab w:val="clear" w:pos="4153"/>
        <w:tab w:val="right" w:pos="7088"/>
      </w:tabs>
      <w:rPr>
        <w:rStyle w:val="PageNumber"/>
      </w:rPr>
    </w:pPr>
  </w:p>
  <w:p w:rsidR="00C24D69" w:rsidRDefault="00B64F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1F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1F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71F8">
      <w:rPr>
        <w:rStyle w:val="PageNumber"/>
        <w:rFonts w:ascii="Arial" w:hAnsi="Arial" w:cs="Arial"/>
        <w:noProof/>
      </w:rPr>
      <w:t>i</w:t>
    </w:r>
    <w:r>
      <w:rPr>
        <w:rStyle w:val="PageNumber"/>
        <w:rFonts w:ascii="Arial" w:hAnsi="Arial" w:cs="Arial"/>
      </w:rPr>
      <w:fldChar w:fldCharType="end"/>
    </w:r>
  </w:p>
  <w:p w:rsidR="00C24D69" w:rsidRDefault="00B64FF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Footer"/>
      <w:tabs>
        <w:tab w:val="clear" w:pos="4153"/>
        <w:tab w:val="right" w:pos="7088"/>
      </w:tabs>
      <w:rPr>
        <w:rStyle w:val="PageNumber"/>
      </w:rPr>
    </w:pPr>
  </w:p>
  <w:p w:rsidR="00C24D69" w:rsidRDefault="00B64F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71F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1F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1F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C24D69" w:rsidRDefault="00B64FF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Footer"/>
      <w:tabs>
        <w:tab w:val="clear" w:pos="4153"/>
        <w:tab w:val="right" w:pos="7088"/>
      </w:tabs>
      <w:rPr>
        <w:rStyle w:val="PageNumber"/>
      </w:rPr>
    </w:pPr>
  </w:p>
  <w:p w:rsidR="00C24D69" w:rsidRDefault="00B64F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1F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1F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71F8">
      <w:rPr>
        <w:rStyle w:val="CharPageNo"/>
        <w:rFonts w:ascii="Arial" w:hAnsi="Arial"/>
        <w:noProof/>
      </w:rPr>
      <w:t>3</w:t>
    </w:r>
    <w:r>
      <w:rPr>
        <w:rStyle w:val="CharPageNo"/>
        <w:rFonts w:ascii="Arial" w:hAnsi="Arial"/>
      </w:rPr>
      <w:fldChar w:fldCharType="end"/>
    </w:r>
  </w:p>
  <w:p w:rsidR="00C24D69" w:rsidRDefault="00B64FF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Footer"/>
      <w:tabs>
        <w:tab w:val="clear" w:pos="4153"/>
        <w:tab w:val="right" w:pos="7088"/>
      </w:tabs>
      <w:rPr>
        <w:rStyle w:val="PageNumber"/>
      </w:rPr>
    </w:pPr>
  </w:p>
  <w:p w:rsidR="00C24D69" w:rsidRDefault="00B64FF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971F8">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971F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971F8">
      <w:rPr>
        <w:rStyle w:val="CharPageNo"/>
        <w:rFonts w:ascii="Arial" w:hAnsi="Arial"/>
        <w:noProof/>
      </w:rPr>
      <w:t>1</w:t>
    </w:r>
    <w:r>
      <w:rPr>
        <w:rStyle w:val="CharPageNo"/>
        <w:rFonts w:ascii="Arial" w:hAnsi="Arial"/>
      </w:rPr>
      <w:fldChar w:fldCharType="end"/>
    </w:r>
  </w:p>
  <w:p w:rsidR="00C24D69" w:rsidRDefault="00B64FF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69" w:rsidRDefault="00B64FF3">
      <w:r>
        <w:separator/>
      </w:r>
    </w:p>
  </w:footnote>
  <w:footnote w:type="continuationSeparator" w:id="0">
    <w:p w:rsidR="00C24D69" w:rsidRDefault="00B6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B64FF3">
    <w:pPr>
      <w:pStyle w:val="headerpartodd"/>
      <w:ind w:left="0" w:firstLine="0"/>
      <w:rPr>
        <w:i/>
      </w:rPr>
    </w:pPr>
    <w:r>
      <w:rPr>
        <w:i/>
      </w:rPr>
      <w:fldChar w:fldCharType="begin"/>
    </w:r>
    <w:r>
      <w:rPr>
        <w:i/>
      </w:rPr>
      <w:instrText xml:space="preserve"> Styleref "Name of Act/Reg" </w:instrText>
    </w:r>
    <w:r>
      <w:rPr>
        <w:i/>
      </w:rPr>
      <w:fldChar w:fldCharType="separate"/>
    </w:r>
    <w:r w:rsidR="009971F8">
      <w:rPr>
        <w:i/>
        <w:noProof/>
      </w:rPr>
      <w:t>Regional Development Commissions Regulations 1994</w:t>
    </w:r>
    <w:r>
      <w:rPr>
        <w:i/>
      </w:rPr>
      <w:fldChar w:fldCharType="end"/>
    </w:r>
  </w:p>
  <w:p w:rsidR="00C24D69" w:rsidRDefault="00B64FF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24D69" w:rsidRDefault="00B64FF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24D69" w:rsidRDefault="00C24D69">
    <w:pPr>
      <w:pStyle w:val="headerpart"/>
      <w:rPr>
        <w:sz w:val="24"/>
      </w:rPr>
    </w:pPr>
  </w:p>
  <w:p w:rsidR="00C24D69" w:rsidRDefault="00C24D69">
    <w:pPr>
      <w:pBdr>
        <w:bottom w:val="single" w:sz="6" w:space="1" w:color="auto"/>
      </w:pBdr>
      <w:rPr>
        <w:b/>
      </w:rPr>
    </w:pPr>
  </w:p>
  <w:p w:rsidR="00C24D69" w:rsidRDefault="00C24D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24D69">
      <w:trPr>
        <w:cantSplit/>
      </w:trPr>
      <w:tc>
        <w:tcPr>
          <w:tcW w:w="7312" w:type="dxa"/>
          <w:gridSpan w:val="2"/>
        </w:tcPr>
        <w:p w:rsidR="00C24D69" w:rsidRDefault="00B64FF3">
          <w:pPr>
            <w:pStyle w:val="HeaderActNameLeft"/>
          </w:pPr>
          <w:fldSimple w:instr=" Styleref &quot;Name of Act/Reg&quot; ">
            <w:r w:rsidR="009971F8">
              <w:rPr>
                <w:noProof/>
              </w:rPr>
              <w:t>Regional Development Commissions Regulations 1994</w:t>
            </w:r>
          </w:fldSimple>
        </w:p>
      </w:tc>
    </w:tr>
    <w:tr w:rsidR="00C24D69">
      <w:tc>
        <w:tcPr>
          <w:tcW w:w="1548" w:type="dxa"/>
        </w:tcPr>
        <w:p w:rsidR="00C24D69" w:rsidRDefault="00C24D69">
          <w:pPr>
            <w:pStyle w:val="HeaderNumberLeft"/>
          </w:pPr>
        </w:p>
      </w:tc>
      <w:tc>
        <w:tcPr>
          <w:tcW w:w="5764" w:type="dxa"/>
        </w:tcPr>
        <w:p w:rsidR="00C24D69" w:rsidRDefault="00C24D69">
          <w:pPr>
            <w:pStyle w:val="HeaderTextLeft"/>
          </w:pPr>
        </w:p>
      </w:tc>
    </w:tr>
    <w:tr w:rsidR="00C24D69">
      <w:tc>
        <w:tcPr>
          <w:tcW w:w="1548" w:type="dxa"/>
        </w:tcPr>
        <w:p w:rsidR="00C24D69" w:rsidRDefault="00C24D69">
          <w:pPr>
            <w:pStyle w:val="HeaderNumberLeft"/>
          </w:pPr>
        </w:p>
      </w:tc>
      <w:tc>
        <w:tcPr>
          <w:tcW w:w="5764" w:type="dxa"/>
        </w:tcPr>
        <w:p w:rsidR="00C24D69" w:rsidRDefault="00C24D69">
          <w:pPr>
            <w:pStyle w:val="HeaderTextLeft"/>
          </w:pPr>
        </w:p>
      </w:tc>
    </w:tr>
    <w:tr w:rsidR="00C24D69">
      <w:trPr>
        <w:cantSplit/>
      </w:trPr>
      <w:tc>
        <w:tcPr>
          <w:tcW w:w="7312" w:type="dxa"/>
          <w:gridSpan w:val="2"/>
        </w:tcPr>
        <w:p w:rsidR="00C24D69" w:rsidRDefault="00C24D69">
          <w:pPr>
            <w:pStyle w:val="HeaderSectionLeft"/>
          </w:pPr>
        </w:p>
      </w:tc>
    </w:tr>
  </w:tbl>
  <w:p w:rsidR="00C24D69" w:rsidRDefault="00C24D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24D69">
      <w:trPr>
        <w:cantSplit/>
      </w:trPr>
      <w:tc>
        <w:tcPr>
          <w:tcW w:w="7312" w:type="dxa"/>
          <w:gridSpan w:val="2"/>
        </w:tcPr>
        <w:p w:rsidR="00C24D69" w:rsidRDefault="00B64FF3">
          <w:pPr>
            <w:pStyle w:val="HeaderActNameRight"/>
          </w:pPr>
          <w:fldSimple w:instr=" Styleref &quot;Name of Act/Reg&quot; ">
            <w:r w:rsidR="009971F8">
              <w:rPr>
                <w:noProof/>
              </w:rPr>
              <w:t>Regional Development Commissions Regulations 1994</w:t>
            </w:r>
          </w:fldSimple>
        </w:p>
      </w:tc>
    </w:tr>
    <w:tr w:rsidR="00C24D69">
      <w:tc>
        <w:tcPr>
          <w:tcW w:w="5760" w:type="dxa"/>
        </w:tcPr>
        <w:p w:rsidR="00C24D69" w:rsidRDefault="00C24D69">
          <w:pPr>
            <w:pStyle w:val="HeaderTextRight"/>
          </w:pPr>
        </w:p>
      </w:tc>
      <w:tc>
        <w:tcPr>
          <w:tcW w:w="1552" w:type="dxa"/>
        </w:tcPr>
        <w:p w:rsidR="00C24D69" w:rsidRDefault="00C24D69">
          <w:pPr>
            <w:pStyle w:val="HeaderNumberRight"/>
          </w:pPr>
        </w:p>
      </w:tc>
    </w:tr>
    <w:tr w:rsidR="00C24D69">
      <w:tc>
        <w:tcPr>
          <w:tcW w:w="5760" w:type="dxa"/>
        </w:tcPr>
        <w:p w:rsidR="00C24D69" w:rsidRDefault="00C24D69">
          <w:pPr>
            <w:pStyle w:val="HeaderTextRight"/>
          </w:pPr>
        </w:p>
      </w:tc>
      <w:tc>
        <w:tcPr>
          <w:tcW w:w="1552" w:type="dxa"/>
        </w:tcPr>
        <w:p w:rsidR="00C24D69" w:rsidRDefault="00C24D69">
          <w:pPr>
            <w:pStyle w:val="HeaderNumberRight"/>
          </w:pPr>
        </w:p>
      </w:tc>
    </w:tr>
    <w:tr w:rsidR="00C24D69">
      <w:trPr>
        <w:cantSplit/>
      </w:trPr>
      <w:tc>
        <w:tcPr>
          <w:tcW w:w="7312" w:type="dxa"/>
          <w:gridSpan w:val="2"/>
        </w:tcPr>
        <w:p w:rsidR="00C24D69" w:rsidRDefault="00C24D69">
          <w:pPr>
            <w:pStyle w:val="HeaderSectionRight"/>
          </w:pPr>
        </w:p>
      </w:tc>
    </w:tr>
  </w:tbl>
  <w:p w:rsidR="00C24D69" w:rsidRDefault="00C24D6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B64FF3">
    <w:pPr>
      <w:pStyle w:val="headerpartodd"/>
      <w:ind w:left="0" w:firstLine="0"/>
      <w:rPr>
        <w:i/>
      </w:rPr>
    </w:pPr>
    <w:r>
      <w:rPr>
        <w:i/>
      </w:rPr>
      <w:fldChar w:fldCharType="begin"/>
    </w:r>
    <w:r>
      <w:rPr>
        <w:i/>
      </w:rPr>
      <w:instrText xml:space="preserve"> Styleref "Name of Act/Reg" </w:instrText>
    </w:r>
    <w:r>
      <w:rPr>
        <w:i/>
      </w:rPr>
      <w:fldChar w:fldCharType="separate"/>
    </w:r>
    <w:r w:rsidR="009971F8">
      <w:rPr>
        <w:i/>
        <w:noProof/>
      </w:rPr>
      <w:t>Regional Development Commissions Regulations 1994</w:t>
    </w:r>
    <w:r>
      <w:rPr>
        <w:i/>
      </w:rPr>
      <w:fldChar w:fldCharType="end"/>
    </w:r>
  </w:p>
  <w:p w:rsidR="00C24D69" w:rsidRDefault="00C24D69">
    <w:pPr>
      <w:pStyle w:val="headerpartodd"/>
      <w:ind w:left="0" w:firstLine="0"/>
      <w:rPr>
        <w:b w:val="0"/>
        <w:i/>
      </w:rPr>
    </w:pPr>
  </w:p>
  <w:p w:rsidR="00C24D69" w:rsidRDefault="00C24D69">
    <w:pPr>
      <w:pStyle w:val="headerpart"/>
    </w:pPr>
  </w:p>
  <w:p w:rsidR="00C24D69" w:rsidRDefault="00C24D69">
    <w:pPr>
      <w:pStyle w:val="headerpart"/>
    </w:pPr>
  </w:p>
  <w:p w:rsidR="00C24D69" w:rsidRDefault="00C24D69">
    <w:pPr>
      <w:pBdr>
        <w:bottom w:val="single" w:sz="6" w:space="1" w:color="auto"/>
      </w:pBdr>
      <w:rPr>
        <w:b/>
      </w:rPr>
    </w:pPr>
  </w:p>
  <w:p w:rsidR="00C24D69" w:rsidRDefault="00C24D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B64FF3">
    <w:pPr>
      <w:pStyle w:val="headerpartodd"/>
      <w:ind w:left="0" w:firstLine="0"/>
      <w:jc w:val="right"/>
      <w:rPr>
        <w:i/>
      </w:rPr>
    </w:pPr>
    <w:r>
      <w:rPr>
        <w:i/>
      </w:rPr>
      <w:fldChar w:fldCharType="begin"/>
    </w:r>
    <w:r>
      <w:rPr>
        <w:i/>
      </w:rPr>
      <w:instrText xml:space="preserve"> Styleref "Name of Act/Reg" </w:instrText>
    </w:r>
    <w:r>
      <w:rPr>
        <w:i/>
      </w:rPr>
      <w:fldChar w:fldCharType="separate"/>
    </w:r>
    <w:r w:rsidR="009971F8">
      <w:rPr>
        <w:i/>
        <w:noProof/>
      </w:rPr>
      <w:t>Regional Development Commissions Regulations 1994</w:t>
    </w:r>
    <w:r>
      <w:rPr>
        <w:i/>
      </w:rPr>
      <w:fldChar w:fldCharType="end"/>
    </w:r>
  </w:p>
  <w:p w:rsidR="00C24D69" w:rsidRDefault="00C24D69">
    <w:pPr>
      <w:pStyle w:val="headerpartodd"/>
      <w:ind w:left="0" w:firstLine="0"/>
      <w:jc w:val="right"/>
      <w:rPr>
        <w:b w:val="0"/>
        <w:i/>
      </w:rPr>
    </w:pPr>
  </w:p>
  <w:p w:rsidR="00C24D69" w:rsidRDefault="00C24D69">
    <w:pPr>
      <w:pStyle w:val="headerpart"/>
      <w:jc w:val="right"/>
    </w:pPr>
  </w:p>
  <w:p w:rsidR="00C24D69" w:rsidRDefault="00C24D69">
    <w:pPr>
      <w:pStyle w:val="headerpart"/>
      <w:jc w:val="right"/>
      <w:rPr>
        <w:sz w:val="24"/>
      </w:rPr>
    </w:pPr>
  </w:p>
  <w:p w:rsidR="00C24D69" w:rsidRDefault="00C24D69">
    <w:pPr>
      <w:pBdr>
        <w:bottom w:val="single" w:sz="6" w:space="1" w:color="auto"/>
      </w:pBdr>
      <w:jc w:val="right"/>
      <w:rPr>
        <w:b/>
      </w:rPr>
    </w:pPr>
  </w:p>
  <w:p w:rsidR="00C24D69" w:rsidRDefault="00C24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24D69">
      <w:trPr>
        <w:cantSplit/>
      </w:trPr>
      <w:tc>
        <w:tcPr>
          <w:tcW w:w="7312" w:type="dxa"/>
          <w:gridSpan w:val="2"/>
        </w:tcPr>
        <w:p w:rsidR="00C24D69" w:rsidRDefault="00B64FF3">
          <w:pPr>
            <w:pStyle w:val="HeaderActNameLeft"/>
          </w:pPr>
          <w:r>
            <w:rPr>
              <w:i w:val="0"/>
            </w:rPr>
            <w:fldChar w:fldCharType="begin"/>
          </w:r>
          <w:r>
            <w:rPr>
              <w:i w:val="0"/>
            </w:rPr>
            <w:instrText xml:space="preserve"> Styleref "Name of Act/Reg" </w:instrText>
          </w:r>
          <w:r>
            <w:rPr>
              <w:i w:val="0"/>
            </w:rPr>
            <w:fldChar w:fldCharType="separate"/>
          </w:r>
          <w:r w:rsidR="009971F8">
            <w:rPr>
              <w:i w:val="0"/>
              <w:noProof/>
            </w:rPr>
            <w:t>Regional Development Commissions Regulations 1994</w:t>
          </w:r>
          <w:r>
            <w:rPr>
              <w:i w:val="0"/>
            </w:rPr>
            <w:fldChar w:fldCharType="end"/>
          </w:r>
        </w:p>
      </w:tc>
    </w:tr>
    <w:tr w:rsidR="00C24D69">
      <w:tc>
        <w:tcPr>
          <w:tcW w:w="1548" w:type="dxa"/>
        </w:tcPr>
        <w:p w:rsidR="00C24D69" w:rsidRDefault="00C24D69">
          <w:pPr>
            <w:pStyle w:val="HeaderNumberLeft"/>
          </w:pPr>
        </w:p>
      </w:tc>
      <w:tc>
        <w:tcPr>
          <w:tcW w:w="5764" w:type="dxa"/>
        </w:tcPr>
        <w:p w:rsidR="00C24D69" w:rsidRDefault="00C24D69">
          <w:pPr>
            <w:pStyle w:val="HeaderTextLeft"/>
          </w:pPr>
        </w:p>
      </w:tc>
    </w:tr>
    <w:tr w:rsidR="00C24D69">
      <w:tc>
        <w:tcPr>
          <w:tcW w:w="1548" w:type="dxa"/>
        </w:tcPr>
        <w:p w:rsidR="00C24D69" w:rsidRDefault="00C24D69">
          <w:pPr>
            <w:pStyle w:val="HeaderNumberLeft"/>
          </w:pPr>
        </w:p>
      </w:tc>
      <w:tc>
        <w:tcPr>
          <w:tcW w:w="5764" w:type="dxa"/>
        </w:tcPr>
        <w:p w:rsidR="00C24D69" w:rsidRDefault="00C24D69">
          <w:pPr>
            <w:pStyle w:val="HeaderTextLeft"/>
          </w:pPr>
        </w:p>
      </w:tc>
    </w:tr>
    <w:tr w:rsidR="00C24D69">
      <w:trPr>
        <w:cantSplit/>
      </w:trPr>
      <w:tc>
        <w:tcPr>
          <w:tcW w:w="7312" w:type="dxa"/>
          <w:gridSpan w:val="2"/>
        </w:tcPr>
        <w:p w:rsidR="00C24D69" w:rsidRDefault="00C24D69">
          <w:pPr>
            <w:pStyle w:val="HeaderSectionLeft"/>
          </w:pPr>
        </w:p>
      </w:tc>
    </w:tr>
  </w:tbl>
  <w:p w:rsidR="00C24D69" w:rsidRDefault="00C24D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24D69">
      <w:trPr>
        <w:cantSplit/>
      </w:trPr>
      <w:tc>
        <w:tcPr>
          <w:tcW w:w="7312" w:type="dxa"/>
          <w:gridSpan w:val="2"/>
        </w:tcPr>
        <w:p w:rsidR="00C24D69" w:rsidRDefault="00B64FF3">
          <w:pPr>
            <w:pStyle w:val="HeaderActNameRight"/>
          </w:pPr>
          <w:fldSimple w:instr=" Styleref &quot;Name of Act/Reg&quot; ">
            <w:r w:rsidR="009971F8">
              <w:rPr>
                <w:noProof/>
              </w:rPr>
              <w:t>Regional Development Commissions Regulations 1994</w:t>
            </w:r>
          </w:fldSimple>
        </w:p>
      </w:tc>
    </w:tr>
    <w:tr w:rsidR="00C24D69">
      <w:tc>
        <w:tcPr>
          <w:tcW w:w="5760" w:type="dxa"/>
        </w:tcPr>
        <w:p w:rsidR="00C24D69" w:rsidRDefault="00C24D69">
          <w:pPr>
            <w:pStyle w:val="HeaderTextRight"/>
          </w:pPr>
        </w:p>
      </w:tc>
      <w:tc>
        <w:tcPr>
          <w:tcW w:w="1552" w:type="dxa"/>
        </w:tcPr>
        <w:p w:rsidR="00C24D69" w:rsidRDefault="00C24D69">
          <w:pPr>
            <w:pStyle w:val="HeaderNumberRight"/>
          </w:pPr>
        </w:p>
      </w:tc>
    </w:tr>
    <w:tr w:rsidR="00C24D69">
      <w:tc>
        <w:tcPr>
          <w:tcW w:w="5760" w:type="dxa"/>
        </w:tcPr>
        <w:p w:rsidR="00C24D69" w:rsidRDefault="00C24D69">
          <w:pPr>
            <w:pStyle w:val="HeaderTextRight"/>
          </w:pPr>
        </w:p>
      </w:tc>
      <w:tc>
        <w:tcPr>
          <w:tcW w:w="1552" w:type="dxa"/>
        </w:tcPr>
        <w:p w:rsidR="00C24D69" w:rsidRDefault="00C24D69">
          <w:pPr>
            <w:pStyle w:val="HeaderNumberRight"/>
          </w:pPr>
        </w:p>
      </w:tc>
    </w:tr>
    <w:tr w:rsidR="00C24D69">
      <w:trPr>
        <w:cantSplit/>
      </w:trPr>
      <w:tc>
        <w:tcPr>
          <w:tcW w:w="7312" w:type="dxa"/>
          <w:gridSpan w:val="2"/>
        </w:tcPr>
        <w:p w:rsidR="00C24D69" w:rsidRDefault="00C24D69">
          <w:pPr>
            <w:pStyle w:val="HeaderSectionRight"/>
          </w:pPr>
        </w:p>
      </w:tc>
    </w:tr>
  </w:tbl>
  <w:p w:rsidR="00C24D69" w:rsidRDefault="00C24D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24D69">
      <w:trPr>
        <w:cantSplit/>
      </w:trPr>
      <w:tc>
        <w:tcPr>
          <w:tcW w:w="7312" w:type="dxa"/>
          <w:gridSpan w:val="2"/>
        </w:tcPr>
        <w:p w:rsidR="00C24D69" w:rsidRDefault="00B64FF3">
          <w:pPr>
            <w:pStyle w:val="HeaderActNameLeft"/>
          </w:pPr>
          <w:fldSimple w:instr=" Styleref &quot;Name of Act/Reg&quot; ">
            <w:r w:rsidR="009971F8">
              <w:rPr>
                <w:noProof/>
              </w:rPr>
              <w:t>Regional Development Commissions Regulations 1994</w:t>
            </w:r>
          </w:fldSimple>
        </w:p>
      </w:tc>
    </w:tr>
    <w:tr w:rsidR="00C24D69">
      <w:tc>
        <w:tcPr>
          <w:tcW w:w="1305" w:type="dxa"/>
        </w:tcPr>
        <w:p w:rsidR="00C24D69" w:rsidRDefault="00B64FF3">
          <w:pPr>
            <w:pStyle w:val="HeaderNumberLeft"/>
          </w:pPr>
          <w:r>
            <w:fldChar w:fldCharType="begin"/>
          </w:r>
          <w:r>
            <w:instrText xml:space="preserve"> styleref CharPartNo </w:instrText>
          </w:r>
          <w:r>
            <w:fldChar w:fldCharType="end"/>
          </w:r>
        </w:p>
      </w:tc>
      <w:tc>
        <w:tcPr>
          <w:tcW w:w="6007" w:type="dxa"/>
        </w:tcPr>
        <w:p w:rsidR="00C24D69" w:rsidRDefault="00B64FF3">
          <w:pPr>
            <w:pStyle w:val="HeaderTextLeft"/>
          </w:pPr>
          <w:r>
            <w:fldChar w:fldCharType="begin"/>
          </w:r>
          <w:r>
            <w:instrText xml:space="preserve"> styleref CharPartText </w:instrText>
          </w:r>
          <w:r>
            <w:fldChar w:fldCharType="end"/>
          </w:r>
        </w:p>
      </w:tc>
    </w:tr>
    <w:tr w:rsidR="00C24D69">
      <w:tc>
        <w:tcPr>
          <w:tcW w:w="1305" w:type="dxa"/>
        </w:tcPr>
        <w:p w:rsidR="00C24D69" w:rsidRDefault="00B64FF3">
          <w:pPr>
            <w:pStyle w:val="HeaderNumberLeft"/>
          </w:pPr>
          <w:r>
            <w:fldChar w:fldCharType="begin"/>
          </w:r>
          <w:r>
            <w:instrText xml:space="preserve"> styleref CharDivNo </w:instrText>
          </w:r>
          <w:r>
            <w:fldChar w:fldCharType="end"/>
          </w:r>
        </w:p>
      </w:tc>
      <w:tc>
        <w:tcPr>
          <w:tcW w:w="6007" w:type="dxa"/>
        </w:tcPr>
        <w:p w:rsidR="00C24D69" w:rsidRDefault="00B64FF3">
          <w:pPr>
            <w:pStyle w:val="HeaderTextLeft"/>
          </w:pPr>
          <w:r>
            <w:fldChar w:fldCharType="begin"/>
          </w:r>
          <w:r>
            <w:instrText xml:space="preserve"> styleref CharDivText </w:instrText>
          </w:r>
          <w:r>
            <w:fldChar w:fldCharType="end"/>
          </w:r>
        </w:p>
      </w:tc>
    </w:tr>
    <w:tr w:rsidR="00C24D69">
      <w:trPr>
        <w:cantSplit/>
      </w:trPr>
      <w:tc>
        <w:tcPr>
          <w:tcW w:w="7312" w:type="dxa"/>
          <w:gridSpan w:val="2"/>
        </w:tcPr>
        <w:p w:rsidR="00C24D69" w:rsidRDefault="00B64FF3">
          <w:pPr>
            <w:pStyle w:val="HeaderSectionLeft"/>
          </w:pPr>
          <w:r>
            <w:t xml:space="preserve">r. </w:t>
          </w:r>
          <w:fldSimple w:instr=" styleref CharSectno ">
            <w:r w:rsidR="009971F8">
              <w:rPr>
                <w:noProof/>
              </w:rPr>
              <w:t>1</w:t>
            </w:r>
          </w:fldSimple>
        </w:p>
      </w:tc>
    </w:tr>
  </w:tbl>
  <w:p w:rsidR="00C24D69" w:rsidRDefault="00C24D6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24D69">
      <w:trPr>
        <w:cantSplit/>
      </w:trPr>
      <w:tc>
        <w:tcPr>
          <w:tcW w:w="7312" w:type="dxa"/>
          <w:gridSpan w:val="2"/>
        </w:tcPr>
        <w:p w:rsidR="00C24D69" w:rsidRDefault="00B64FF3">
          <w:pPr>
            <w:pStyle w:val="HeaderActNameRight"/>
          </w:pPr>
          <w:fldSimple w:instr=" Styleref &quot;Name of Act/Reg&quot; ">
            <w:r w:rsidR="009971F8">
              <w:rPr>
                <w:noProof/>
              </w:rPr>
              <w:t>Regional Development Commissions Regulations 1994</w:t>
            </w:r>
          </w:fldSimple>
        </w:p>
      </w:tc>
    </w:tr>
    <w:tr w:rsidR="00C24D69">
      <w:tc>
        <w:tcPr>
          <w:tcW w:w="5985" w:type="dxa"/>
        </w:tcPr>
        <w:p w:rsidR="00C24D69" w:rsidRDefault="00B64FF3">
          <w:pPr>
            <w:pStyle w:val="HeaderTextRight"/>
          </w:pPr>
          <w:r>
            <w:fldChar w:fldCharType="begin"/>
          </w:r>
          <w:r>
            <w:instrText xml:space="preserve"> styleref CharPartText </w:instrText>
          </w:r>
          <w:r>
            <w:fldChar w:fldCharType="end"/>
          </w:r>
        </w:p>
      </w:tc>
      <w:tc>
        <w:tcPr>
          <w:tcW w:w="1327" w:type="dxa"/>
        </w:tcPr>
        <w:p w:rsidR="00C24D69" w:rsidRDefault="00B64FF3">
          <w:pPr>
            <w:pStyle w:val="HeaderNumberRight"/>
          </w:pPr>
          <w:r>
            <w:fldChar w:fldCharType="begin"/>
          </w:r>
          <w:r>
            <w:instrText xml:space="preserve"> styleref CharPartNo </w:instrText>
          </w:r>
          <w:r>
            <w:fldChar w:fldCharType="end"/>
          </w:r>
        </w:p>
      </w:tc>
    </w:tr>
    <w:tr w:rsidR="00C24D69">
      <w:tc>
        <w:tcPr>
          <w:tcW w:w="5985" w:type="dxa"/>
        </w:tcPr>
        <w:p w:rsidR="00C24D69" w:rsidRDefault="00B64FF3">
          <w:pPr>
            <w:pStyle w:val="HeaderTextRight"/>
          </w:pPr>
          <w:r>
            <w:fldChar w:fldCharType="begin"/>
          </w:r>
          <w:r>
            <w:instrText xml:space="preserve"> styleref CharDivText </w:instrText>
          </w:r>
          <w:r>
            <w:fldChar w:fldCharType="end"/>
          </w:r>
        </w:p>
      </w:tc>
      <w:tc>
        <w:tcPr>
          <w:tcW w:w="1327" w:type="dxa"/>
        </w:tcPr>
        <w:p w:rsidR="00C24D69" w:rsidRDefault="00B64FF3">
          <w:pPr>
            <w:pStyle w:val="HeaderNumberRight"/>
          </w:pPr>
          <w:r>
            <w:fldChar w:fldCharType="begin"/>
          </w:r>
          <w:r>
            <w:instrText xml:space="preserve"> styleref CharDivNo </w:instrText>
          </w:r>
          <w:r>
            <w:fldChar w:fldCharType="end"/>
          </w:r>
        </w:p>
      </w:tc>
    </w:tr>
    <w:tr w:rsidR="00C24D69">
      <w:trPr>
        <w:cantSplit/>
      </w:trPr>
      <w:tc>
        <w:tcPr>
          <w:tcW w:w="7312" w:type="dxa"/>
          <w:gridSpan w:val="2"/>
        </w:tcPr>
        <w:p w:rsidR="00C24D69" w:rsidRDefault="00B64FF3">
          <w:pPr>
            <w:pStyle w:val="HeaderSectionRight"/>
          </w:pPr>
          <w:r>
            <w:t xml:space="preserve">r. </w:t>
          </w:r>
          <w:fldSimple w:instr=" styleref CharSectno ">
            <w:r w:rsidR="009971F8">
              <w:rPr>
                <w:noProof/>
              </w:rPr>
              <w:t>1</w:t>
            </w:r>
          </w:fldSimple>
        </w:p>
      </w:tc>
    </w:tr>
  </w:tbl>
  <w:p w:rsidR="00C24D69" w:rsidRDefault="00C24D6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69" w:rsidRDefault="00C24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3"/>
    <w:rsid w:val="00981E69"/>
    <w:rsid w:val="009971F8"/>
    <w:rsid w:val="00B64FF3"/>
    <w:rsid w:val="00C24D69"/>
    <w:rsid w:val="00DD3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LongTitle">
    <w:name w:val="nzLong Title"/>
    <w:basedOn w:val="Normal"/>
    <w:pPr>
      <w:spacing w:before="40"/>
      <w:ind w:left="567" w:right="284"/>
    </w:pPr>
    <w:rPr>
      <w:b/>
      <w:sz w:val="20"/>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LongTitle">
    <w:name w:val="nzLong Title"/>
    <w:basedOn w:val="Normal"/>
    <w:pPr>
      <w:spacing w:before="40"/>
      <w:ind w:left="567" w:right="284"/>
    </w:pPr>
    <w:rPr>
      <w:b/>
      <w:sz w:val="20"/>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4673</Characters>
  <Application>Microsoft Office Word</Application>
  <DocSecurity>0</DocSecurity>
  <Lines>141</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Regulations 1994 - 00-a0-04</dc:title>
  <dc:subject/>
  <dc:creator>B02</dc:creator>
  <cp:keywords/>
  <cp:lastModifiedBy>svcMRProcess</cp:lastModifiedBy>
  <cp:revision>4</cp:revision>
  <cp:lastPrinted>1998-02-23T07:29:00Z</cp:lastPrinted>
  <dcterms:created xsi:type="dcterms:W3CDTF">2013-02-17T14:41:00Z</dcterms:created>
  <dcterms:modified xsi:type="dcterms:W3CDTF">2013-02-17T14:41:00Z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March 1994 pp.779-82</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00-a0-04</vt:lpwstr>
  </property>
</Properties>
</file>