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_Toc5779600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_Toc5779601 \h </w:instrText>
      </w:r>
      <w:r>
        <w:fldChar w:fldCharType="separate"/>
      </w:r>
      <w:r>
        <w:t>2</w:t>
      </w:r>
      <w:r>
        <w:fldChar w:fldCharType="end"/>
      </w:r>
    </w:p>
    <w:p>
      <w:pPr>
        <w:pStyle w:val="TOC8"/>
        <w:rPr>
          <w:rFonts w:asciiTheme="minorHAnsi" w:eastAsiaTheme="minorEastAsia" w:hAnsiTheme="minorHAnsi" w:cstheme="minorBidi"/>
          <w:szCs w:val="22"/>
        </w:rPr>
      </w:pPr>
      <w:r>
        <w:t>3.</w:t>
      </w:r>
      <w:r>
        <w:tab/>
        <w:t>Glossary of terms used</w:t>
      </w:r>
      <w:r>
        <w:tab/>
      </w:r>
      <w:r>
        <w:fldChar w:fldCharType="begin"/>
      </w:r>
      <w:r>
        <w:instrText xml:space="preserve"> PAGEREF _Toc5779602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_Toc5779603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long</w:t>
      </w:r>
      <w:r>
        <w:noBreakHyphen/>
        <w:t>stay agreement</w:t>
      </w:r>
      <w:r>
        <w:tab/>
      </w:r>
      <w:r>
        <w:fldChar w:fldCharType="begin"/>
      </w:r>
      <w:r>
        <w:instrText xml:space="preserve"> PAGEREF _Toc5779604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_Toc5779605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of Act to periodic long</w:t>
      </w:r>
      <w:r>
        <w:noBreakHyphen/>
        <w:t>stay agreements</w:t>
      </w:r>
      <w:r>
        <w:tab/>
      </w:r>
      <w:r>
        <w:fldChar w:fldCharType="begin"/>
      </w:r>
      <w:r>
        <w:instrText xml:space="preserve"> PAGEREF _Toc5779606 \h </w:instrText>
      </w:r>
      <w:r>
        <w:fldChar w:fldCharType="separate"/>
      </w:r>
      <w:r>
        <w:t>4</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_Toc5779607 \h </w:instrText>
      </w:r>
      <w:r>
        <w:fldChar w:fldCharType="separate"/>
      </w:r>
      <w:r>
        <w:t>5</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_Toc5779608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Long</w:t>
      </w:r>
      <w:r>
        <w:noBreakHyphen/>
        <w:t>stay agreement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10.</w:t>
      </w:r>
      <w:r>
        <w:tab/>
        <w:t>Form of long</w:t>
      </w:r>
      <w:r>
        <w:noBreakHyphen/>
        <w:t>stay agreements</w:t>
      </w:r>
      <w:r>
        <w:tab/>
      </w:r>
      <w:r>
        <w:fldChar w:fldCharType="begin"/>
      </w:r>
      <w:r>
        <w:instrText xml:space="preserve"> PAGEREF _Toc5779611 \h </w:instrText>
      </w:r>
      <w:r>
        <w:fldChar w:fldCharType="separate"/>
      </w:r>
      <w:r>
        <w:t>7</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_Toc5779612 \h </w:instrText>
      </w:r>
      <w:r>
        <w:fldChar w:fldCharType="separate"/>
      </w:r>
      <w:r>
        <w:t>7</w:t>
      </w:r>
      <w:r>
        <w:fldChar w:fldCharType="end"/>
      </w:r>
    </w:p>
    <w:p>
      <w:pPr>
        <w:pStyle w:val="TOC8"/>
        <w:rPr>
          <w:rFonts w:asciiTheme="minorHAnsi" w:eastAsiaTheme="minorEastAsia" w:hAnsiTheme="minorHAnsi" w:cstheme="minorBidi"/>
          <w:szCs w:val="22"/>
        </w:rPr>
      </w:pPr>
      <w:r>
        <w:t>12.</w:t>
      </w:r>
      <w:r>
        <w:tab/>
        <w:t>Restrictions on charges payable by long</w:t>
      </w:r>
      <w:r>
        <w:noBreakHyphen/>
        <w:t>stay tenants</w:t>
      </w:r>
      <w:r>
        <w:tab/>
      </w:r>
      <w:r>
        <w:fldChar w:fldCharType="begin"/>
      </w:r>
      <w:r>
        <w:instrText xml:space="preserve"> PAGEREF _Toc5779613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letting fees payable to real estate agent</w:t>
      </w:r>
      <w:r>
        <w:tab/>
      </w:r>
      <w:r>
        <w:fldChar w:fldCharType="begin"/>
      </w:r>
      <w:r>
        <w:instrText xml:space="preserve"> PAGEREF _Toc5779614 \h </w:instrText>
      </w:r>
      <w:r>
        <w:fldChar w:fldCharType="separate"/>
      </w:r>
      <w:r>
        <w:t>9</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_Toc5779615 \h </w:instrText>
      </w:r>
      <w:r>
        <w:fldChar w:fldCharType="separate"/>
      </w:r>
      <w:r>
        <w:t>10</w:t>
      </w:r>
      <w:r>
        <w:fldChar w:fldCharType="end"/>
      </w:r>
    </w:p>
    <w:p>
      <w:pPr>
        <w:pStyle w:val="TOC8"/>
        <w:rPr>
          <w:rFonts w:asciiTheme="minorHAnsi" w:eastAsiaTheme="minorEastAsia" w:hAnsiTheme="minorHAnsi" w:cstheme="minorBidi"/>
          <w:szCs w:val="22"/>
        </w:rPr>
      </w:pPr>
      <w:r>
        <w:t>15.</w:t>
      </w:r>
      <w:r>
        <w:tab/>
        <w:t>Disclosure of park operator’s particulars to tenant</w:t>
      </w:r>
      <w:r>
        <w:tab/>
      </w:r>
      <w:r>
        <w:fldChar w:fldCharType="begin"/>
      </w:r>
      <w:r>
        <w:instrText xml:space="preserve"> PAGEREF _Toc5779616 \h </w:instrText>
      </w:r>
      <w:r>
        <w:fldChar w:fldCharType="separate"/>
      </w:r>
      <w:r>
        <w:t>10</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_Toc5779617 \h </w:instrText>
      </w:r>
      <w:r>
        <w:fldChar w:fldCharType="separate"/>
      </w:r>
      <w:r>
        <w:t>11</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_Toc5779618 \h </w:instrText>
      </w:r>
      <w:r>
        <w:fldChar w:fldCharType="separate"/>
      </w:r>
      <w:r>
        <w:t>11</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_Toc5779619 \h </w:instrText>
      </w:r>
      <w:r>
        <w:fldChar w:fldCharType="separate"/>
      </w:r>
      <w:r>
        <w:t>12</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_Toc5779620 \h </w:instrText>
      </w:r>
      <w:r>
        <w:fldChar w:fldCharType="separate"/>
      </w:r>
      <w:r>
        <w:t>12</w:t>
      </w:r>
      <w:r>
        <w:fldChar w:fldCharType="end"/>
      </w:r>
    </w:p>
    <w:p>
      <w:pPr>
        <w:pStyle w:val="TOC8"/>
        <w:rPr>
          <w:rFonts w:asciiTheme="minorHAnsi" w:eastAsiaTheme="minorEastAsia" w:hAnsiTheme="minorHAnsi" w:cstheme="minorBidi"/>
          <w:szCs w:val="22"/>
        </w:rPr>
      </w:pPr>
      <w:r>
        <w:t>20.</w:t>
      </w:r>
      <w:r>
        <w:tab/>
        <w:t>Children living on agreed premises</w:t>
      </w:r>
      <w:r>
        <w:tab/>
      </w:r>
      <w:r>
        <w:fldChar w:fldCharType="begin"/>
      </w:r>
      <w:r>
        <w:instrText xml:space="preserve"> PAGEREF _Toc5779621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_Toc5779623 \h </w:instrText>
      </w:r>
      <w:r>
        <w:fldChar w:fldCharType="separate"/>
      </w:r>
      <w:r>
        <w:t>13</w:t>
      </w:r>
      <w:r>
        <w:fldChar w:fldCharType="end"/>
      </w:r>
    </w:p>
    <w:p>
      <w:pPr>
        <w:pStyle w:val="TOC8"/>
        <w:rPr>
          <w:rFonts w:asciiTheme="minorHAnsi" w:eastAsiaTheme="minorEastAsia" w:hAnsiTheme="minorHAnsi" w:cstheme="minorBidi"/>
          <w:szCs w:val="22"/>
        </w:rPr>
      </w:pPr>
      <w:r>
        <w:t>22.</w:t>
      </w:r>
      <w:r>
        <w:tab/>
        <w:t>Payment of bond to bond administrator or trust account</w:t>
      </w:r>
      <w:r>
        <w:tab/>
      </w:r>
      <w:r>
        <w:fldChar w:fldCharType="begin"/>
      </w:r>
      <w:r>
        <w:instrText xml:space="preserve"> PAGEREF _Toc5779624 \h </w:instrText>
      </w:r>
      <w:r>
        <w:fldChar w:fldCharType="separate"/>
      </w:r>
      <w:r>
        <w:t>14</w:t>
      </w:r>
      <w:r>
        <w:fldChar w:fldCharType="end"/>
      </w:r>
    </w:p>
    <w:p>
      <w:pPr>
        <w:pStyle w:val="TOC8"/>
        <w:rPr>
          <w:rFonts w:asciiTheme="minorHAnsi" w:eastAsiaTheme="minorEastAsia" w:hAnsiTheme="minorHAnsi" w:cstheme="minorBidi"/>
          <w:szCs w:val="22"/>
        </w:rPr>
      </w:pPr>
      <w:r>
        <w:t>23.</w:t>
      </w:r>
      <w:r>
        <w:tab/>
        <w:t>Keeping security bond records</w:t>
      </w:r>
      <w:r>
        <w:tab/>
      </w:r>
      <w:r>
        <w:fldChar w:fldCharType="begin"/>
      </w:r>
      <w:r>
        <w:instrText xml:space="preserve"> PAGEREF _Toc5779625 \h </w:instrText>
      </w:r>
      <w:r>
        <w:fldChar w:fldCharType="separate"/>
      </w:r>
      <w:r>
        <w:t>15</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_Toc5779626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_Toc5779628 \h </w:instrText>
      </w:r>
      <w:r>
        <w:fldChar w:fldCharType="separate"/>
      </w:r>
      <w:r>
        <w:t>17</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_Toc5779629 \h </w:instrText>
      </w:r>
      <w:r>
        <w:fldChar w:fldCharType="separate"/>
      </w:r>
      <w:r>
        <w:t>17</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_Toc5779630 \h </w:instrText>
      </w:r>
      <w:r>
        <w:fldChar w:fldCharType="separate"/>
      </w:r>
      <w:r>
        <w:t>18</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_Toc5779631 \h </w:instrText>
      </w:r>
      <w:r>
        <w:fldChar w:fldCharType="separate"/>
      </w:r>
      <w:r>
        <w:t>18</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_Toc5779632 \h </w:instrText>
      </w:r>
      <w:r>
        <w:fldChar w:fldCharType="separate"/>
      </w:r>
      <w:r>
        <w:t>18</w:t>
      </w:r>
      <w:r>
        <w:fldChar w:fldCharType="end"/>
      </w:r>
    </w:p>
    <w:p>
      <w:pPr>
        <w:pStyle w:val="TOC8"/>
        <w:rPr>
          <w:rFonts w:asciiTheme="minorHAnsi" w:eastAsiaTheme="minorEastAsia" w:hAnsiTheme="minorHAnsi" w:cstheme="minorBidi"/>
          <w:szCs w:val="22"/>
        </w:rPr>
      </w:pPr>
      <w:r>
        <w:t>30.</w:t>
      </w:r>
      <w:r>
        <w:tab/>
        <w:t>Variation of rent under on</w:t>
      </w:r>
      <w:r>
        <w:noBreakHyphen/>
        <w:t>site home agreement</w:t>
      </w:r>
      <w:r>
        <w:tab/>
      </w:r>
      <w:r>
        <w:fldChar w:fldCharType="begin"/>
      </w:r>
      <w:r>
        <w:instrText xml:space="preserve"> PAGEREF _Toc5779633 \h </w:instrText>
      </w:r>
      <w:r>
        <w:fldChar w:fldCharType="separate"/>
      </w:r>
      <w:r>
        <w:t>18</w:t>
      </w:r>
      <w:r>
        <w:fldChar w:fldCharType="end"/>
      </w:r>
    </w:p>
    <w:p>
      <w:pPr>
        <w:pStyle w:val="TOC8"/>
        <w:rPr>
          <w:rFonts w:asciiTheme="minorHAnsi" w:eastAsiaTheme="minorEastAsia" w:hAnsiTheme="minorHAnsi" w:cstheme="minorBidi"/>
          <w:szCs w:val="22"/>
        </w:rPr>
      </w:pPr>
      <w:r>
        <w:t>31.</w:t>
      </w:r>
      <w:r>
        <w:tab/>
        <w:t>Variation of rent on the basis of current market rent</w:t>
      </w:r>
      <w:r>
        <w:tab/>
      </w:r>
      <w:r>
        <w:fldChar w:fldCharType="begin"/>
      </w:r>
      <w:r>
        <w:instrText xml:space="preserve"> PAGEREF _Toc5779634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Terms of long</w:t>
      </w:r>
      <w:r>
        <w:noBreakHyphen/>
        <w:t>stay agreements</w:t>
      </w:r>
    </w:p>
    <w:p>
      <w:pPr>
        <w:pStyle w:val="TOC8"/>
        <w:rPr>
          <w:rFonts w:asciiTheme="minorHAnsi" w:eastAsiaTheme="minorEastAsia" w:hAnsiTheme="minorHAnsi" w:cstheme="minorBidi"/>
          <w:szCs w:val="22"/>
        </w:rPr>
      </w:pPr>
      <w:r>
        <w:t>32.</w:t>
      </w:r>
      <w:r>
        <w:tab/>
        <w:t>Terms of long</w:t>
      </w:r>
      <w:r>
        <w:noBreakHyphen/>
        <w:t>stay agreements — Schedule 1</w:t>
      </w:r>
      <w:r>
        <w:tab/>
      </w:r>
      <w:r>
        <w:fldChar w:fldCharType="begin"/>
      </w:r>
      <w:r>
        <w:instrText xml:space="preserve"> PAGEREF _Toc5779636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33.</w:t>
      </w:r>
      <w:r>
        <w:tab/>
      </w:r>
      <w:r>
        <w:rPr>
          <w:snapToGrid w:val="0"/>
        </w:rPr>
        <w:t>How long</w:t>
      </w:r>
      <w:r>
        <w:rPr>
          <w:snapToGrid w:val="0"/>
        </w:rPr>
        <w:noBreakHyphen/>
        <w:t>stay agreements and tenant’s interests in agreements are terminated</w:t>
      </w:r>
      <w:r>
        <w:tab/>
      </w:r>
      <w:r>
        <w:fldChar w:fldCharType="begin"/>
      </w:r>
      <w:r>
        <w:instrText xml:space="preserve"> PAGEREF _Toc5779639 \h </w:instrText>
      </w:r>
      <w:r>
        <w:fldChar w:fldCharType="separate"/>
      </w:r>
      <w:r>
        <w:t>21</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_Toc5779640 \h </w:instrText>
      </w:r>
      <w:r>
        <w:fldChar w:fldCharType="separate"/>
      </w:r>
      <w:r>
        <w:t>22</w:t>
      </w:r>
      <w:r>
        <w:fldChar w:fldCharType="end"/>
      </w:r>
    </w:p>
    <w:p>
      <w:pPr>
        <w:pStyle w:val="TOC8"/>
        <w:rPr>
          <w:rFonts w:asciiTheme="minorHAnsi" w:eastAsiaTheme="minorEastAsia" w:hAnsiTheme="minorHAnsi" w:cstheme="minorBidi"/>
          <w:szCs w:val="22"/>
        </w:rPr>
      </w:pPr>
      <w:r>
        <w:t>35.</w:t>
      </w:r>
      <w:r>
        <w:tab/>
        <w:t>Withholding rent in anticipation of release of security bond</w:t>
      </w:r>
      <w:r>
        <w:tab/>
      </w:r>
      <w:r>
        <w:fldChar w:fldCharType="begin"/>
      </w:r>
      <w:r>
        <w:instrText xml:space="preserve"> PAGEREF _Toc5779641 \h </w:instrText>
      </w:r>
      <w:r>
        <w:fldChar w:fldCharType="separate"/>
      </w:r>
      <w:r>
        <w:t>22</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_Toc5779642 \h </w:instrText>
      </w:r>
      <w:r>
        <w:fldChar w:fldCharType="separate"/>
      </w:r>
      <w:r>
        <w:t>23</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_Toc5779643 \h </w:instrText>
      </w:r>
      <w:r>
        <w:fldChar w:fldCharType="separate"/>
      </w:r>
      <w:r>
        <w:t>23</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_Toc5779644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_Toc5779646 \h </w:instrText>
      </w:r>
      <w:r>
        <w:fldChar w:fldCharType="separate"/>
      </w:r>
      <w:r>
        <w:t>23</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_Toc5779647 \h </w:instrText>
      </w:r>
      <w:r>
        <w:fldChar w:fldCharType="separate"/>
      </w:r>
      <w:r>
        <w:t>25</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_Toc5779648 \h </w:instrText>
      </w:r>
      <w:r>
        <w:fldChar w:fldCharType="separate"/>
      </w:r>
      <w:r>
        <w:t>26</w:t>
      </w:r>
      <w:r>
        <w:fldChar w:fldCharType="end"/>
      </w:r>
    </w:p>
    <w:p>
      <w:pPr>
        <w:pStyle w:val="TOC8"/>
        <w:rPr>
          <w:rFonts w:asciiTheme="minorHAnsi" w:eastAsiaTheme="minorEastAsia" w:hAnsiTheme="minorHAnsi" w:cstheme="minorBidi"/>
          <w:szCs w:val="22"/>
        </w:rPr>
      </w:pPr>
      <w:r>
        <w:t>42.</w:t>
      </w:r>
      <w:r>
        <w:tab/>
        <w:t>Termination by park operator without grounds</w:t>
      </w:r>
      <w:r>
        <w:tab/>
      </w:r>
      <w:r>
        <w:fldChar w:fldCharType="begin"/>
      </w:r>
      <w:r>
        <w:instrText xml:space="preserve"> PAGEREF _Toc5779649 \h </w:instrText>
      </w:r>
      <w:r>
        <w:fldChar w:fldCharType="separate"/>
      </w:r>
      <w:r>
        <w:t>27</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_Toc5779650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_Toc5779652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_Toc5779654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4A — Special provisions about termination of tenant’s interest on grounds of family violence</w:t>
      </w:r>
    </w:p>
    <w:p>
      <w:pPr>
        <w:pStyle w:val="TOC8"/>
        <w:rPr>
          <w:rFonts w:asciiTheme="minorHAnsi" w:eastAsiaTheme="minorEastAsia" w:hAnsiTheme="minorHAnsi" w:cstheme="minorBidi"/>
          <w:szCs w:val="22"/>
        </w:rPr>
      </w:pPr>
      <w:r>
        <w:t>45A.</w:t>
      </w:r>
      <w:r>
        <w:tab/>
        <w:t>Notice of termination of tenant’s interest on ground that tenant subject to family violence</w:t>
      </w:r>
      <w:r>
        <w:tab/>
      </w:r>
      <w:r>
        <w:fldChar w:fldCharType="begin"/>
      </w:r>
      <w:r>
        <w:instrText xml:space="preserve"> PAGEREF _Toc5779656 \h </w:instrText>
      </w:r>
      <w:r>
        <w:fldChar w:fldCharType="separate"/>
      </w:r>
      <w:r>
        <w:t>30</w:t>
      </w:r>
      <w:r>
        <w:fldChar w:fldCharType="end"/>
      </w:r>
    </w:p>
    <w:p>
      <w:pPr>
        <w:pStyle w:val="TOC8"/>
        <w:rPr>
          <w:rFonts w:asciiTheme="minorHAnsi" w:eastAsiaTheme="minorEastAsia" w:hAnsiTheme="minorHAnsi" w:cstheme="minorBidi"/>
          <w:szCs w:val="22"/>
        </w:rPr>
      </w:pPr>
      <w:r>
        <w:t>45B.</w:t>
      </w:r>
      <w:r>
        <w:tab/>
        <w:t>Rights of co</w:t>
      </w:r>
      <w:r>
        <w:noBreakHyphen/>
        <w:t>tenants after notice under s. 45A</w:t>
      </w:r>
      <w:r>
        <w:tab/>
      </w:r>
      <w:r>
        <w:fldChar w:fldCharType="begin"/>
      </w:r>
      <w:r>
        <w:instrText xml:space="preserve"> PAGEREF _Toc5779657 \h </w:instrText>
      </w:r>
      <w:r>
        <w:fldChar w:fldCharType="separate"/>
      </w:r>
      <w:r>
        <w:t>32</w:t>
      </w:r>
      <w:r>
        <w:fldChar w:fldCharType="end"/>
      </w:r>
    </w:p>
    <w:p>
      <w:pPr>
        <w:pStyle w:val="TOC8"/>
        <w:rPr>
          <w:rFonts w:asciiTheme="minorHAnsi" w:eastAsiaTheme="minorEastAsia" w:hAnsiTheme="minorHAnsi" w:cstheme="minorBidi"/>
          <w:szCs w:val="22"/>
        </w:rPr>
      </w:pPr>
      <w:r>
        <w:t>45C.</w:t>
      </w:r>
      <w:r>
        <w:tab/>
        <w:t>Review of Division</w:t>
      </w:r>
      <w:r>
        <w:tab/>
      </w:r>
      <w:r>
        <w:fldChar w:fldCharType="begin"/>
      </w:r>
      <w:r>
        <w:instrText xml:space="preserve"> PAGEREF _Toc5779658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w:t>
      </w:r>
      <w:r>
        <w:tab/>
      </w:r>
      <w:r>
        <w:fldChar w:fldCharType="begin"/>
      </w:r>
      <w:r>
        <w:instrText xml:space="preserve"> PAGEREF _Toc5779660 \h </w:instrText>
      </w:r>
      <w:r>
        <w:fldChar w:fldCharType="separate"/>
      </w:r>
      <w:r>
        <w:t>33</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_Toc5779661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48.</w:t>
      </w:r>
      <w:r>
        <w:tab/>
        <w:t>Disposing of goods abandoned by tenant</w:t>
      </w:r>
      <w:r>
        <w:tab/>
      </w:r>
      <w:r>
        <w:fldChar w:fldCharType="begin"/>
      </w:r>
      <w:r>
        <w:instrText xml:space="preserve"> PAGEREF _Toc5779663 \h </w:instrText>
      </w:r>
      <w:r>
        <w:fldChar w:fldCharType="separate"/>
      </w:r>
      <w:r>
        <w:t>34</w:t>
      </w:r>
      <w:r>
        <w:fldChar w:fldCharType="end"/>
      </w:r>
    </w:p>
    <w:p>
      <w:pPr>
        <w:pStyle w:val="TOC8"/>
        <w:rPr>
          <w:rFonts w:asciiTheme="minorHAnsi" w:eastAsiaTheme="minorEastAsia" w:hAnsiTheme="minorHAnsi" w:cstheme="minorBidi"/>
          <w:szCs w:val="22"/>
        </w:rPr>
      </w:pPr>
      <w:r>
        <w:t>49.</w:t>
      </w:r>
      <w:r>
        <w:tab/>
        <w:t>Tenant’s right to reclaim abandoned goods put into storage</w:t>
      </w:r>
      <w:r>
        <w:tab/>
      </w:r>
      <w:r>
        <w:fldChar w:fldCharType="begin"/>
      </w:r>
      <w:r>
        <w:instrText xml:space="preserve"> PAGEREF _Toc5779664 \h </w:instrText>
      </w:r>
      <w:r>
        <w:fldChar w:fldCharType="separate"/>
      </w:r>
      <w:r>
        <w:t>35</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_Toc5779665 \h </w:instrText>
      </w:r>
      <w:r>
        <w:fldChar w:fldCharType="separate"/>
      </w:r>
      <w:r>
        <w:t>35</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_Toc5779666 \h </w:instrText>
      </w:r>
      <w:r>
        <w:fldChar w:fldCharType="separate"/>
      </w:r>
      <w:r>
        <w:t>35</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_Toc5779667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_Toc5779669 \h </w:instrText>
      </w:r>
      <w:r>
        <w:fldChar w:fldCharType="separate"/>
      </w:r>
      <w:r>
        <w:t>36</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_Toc5779670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77"/>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_Toc5779673 \h </w:instrText>
      </w:r>
      <w:r>
        <w:fldChar w:fldCharType="separate"/>
      </w:r>
      <w:r>
        <w:t>37</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_Toc5779674 \h </w:instrText>
      </w:r>
      <w:r>
        <w:fldChar w:fldCharType="separate"/>
      </w:r>
      <w:r>
        <w:t>37</w:t>
      </w:r>
      <w:r>
        <w:fldChar w:fldCharType="end"/>
      </w:r>
    </w:p>
    <w:p>
      <w:pPr>
        <w:pStyle w:val="TOC8"/>
        <w:rPr>
          <w:rFonts w:asciiTheme="minorHAnsi" w:eastAsiaTheme="minorEastAsia" w:hAnsiTheme="minorHAnsi" w:cstheme="minorBidi"/>
          <w:szCs w:val="22"/>
        </w:rPr>
      </w:pPr>
      <w:r>
        <w:t>57.</w:t>
      </w:r>
      <w:r>
        <w:tab/>
        <w:t>When park operator acts as agent in sale on site</w:t>
      </w:r>
      <w:r>
        <w:tab/>
      </w:r>
      <w:r>
        <w:fldChar w:fldCharType="begin"/>
      </w:r>
      <w:r>
        <w:instrText xml:space="preserve"> PAGEREF _Toc5779675 \h </w:instrText>
      </w:r>
      <w:r>
        <w:fldChar w:fldCharType="separate"/>
      </w:r>
      <w:r>
        <w:t>38</w:t>
      </w:r>
      <w:r>
        <w:fldChar w:fldCharType="end"/>
      </w:r>
    </w:p>
    <w:p>
      <w:pPr>
        <w:pStyle w:val="TOC8"/>
        <w:rPr>
          <w:rFonts w:asciiTheme="minorHAnsi" w:eastAsiaTheme="minorEastAsia" w:hAnsiTheme="minorHAnsi" w:cstheme="minorBidi"/>
          <w:szCs w:val="22"/>
        </w:rPr>
      </w:pPr>
      <w:r>
        <w:t>58.</w:t>
      </w:r>
      <w:r>
        <w:tab/>
        <w:t>Park operator’s authority to act as selling agent</w:t>
      </w:r>
      <w:r>
        <w:tab/>
      </w:r>
      <w:r>
        <w:fldChar w:fldCharType="begin"/>
      </w:r>
      <w:r>
        <w:instrText xml:space="preserve"> PAGEREF _Toc5779676 \h </w:instrText>
      </w:r>
      <w:r>
        <w:fldChar w:fldCharType="separate"/>
      </w:r>
      <w:r>
        <w:t>38</w:t>
      </w:r>
      <w:r>
        <w:fldChar w:fldCharType="end"/>
      </w:r>
    </w:p>
    <w:p>
      <w:pPr>
        <w:pStyle w:val="TOC8"/>
        <w:rPr>
          <w:rFonts w:asciiTheme="minorHAnsi" w:eastAsiaTheme="minorEastAsia" w:hAnsiTheme="minorHAnsi" w:cstheme="minorBidi"/>
          <w:szCs w:val="22"/>
        </w:rPr>
      </w:pPr>
      <w:r>
        <w:t>58A.</w:t>
      </w:r>
      <w:r>
        <w:tab/>
        <w:t>Discrimination against tenants subjected or exposed to family violence</w:t>
      </w:r>
      <w:r>
        <w:tab/>
      </w:r>
      <w:r>
        <w:fldChar w:fldCharType="begin"/>
      </w:r>
      <w:r>
        <w:instrText xml:space="preserve"> PAGEREF _Toc5779677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_Toc5779679 \h </w:instrText>
      </w:r>
      <w:r>
        <w:fldChar w:fldCharType="separate"/>
      </w:r>
      <w:r>
        <w:t>39</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_Toc5779680 \h </w:instrText>
      </w:r>
      <w:r>
        <w:fldChar w:fldCharType="separate"/>
      </w:r>
      <w:r>
        <w:t>40</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_Toc5779681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State Administrative Tribunal powers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Breaches of agreement and other disputes</w:t>
      </w:r>
      <w:r>
        <w:tab/>
      </w:r>
      <w:r>
        <w:fldChar w:fldCharType="begin"/>
      </w:r>
      <w:r>
        <w:instrText xml:space="preserve"> PAGEREF _Toc5779684 \h </w:instrText>
      </w:r>
      <w:r>
        <w:fldChar w:fldCharType="separate"/>
      </w:r>
      <w:r>
        <w:t>42</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_Toc5779685 \h </w:instrText>
      </w:r>
      <w:r>
        <w:fldChar w:fldCharType="separate"/>
      </w:r>
      <w:r>
        <w:t>43</w:t>
      </w:r>
      <w:r>
        <w:fldChar w:fldCharType="end"/>
      </w:r>
    </w:p>
    <w:p>
      <w:pPr>
        <w:pStyle w:val="TOC8"/>
        <w:rPr>
          <w:rFonts w:asciiTheme="minorHAnsi" w:eastAsiaTheme="minorEastAsia" w:hAnsiTheme="minorHAnsi" w:cstheme="minorBidi"/>
          <w:szCs w:val="22"/>
        </w:rPr>
      </w:pPr>
      <w:r>
        <w:t>64.</w:t>
      </w:r>
      <w:r>
        <w:tab/>
        <w:t>Orders when premises abandoned by tenant</w:t>
      </w:r>
      <w:r>
        <w:tab/>
      </w:r>
      <w:r>
        <w:fldChar w:fldCharType="begin"/>
      </w:r>
      <w:r>
        <w:instrText xml:space="preserve"> PAGEREF _Toc5779686 \h </w:instrText>
      </w:r>
      <w:r>
        <w:fldChar w:fldCharType="separate"/>
      </w:r>
      <w:r>
        <w:t>45</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w:t>
      </w:r>
      <w:r>
        <w:tab/>
      </w:r>
      <w:r>
        <w:fldChar w:fldCharType="begin"/>
      </w:r>
      <w:r>
        <w:instrText xml:space="preserve"> PAGEREF _Toc5779687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_Toc5779689 \h </w:instrText>
      </w:r>
      <w:r>
        <w:fldChar w:fldCharType="separate"/>
      </w:r>
      <w:r>
        <w:t>47</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_Toc5779690 \h </w:instrText>
      </w:r>
      <w:r>
        <w:fldChar w:fldCharType="separate"/>
      </w:r>
      <w:r>
        <w:t>48</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_Toc5779691 \h </w:instrText>
      </w:r>
      <w:r>
        <w:fldChar w:fldCharType="separate"/>
      </w:r>
      <w:r>
        <w:t>49</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_Toc5779692 \h </w:instrText>
      </w:r>
      <w:r>
        <w:fldChar w:fldCharType="separate"/>
      </w:r>
      <w:r>
        <w:t>51</w:t>
      </w:r>
      <w:r>
        <w:fldChar w:fldCharType="end"/>
      </w:r>
    </w:p>
    <w:p>
      <w:pPr>
        <w:pStyle w:val="TOC8"/>
        <w:rPr>
          <w:rFonts w:asciiTheme="minorHAnsi" w:eastAsiaTheme="minorEastAsia" w:hAnsiTheme="minorHAnsi" w:cstheme="minorBidi"/>
          <w:szCs w:val="22"/>
        </w:rPr>
      </w:pPr>
      <w:r>
        <w:t>70.</w:t>
      </w:r>
      <w:r>
        <w:tab/>
        <w:t>Tenant’s protection against holder of superior title</w:t>
      </w:r>
      <w:r>
        <w:tab/>
      </w:r>
      <w:r>
        <w:fldChar w:fldCharType="begin"/>
      </w:r>
      <w:r>
        <w:instrText xml:space="preserve"> PAGEREF _Toc5779693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_Toc5779695 \h </w:instrText>
      </w:r>
      <w:r>
        <w:fldChar w:fldCharType="separate"/>
      </w:r>
      <w:r>
        <w:t>52</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_Toc5779696 \h </w:instrText>
      </w:r>
      <w:r>
        <w:fldChar w:fldCharType="separate"/>
      </w:r>
      <w:r>
        <w:t>53</w:t>
      </w:r>
      <w:r>
        <w:fldChar w:fldCharType="end"/>
      </w:r>
    </w:p>
    <w:p>
      <w:pPr>
        <w:pStyle w:val="TOC8"/>
        <w:rPr>
          <w:rFonts w:asciiTheme="minorHAnsi" w:eastAsiaTheme="minorEastAsia" w:hAnsiTheme="minorHAnsi" w:cstheme="minorBidi"/>
          <w:szCs w:val="22"/>
        </w:rPr>
      </w:pPr>
      <w:r>
        <w:t>73.</w:t>
      </w:r>
      <w:r>
        <w:tab/>
        <w:t>Termination on grounds of hardship to park operator</w:t>
      </w:r>
      <w:r>
        <w:tab/>
      </w:r>
      <w:r>
        <w:fldChar w:fldCharType="begin"/>
      </w:r>
      <w:r>
        <w:instrText xml:space="preserve"> PAGEREF _Toc5779697 \h </w:instrText>
      </w:r>
      <w:r>
        <w:fldChar w:fldCharType="separate"/>
      </w:r>
      <w:r>
        <w:t>53</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_Toc5779698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3A — Orders relating to termination of tenant’s interest on grounds of family violence</w:t>
      </w:r>
    </w:p>
    <w:p>
      <w:pPr>
        <w:pStyle w:val="TOC8"/>
        <w:rPr>
          <w:rFonts w:asciiTheme="minorHAnsi" w:eastAsiaTheme="minorEastAsia" w:hAnsiTheme="minorHAnsi" w:cstheme="minorBidi"/>
          <w:szCs w:val="22"/>
        </w:rPr>
      </w:pPr>
      <w:r>
        <w:t>74A.</w:t>
      </w:r>
      <w:r>
        <w:tab/>
        <w:t>Review of notice of termination under s. 45A</w:t>
      </w:r>
      <w:r>
        <w:tab/>
      </w:r>
      <w:r>
        <w:fldChar w:fldCharType="begin"/>
      </w:r>
      <w:r>
        <w:instrText xml:space="preserve"> PAGEREF _Toc5779700 \h </w:instrText>
      </w:r>
      <w:r>
        <w:fldChar w:fldCharType="separate"/>
      </w:r>
      <w:r>
        <w:t>54</w:t>
      </w:r>
      <w:r>
        <w:fldChar w:fldCharType="end"/>
      </w:r>
    </w:p>
    <w:p>
      <w:pPr>
        <w:pStyle w:val="TOC8"/>
        <w:rPr>
          <w:rFonts w:asciiTheme="minorHAnsi" w:eastAsiaTheme="minorEastAsia" w:hAnsiTheme="minorHAnsi" w:cstheme="minorBidi"/>
          <w:szCs w:val="22"/>
        </w:rPr>
      </w:pPr>
      <w:r>
        <w:t>74B.</w:t>
      </w:r>
      <w:r>
        <w:tab/>
        <w:t>Termination of tenant’s interest by SAT on grounds of family violence</w:t>
      </w:r>
      <w:r>
        <w:tab/>
      </w:r>
      <w:r>
        <w:fldChar w:fldCharType="begin"/>
      </w:r>
      <w:r>
        <w:instrText xml:space="preserve"> PAGEREF _Toc5779701 \h </w:instrText>
      </w:r>
      <w:r>
        <w:fldChar w:fldCharType="separate"/>
      </w:r>
      <w:r>
        <w:t>55</w:t>
      </w:r>
      <w:r>
        <w:fldChar w:fldCharType="end"/>
      </w:r>
    </w:p>
    <w:p>
      <w:pPr>
        <w:pStyle w:val="TOC8"/>
        <w:rPr>
          <w:rFonts w:asciiTheme="minorHAnsi" w:eastAsiaTheme="minorEastAsia" w:hAnsiTheme="minorHAnsi" w:cstheme="minorBidi"/>
          <w:szCs w:val="22"/>
        </w:rPr>
      </w:pPr>
      <w:r>
        <w:t>74C.</w:t>
      </w:r>
      <w:r>
        <w:tab/>
        <w:t>Determination of rights and liabilities after termination of tenant’s interest on grounds of family violence</w:t>
      </w:r>
      <w:r>
        <w:tab/>
      </w:r>
      <w:r>
        <w:fldChar w:fldCharType="begin"/>
      </w:r>
      <w:r>
        <w:instrText xml:space="preserve"> PAGEREF _Toc5779702 \h </w:instrText>
      </w:r>
      <w:r>
        <w:fldChar w:fldCharType="separate"/>
      </w:r>
      <w:r>
        <w:t>56</w:t>
      </w:r>
      <w:r>
        <w:fldChar w:fldCharType="end"/>
      </w:r>
    </w:p>
    <w:p>
      <w:pPr>
        <w:pStyle w:val="TOC8"/>
        <w:rPr>
          <w:rFonts w:asciiTheme="minorHAnsi" w:eastAsiaTheme="minorEastAsia" w:hAnsiTheme="minorHAnsi" w:cstheme="minorBidi"/>
          <w:szCs w:val="22"/>
        </w:rPr>
      </w:pPr>
      <w:r>
        <w:t>74D.</w:t>
      </w:r>
      <w:r>
        <w:tab/>
        <w:t>Review of Division</w:t>
      </w:r>
      <w:r>
        <w:tab/>
      </w:r>
      <w:r>
        <w:fldChar w:fldCharType="begin"/>
      </w:r>
      <w:r>
        <w:instrText xml:space="preserve"> PAGEREF _Toc5779703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_Toc5779705 \h </w:instrText>
      </w:r>
      <w:r>
        <w:fldChar w:fldCharType="separate"/>
      </w:r>
      <w:r>
        <w:t>59</w:t>
      </w:r>
      <w:r>
        <w:fldChar w:fldCharType="end"/>
      </w:r>
    </w:p>
    <w:p>
      <w:pPr>
        <w:pStyle w:val="TOC8"/>
        <w:rPr>
          <w:rFonts w:asciiTheme="minorHAnsi" w:eastAsiaTheme="minorEastAsia" w:hAnsiTheme="minorHAnsi" w:cstheme="minorBidi"/>
          <w:szCs w:val="22"/>
        </w:rPr>
      </w:pPr>
      <w:r>
        <w:t>76.</w:t>
      </w:r>
      <w:r>
        <w:tab/>
        <w:t>Park operator’s claim if sale proceeds insufficient</w:t>
      </w:r>
      <w:r>
        <w:tab/>
      </w:r>
      <w:r>
        <w:fldChar w:fldCharType="begin"/>
      </w:r>
      <w:r>
        <w:instrText xml:space="preserve"> PAGEREF _Toc5779706 \h </w:instrText>
      </w:r>
      <w:r>
        <w:fldChar w:fldCharType="separate"/>
      </w:r>
      <w:r>
        <w:t>59</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_Toc5779707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_Toc5779709 \h </w:instrText>
      </w:r>
      <w:r>
        <w:fldChar w:fldCharType="separate"/>
      </w:r>
      <w:r>
        <w:t>60</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_Toc5779710 \h </w:instrText>
      </w:r>
      <w:r>
        <w:fldChar w:fldCharType="separate"/>
      </w:r>
      <w:r>
        <w:t>60</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_Toc5779711 \h </w:instrText>
      </w:r>
      <w:r>
        <w:fldChar w:fldCharType="separate"/>
      </w:r>
      <w:r>
        <w:t>61</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_Toc5779712 \h </w:instrText>
      </w:r>
      <w:r>
        <w:fldChar w:fldCharType="separate"/>
      </w:r>
      <w:r>
        <w:t>61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_Toc5779713 \h </w:instrText>
      </w:r>
      <w:r>
        <w:fldChar w:fldCharType="separate"/>
      </w:r>
      <w:r>
        <w:t>62</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_Toc5779714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_Toc5779716 \h </w:instrText>
      </w:r>
      <w:r>
        <w:fldChar w:fldCharType="separate"/>
      </w:r>
      <w:r>
        <w:t>64</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_Toc5779717 \h </w:instrText>
      </w:r>
      <w:r>
        <w:fldChar w:fldCharType="separate"/>
      </w:r>
      <w:r>
        <w:t>64</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_Toc5779718 \h </w:instrText>
      </w:r>
      <w:r>
        <w:fldChar w:fldCharType="separate"/>
      </w:r>
      <w:r>
        <w:t>65</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_Toc5779719 \h </w:instrText>
      </w:r>
      <w:r>
        <w:fldChar w:fldCharType="separate"/>
      </w:r>
      <w:r>
        <w:t>65</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_Toc5779720 \h </w:instrText>
      </w:r>
      <w:r>
        <w:fldChar w:fldCharType="separate"/>
      </w:r>
      <w:r>
        <w:t>66</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_Toc5779721 \h </w:instrText>
      </w:r>
      <w:r>
        <w:fldChar w:fldCharType="separate"/>
      </w:r>
      <w:r>
        <w:t>66</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_Toc5779722 \h </w:instrText>
      </w:r>
      <w:r>
        <w:fldChar w:fldCharType="separate"/>
      </w:r>
      <w:r>
        <w:t>66</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_Toc5779723 \h </w:instrText>
      </w:r>
      <w:r>
        <w:fldChar w:fldCharType="separate"/>
      </w:r>
      <w:r>
        <w:t>67</w:t>
      </w:r>
      <w:r>
        <w:fldChar w:fldCharType="end"/>
      </w:r>
    </w:p>
    <w:p>
      <w:pPr>
        <w:pStyle w:val="TOC8"/>
        <w:rPr>
          <w:rFonts w:asciiTheme="minorHAnsi" w:eastAsiaTheme="minorEastAsia" w:hAnsiTheme="minorHAnsi" w:cstheme="minorBidi"/>
          <w:szCs w:val="22"/>
        </w:rPr>
      </w:pPr>
      <w:r>
        <w:t>92.</w:t>
      </w:r>
      <w:r>
        <w:tab/>
        <w:t>Terms on which ADI holds security bond amounts</w:t>
      </w:r>
      <w:r>
        <w:tab/>
      </w:r>
      <w:r>
        <w:fldChar w:fldCharType="begin"/>
      </w:r>
      <w:r>
        <w:instrText xml:space="preserve"> PAGEREF _Toc5779724 \h </w:instrText>
      </w:r>
      <w:r>
        <w:fldChar w:fldCharType="separate"/>
      </w:r>
      <w:r>
        <w:t>67</w:t>
      </w:r>
      <w:r>
        <w:fldChar w:fldCharType="end"/>
      </w:r>
    </w:p>
    <w:p>
      <w:pPr>
        <w:pStyle w:val="TOC8"/>
        <w:rPr>
          <w:rFonts w:asciiTheme="minorHAnsi" w:eastAsiaTheme="minorEastAsia" w:hAnsiTheme="minorHAnsi" w:cstheme="minorBidi"/>
          <w:szCs w:val="22"/>
        </w:rPr>
      </w:pPr>
      <w:r>
        <w:t>93.</w:t>
      </w:r>
      <w:r>
        <w:tab/>
        <w:t>Information from ADI about tenancy bond accounts</w:t>
      </w:r>
      <w:r>
        <w:tab/>
      </w:r>
      <w:r>
        <w:fldChar w:fldCharType="begin"/>
      </w:r>
      <w:r>
        <w:instrText xml:space="preserve"> PAGEREF _Toc5779725 \h </w:instrText>
      </w:r>
      <w:r>
        <w:fldChar w:fldCharType="separate"/>
      </w:r>
      <w:r>
        <w:t>68</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_Toc5779726 \h </w:instrText>
      </w:r>
      <w:r>
        <w:fldChar w:fldCharType="separate"/>
      </w:r>
      <w:r>
        <w:t>70</w:t>
      </w:r>
      <w:r>
        <w:fldChar w:fldCharType="end"/>
      </w:r>
    </w:p>
    <w:p>
      <w:pPr>
        <w:pStyle w:val="TOC8"/>
        <w:rPr>
          <w:rFonts w:asciiTheme="minorHAnsi" w:eastAsiaTheme="minorEastAsia" w:hAnsiTheme="minorHAnsi" w:cstheme="minorBidi"/>
          <w:szCs w:val="22"/>
        </w:rPr>
      </w:pPr>
      <w:r>
        <w:t>94A.</w:t>
      </w:r>
      <w:r>
        <w:tab/>
        <w:t>Cross</w:t>
      </w:r>
      <w:r>
        <w:noBreakHyphen/>
        <w:t>examination of persons in proceedings involving family violence</w:t>
      </w:r>
      <w:r>
        <w:tab/>
      </w:r>
      <w:r>
        <w:fldChar w:fldCharType="begin"/>
      </w:r>
      <w:r>
        <w:instrText xml:space="preserve"> PAGEREF _Toc5779727 \h </w:instrText>
      </w:r>
      <w:r>
        <w:fldChar w:fldCharType="separate"/>
      </w:r>
      <w:r>
        <w:t>70</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_Toc5779728 \h </w:instrText>
      </w:r>
      <w:r>
        <w:fldChar w:fldCharType="separate"/>
      </w:r>
      <w:r>
        <w:t>70</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_Toc5779729 \h </w:instrText>
      </w:r>
      <w:r>
        <w:fldChar w:fldCharType="separate"/>
      </w:r>
      <w:r>
        <w:t>72</w:t>
      </w:r>
      <w:r>
        <w:fldChar w:fldCharType="end"/>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_Toc5779730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Terms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Vacant possession and no impediment to occupation</w:t>
      </w:r>
    </w:p>
    <w:p>
      <w:pPr>
        <w:pStyle w:val="TOC8"/>
        <w:rPr>
          <w:rFonts w:asciiTheme="minorHAnsi" w:eastAsiaTheme="minorEastAsia" w:hAnsiTheme="minorHAnsi" w:cstheme="minorBidi"/>
          <w:szCs w:val="22"/>
        </w:rPr>
      </w:pPr>
      <w:r>
        <w:t>1.</w:t>
      </w:r>
      <w:r>
        <w:tab/>
        <w:t>Vacant possession</w:t>
      </w:r>
      <w:r>
        <w:tab/>
      </w:r>
      <w:r>
        <w:fldChar w:fldCharType="begin"/>
      </w:r>
      <w:r>
        <w:instrText xml:space="preserve"> PAGEREF _Toc5779733 \h </w:instrText>
      </w:r>
      <w:r>
        <w:fldChar w:fldCharType="separate"/>
      </w:r>
      <w:r>
        <w:t>74</w:t>
      </w:r>
      <w:r>
        <w:fldChar w:fldCharType="end"/>
      </w:r>
    </w:p>
    <w:p>
      <w:pPr>
        <w:pStyle w:val="TOC8"/>
        <w:rPr>
          <w:rFonts w:asciiTheme="minorHAnsi" w:eastAsiaTheme="minorEastAsia" w:hAnsiTheme="minorHAnsi" w:cstheme="minorBidi"/>
          <w:szCs w:val="22"/>
        </w:rPr>
      </w:pPr>
      <w:r>
        <w:t>2.</w:t>
      </w:r>
      <w:r>
        <w:tab/>
        <w:t>No legal impediment to occupation of tenanted premises</w:t>
      </w:r>
      <w:r>
        <w:tab/>
      </w:r>
      <w:r>
        <w:fldChar w:fldCharType="begin"/>
      </w:r>
      <w:r>
        <w:instrText xml:space="preserve"> PAGEREF _Toc5779734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Variation of rent</w:t>
      </w:r>
    </w:p>
    <w:p>
      <w:pPr>
        <w:pStyle w:val="TOC8"/>
        <w:rPr>
          <w:rFonts w:asciiTheme="minorHAnsi" w:eastAsiaTheme="minorEastAsia" w:hAnsiTheme="minorHAnsi" w:cstheme="minorBidi"/>
          <w:szCs w:val="22"/>
        </w:rPr>
      </w:pPr>
      <w:r>
        <w:t>3.</w:t>
      </w:r>
      <w:r>
        <w:tab/>
        <w:t>Provision for rent variation — on</w:t>
      </w:r>
      <w:r>
        <w:noBreakHyphen/>
        <w:t>site home agreement</w:t>
      </w:r>
      <w:r>
        <w:tab/>
      </w:r>
      <w:r>
        <w:fldChar w:fldCharType="begin"/>
      </w:r>
      <w:r>
        <w:instrText xml:space="preserve"> PAGEREF _Toc5779736 \h </w:instrText>
      </w:r>
      <w:r>
        <w:fldChar w:fldCharType="separate"/>
      </w:r>
      <w:r>
        <w:t>74</w:t>
      </w:r>
      <w:r>
        <w:fldChar w:fldCharType="end"/>
      </w:r>
    </w:p>
    <w:p>
      <w:pPr>
        <w:pStyle w:val="TOC8"/>
        <w:rPr>
          <w:rFonts w:asciiTheme="minorHAnsi" w:eastAsiaTheme="minorEastAsia" w:hAnsiTheme="minorHAnsi" w:cstheme="minorBidi"/>
          <w:szCs w:val="22"/>
        </w:rPr>
      </w:pPr>
      <w:r>
        <w:t>4.</w:t>
      </w:r>
      <w:r>
        <w:tab/>
        <w:t>Provision for rent variation — site</w:t>
      </w:r>
      <w:r>
        <w:noBreakHyphen/>
        <w:t>only agreements</w:t>
      </w:r>
      <w:r>
        <w:tab/>
      </w:r>
      <w:r>
        <w:fldChar w:fldCharType="begin"/>
      </w:r>
      <w:r>
        <w:instrText xml:space="preserve"> PAGEREF _Toc5779737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Cleanliness, damage and repair</w:t>
      </w:r>
    </w:p>
    <w:p>
      <w:pPr>
        <w:pStyle w:val="TOC8"/>
        <w:rPr>
          <w:rFonts w:asciiTheme="minorHAnsi" w:eastAsiaTheme="minorEastAsia" w:hAnsiTheme="minorHAnsi" w:cstheme="minorBidi"/>
          <w:szCs w:val="22"/>
        </w:rPr>
      </w:pPr>
      <w:r>
        <w:t>5.</w:t>
      </w:r>
      <w:r>
        <w:tab/>
        <w:t>Responsibility for cleanliness</w:t>
      </w:r>
      <w:r>
        <w:tab/>
      </w:r>
      <w:r>
        <w:fldChar w:fldCharType="begin"/>
      </w:r>
      <w:r>
        <w:instrText xml:space="preserve"> PAGEREF _Toc5779739 \h </w:instrText>
      </w:r>
      <w:r>
        <w:fldChar w:fldCharType="separate"/>
      </w:r>
      <w:r>
        <w:t>75</w:t>
      </w:r>
      <w:r>
        <w:fldChar w:fldCharType="end"/>
      </w:r>
    </w:p>
    <w:p>
      <w:pPr>
        <w:pStyle w:val="TOC8"/>
        <w:rPr>
          <w:rFonts w:asciiTheme="minorHAnsi" w:eastAsiaTheme="minorEastAsia" w:hAnsiTheme="minorHAnsi" w:cstheme="minorBidi"/>
          <w:szCs w:val="22"/>
        </w:rPr>
      </w:pPr>
      <w:r>
        <w:t>6.</w:t>
      </w:r>
      <w:r>
        <w:tab/>
        <w:t>Responsibility for damage</w:t>
      </w:r>
      <w:r>
        <w:tab/>
      </w:r>
      <w:r>
        <w:fldChar w:fldCharType="begin"/>
      </w:r>
      <w:r>
        <w:instrText xml:space="preserve"> PAGEREF _Toc5779740 \h </w:instrText>
      </w:r>
      <w:r>
        <w:fldChar w:fldCharType="separate"/>
      </w:r>
      <w:r>
        <w:t>75</w:t>
      </w:r>
      <w:r>
        <w:fldChar w:fldCharType="end"/>
      </w:r>
    </w:p>
    <w:p>
      <w:pPr>
        <w:pStyle w:val="TOC8"/>
        <w:rPr>
          <w:rFonts w:asciiTheme="minorHAnsi" w:eastAsiaTheme="minorEastAsia" w:hAnsiTheme="minorHAnsi" w:cstheme="minorBidi"/>
          <w:szCs w:val="22"/>
        </w:rPr>
      </w:pPr>
      <w:r>
        <w:t>7.</w:t>
      </w:r>
      <w:r>
        <w:tab/>
        <w:t>Park operator’s responsibility for cleanliness and repairs</w:t>
      </w:r>
      <w:r>
        <w:tab/>
      </w:r>
      <w:r>
        <w:fldChar w:fldCharType="begin"/>
      </w:r>
      <w:r>
        <w:instrText xml:space="preserve"> PAGEREF _Toc5779741 \h </w:instrText>
      </w:r>
      <w:r>
        <w:fldChar w:fldCharType="separate"/>
      </w:r>
      <w:r>
        <w:t>76</w:t>
      </w:r>
      <w:r>
        <w:fldChar w:fldCharType="end"/>
      </w:r>
    </w:p>
    <w:p>
      <w:pPr>
        <w:pStyle w:val="TOC8"/>
        <w:rPr>
          <w:rFonts w:asciiTheme="minorHAnsi" w:eastAsiaTheme="minorEastAsia" w:hAnsiTheme="minorHAnsi" w:cstheme="minorBidi"/>
          <w:szCs w:val="22"/>
        </w:rPr>
      </w:pPr>
      <w:r>
        <w:t>8.</w:t>
      </w:r>
      <w:r>
        <w:tab/>
        <w:t>Compensation where tenant sees to repairs</w:t>
      </w:r>
      <w:r>
        <w:tab/>
      </w:r>
      <w:r>
        <w:fldChar w:fldCharType="begin"/>
      </w:r>
      <w:r>
        <w:instrText xml:space="preserve"> PAGEREF _Toc5779742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Children</w:t>
      </w:r>
    </w:p>
    <w:p>
      <w:pPr>
        <w:pStyle w:val="TOC8"/>
        <w:rPr>
          <w:rFonts w:asciiTheme="minorHAnsi" w:eastAsiaTheme="minorEastAsia" w:hAnsiTheme="minorHAnsi" w:cstheme="minorBidi"/>
          <w:szCs w:val="22"/>
        </w:rPr>
      </w:pPr>
      <w:r>
        <w:t>9.</w:t>
      </w:r>
      <w:r>
        <w:tab/>
        <w:t>Permitting children to live on agreed premises</w:t>
      </w:r>
      <w:r>
        <w:tab/>
      </w:r>
      <w:r>
        <w:fldChar w:fldCharType="begin"/>
      </w:r>
      <w:r>
        <w:instrText xml:space="preserve"> PAGEREF _Toc5779744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Other terms</w:t>
      </w:r>
    </w:p>
    <w:p>
      <w:pPr>
        <w:pStyle w:val="TOC8"/>
        <w:rPr>
          <w:rFonts w:asciiTheme="minorHAnsi" w:eastAsiaTheme="minorEastAsia" w:hAnsiTheme="minorHAnsi" w:cstheme="minorBidi"/>
          <w:szCs w:val="22"/>
        </w:rPr>
      </w:pPr>
      <w:r>
        <w:t>10.</w:t>
      </w:r>
      <w:r>
        <w:tab/>
        <w:t>Tenant’s conduct on premises</w:t>
      </w:r>
      <w:r>
        <w:tab/>
      </w:r>
      <w:r>
        <w:fldChar w:fldCharType="begin"/>
      </w:r>
      <w:r>
        <w:instrText xml:space="preserve"> PAGEREF _Toc5779746 \h </w:instrText>
      </w:r>
      <w:r>
        <w:fldChar w:fldCharType="separate"/>
      </w:r>
      <w:r>
        <w:t>77</w:t>
      </w:r>
      <w:r>
        <w:fldChar w:fldCharType="end"/>
      </w:r>
    </w:p>
    <w:p>
      <w:pPr>
        <w:pStyle w:val="TOC8"/>
        <w:rPr>
          <w:rFonts w:asciiTheme="minorHAnsi" w:eastAsiaTheme="minorEastAsia" w:hAnsiTheme="minorHAnsi" w:cstheme="minorBidi"/>
          <w:szCs w:val="22"/>
        </w:rPr>
      </w:pPr>
      <w:r>
        <w:t>11.</w:t>
      </w:r>
      <w:r>
        <w:tab/>
        <w:t>Quiet enjoyment</w:t>
      </w:r>
      <w:r>
        <w:tab/>
      </w:r>
      <w:r>
        <w:fldChar w:fldCharType="begin"/>
      </w:r>
      <w:r>
        <w:instrText xml:space="preserve"> PAGEREF _Toc5779747 \h </w:instrText>
      </w:r>
      <w:r>
        <w:fldChar w:fldCharType="separate"/>
      </w:r>
      <w:r>
        <w:t>78</w:t>
      </w:r>
      <w:r>
        <w:fldChar w:fldCharType="end"/>
      </w:r>
    </w:p>
    <w:p>
      <w:pPr>
        <w:pStyle w:val="TOC8"/>
        <w:rPr>
          <w:rFonts w:asciiTheme="minorHAnsi" w:eastAsiaTheme="minorEastAsia" w:hAnsiTheme="minorHAnsi" w:cstheme="minorBidi"/>
          <w:szCs w:val="22"/>
        </w:rPr>
      </w:pPr>
      <w:r>
        <w:t>12.</w:t>
      </w:r>
      <w:r>
        <w:tab/>
        <w:t>Locks</w:t>
      </w:r>
      <w:r>
        <w:tab/>
      </w:r>
      <w:r>
        <w:fldChar w:fldCharType="begin"/>
      </w:r>
      <w:r>
        <w:instrText xml:space="preserve"> PAGEREF _Toc5779748 \h </w:instrText>
      </w:r>
      <w:r>
        <w:fldChar w:fldCharType="separate"/>
      </w:r>
      <w:r>
        <w:t>78</w:t>
      </w:r>
      <w:r>
        <w:fldChar w:fldCharType="end"/>
      </w:r>
    </w:p>
    <w:p>
      <w:pPr>
        <w:pStyle w:val="TOC8"/>
        <w:rPr>
          <w:rFonts w:asciiTheme="minorHAnsi" w:eastAsiaTheme="minorEastAsia" w:hAnsiTheme="minorHAnsi" w:cstheme="minorBidi"/>
          <w:szCs w:val="22"/>
        </w:rPr>
      </w:pPr>
      <w:r>
        <w:t>13.</w:t>
      </w:r>
      <w:r>
        <w:tab/>
        <w:t>Park operator’s right of entry</w:t>
      </w:r>
      <w:r>
        <w:tab/>
      </w:r>
      <w:r>
        <w:fldChar w:fldCharType="begin"/>
      </w:r>
      <w:r>
        <w:instrText xml:space="preserve"> PAGEREF _Toc5779749 \h </w:instrText>
      </w:r>
      <w:r>
        <w:fldChar w:fldCharType="separate"/>
      </w:r>
      <w:r>
        <w:t>80</w:t>
      </w:r>
      <w:r>
        <w:fldChar w:fldCharType="end"/>
      </w:r>
    </w:p>
    <w:p>
      <w:pPr>
        <w:pStyle w:val="TOC8"/>
        <w:rPr>
          <w:rFonts w:asciiTheme="minorHAnsi" w:eastAsiaTheme="minorEastAsia" w:hAnsiTheme="minorHAnsi" w:cstheme="minorBidi"/>
          <w:szCs w:val="22"/>
        </w:rPr>
      </w:pPr>
      <w:r>
        <w:t>14.</w:t>
      </w:r>
      <w:r>
        <w:tab/>
        <w:t>Tenant’s right to remove fixtures or alter premises</w:t>
      </w:r>
      <w:r>
        <w:tab/>
      </w:r>
      <w:r>
        <w:fldChar w:fldCharType="begin"/>
      </w:r>
      <w:r>
        <w:instrText xml:space="preserve"> PAGEREF _Toc5779750 \h </w:instrText>
      </w:r>
      <w:r>
        <w:fldChar w:fldCharType="separate"/>
      </w:r>
      <w:r>
        <w:t>82</w:t>
      </w:r>
      <w:r>
        <w:fldChar w:fldCharType="end"/>
      </w:r>
    </w:p>
    <w:p>
      <w:pPr>
        <w:pStyle w:val="TOC8"/>
        <w:rPr>
          <w:rFonts w:asciiTheme="minorHAnsi" w:eastAsiaTheme="minorEastAsia" w:hAnsiTheme="minorHAnsi" w:cstheme="minorBidi"/>
          <w:szCs w:val="22"/>
        </w:rPr>
      </w:pPr>
      <w:r>
        <w:t>15.</w:t>
      </w:r>
      <w:r>
        <w:tab/>
        <w:t>Rates, taxes and charges paid by park operator</w:t>
      </w:r>
      <w:r>
        <w:tab/>
      </w:r>
      <w:r>
        <w:fldChar w:fldCharType="begin"/>
      </w:r>
      <w:r>
        <w:instrText xml:space="preserve"> PAGEREF _Toc5779751 \h </w:instrText>
      </w:r>
      <w:r>
        <w:fldChar w:fldCharType="separate"/>
      </w:r>
      <w:r>
        <w:t>84</w:t>
      </w:r>
      <w:r>
        <w:fldChar w:fldCharType="end"/>
      </w:r>
    </w:p>
    <w:p>
      <w:pPr>
        <w:pStyle w:val="TOC8"/>
        <w:rPr>
          <w:rFonts w:asciiTheme="minorHAnsi" w:eastAsiaTheme="minorEastAsia" w:hAnsiTheme="minorHAnsi" w:cstheme="minorBidi"/>
          <w:szCs w:val="22"/>
        </w:rPr>
      </w:pPr>
      <w:r>
        <w:t>16.</w:t>
      </w:r>
      <w:r>
        <w:tab/>
        <w:t>Provision for assigning or sub</w:t>
      </w:r>
      <w:r>
        <w:noBreakHyphen/>
        <w:t>letting the premises</w:t>
      </w:r>
      <w:r>
        <w:tab/>
      </w:r>
      <w:r>
        <w:fldChar w:fldCharType="begin"/>
      </w:r>
      <w:r>
        <w:instrText xml:space="preserve"> PAGEREF _Toc5779752 \h </w:instrText>
      </w:r>
      <w:r>
        <w:fldChar w:fldCharType="separate"/>
      </w:r>
      <w:r>
        <w:t>84</w:t>
      </w:r>
      <w:r>
        <w:fldChar w:fldCharType="end"/>
      </w:r>
    </w:p>
    <w:p>
      <w:pPr>
        <w:pStyle w:val="TOC8"/>
        <w:rPr>
          <w:rFonts w:asciiTheme="minorHAnsi" w:eastAsiaTheme="minorEastAsia" w:hAnsiTheme="minorHAnsi" w:cstheme="minorBidi"/>
          <w:szCs w:val="22"/>
        </w:rPr>
      </w:pPr>
      <w:r>
        <w:t>17.</w:t>
      </w:r>
      <w:r>
        <w:tab/>
        <w:t>Tenant’s vicarious responsibility for breach of agreement</w:t>
      </w:r>
      <w:r>
        <w:tab/>
      </w:r>
      <w:r>
        <w:fldChar w:fldCharType="begin"/>
      </w:r>
      <w:r>
        <w:instrText xml:space="preserve"> PAGEREF _Toc5779753 \h </w:instrText>
      </w:r>
      <w:r>
        <w:fldChar w:fldCharType="separate"/>
      </w:r>
      <w:r>
        <w:t>85</w:t>
      </w:r>
      <w:r>
        <w:fldChar w:fldCharType="end"/>
      </w:r>
    </w:p>
    <w:p>
      <w:pPr>
        <w:pStyle w:val="TOC8"/>
        <w:rPr>
          <w:rFonts w:asciiTheme="minorHAnsi" w:eastAsiaTheme="minorEastAsia" w:hAnsiTheme="minorHAnsi" w:cstheme="minorBidi"/>
          <w:szCs w:val="22"/>
        </w:rPr>
      </w:pPr>
      <w:r>
        <w:t>18.</w:t>
      </w:r>
      <w:r>
        <w:tab/>
        <w:t>Accelerated rent and liquidated damages prohibited</w:t>
      </w:r>
      <w:r>
        <w:tab/>
      </w:r>
      <w:r>
        <w:fldChar w:fldCharType="begin"/>
      </w:r>
      <w:r>
        <w:instrText xml:space="preserve"> PAGEREF _Toc5779754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_Toc5779756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_Toc5779758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3" w:name="BillCited"/>
      <w:bookmarkEnd w:id="3"/>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4" w:name="_Toc5621650"/>
      <w:bookmarkStart w:id="5" w:name="_Toc5692846"/>
      <w:bookmarkStart w:id="6" w:name="_Toc5722210"/>
      <w:bookmarkStart w:id="7" w:name="_Toc5779599"/>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p>
    <w:p>
      <w:pPr>
        <w:pStyle w:val="Heading5"/>
        <w:rPr>
          <w:snapToGrid w:val="0"/>
        </w:rPr>
      </w:pPr>
      <w:bookmarkStart w:id="8" w:name="_Toc5779600"/>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9" w:name="_Toc5779601"/>
      <w:r>
        <w:rPr>
          <w:rStyle w:val="CharSectno"/>
        </w:rPr>
        <w:t>2</w:t>
      </w:r>
      <w:r>
        <w:t>.</w:t>
      </w:r>
      <w:r>
        <w:tab/>
        <w:t>Commencement</w:t>
      </w:r>
      <w:bookmarkEnd w:id="9"/>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10" w:name="_Toc5779602"/>
      <w:r>
        <w:rPr>
          <w:rStyle w:val="CharSectno"/>
        </w:rPr>
        <w:t>3</w:t>
      </w:r>
      <w:r>
        <w:t>.</w:t>
      </w:r>
      <w:r>
        <w:tab/>
        <w:t>Glossary of terms used</w:t>
      </w:r>
      <w:bookmarkEnd w:id="10"/>
    </w:p>
    <w:p>
      <w:pPr>
        <w:pStyle w:val="Subsection"/>
      </w:pPr>
      <w:r>
        <w:tab/>
      </w:r>
      <w:r>
        <w:tab/>
        <w:t>The Glossary at the end of this Act defines or affects the meaning of some of the words and expressions used in this Act.</w:t>
      </w:r>
    </w:p>
    <w:p>
      <w:pPr>
        <w:pStyle w:val="Heading5"/>
        <w:rPr>
          <w:rStyle w:val="CharSectno"/>
        </w:rPr>
      </w:pPr>
      <w:bookmarkStart w:id="11" w:name="_Toc5779603"/>
      <w:r>
        <w:rPr>
          <w:rStyle w:val="CharSectno"/>
        </w:rPr>
        <w:t>4</w:t>
      </w:r>
      <w:r>
        <w:t>.</w:t>
      </w:r>
      <w:r>
        <w:tab/>
      </w:r>
      <w:r>
        <w:rPr>
          <w:rStyle w:val="CharSectno"/>
        </w:rPr>
        <w:t>Crown bound</w:t>
      </w:r>
      <w:bookmarkEnd w:id="11"/>
    </w:p>
    <w:p>
      <w:pPr>
        <w:pStyle w:val="Subsection"/>
        <w:rPr>
          <w:rStyle w:val="CharSectno"/>
        </w:rPr>
      </w:pPr>
      <w:r>
        <w:rPr>
          <w:rStyle w:val="CharSectno"/>
        </w:rPr>
        <w:tab/>
      </w:r>
      <w:r>
        <w:rPr>
          <w:rStyle w:val="CharSectno"/>
        </w:rPr>
        <w:tab/>
        <w:t>This Act binds the Crown.</w:t>
      </w:r>
    </w:p>
    <w:p>
      <w:pPr>
        <w:pStyle w:val="Heading5"/>
      </w:pPr>
      <w:bookmarkStart w:id="12" w:name="_Toc5779604"/>
      <w:r>
        <w:rPr>
          <w:rStyle w:val="CharSectno"/>
        </w:rPr>
        <w:t>5</w:t>
      </w:r>
      <w:r>
        <w:t>.</w:t>
      </w:r>
      <w:r>
        <w:tab/>
        <w:t>Term used: long</w:t>
      </w:r>
      <w:r>
        <w:noBreakHyphen/>
        <w:t>stay agreement</w:t>
      </w:r>
      <w:bookmarkEnd w:id="12"/>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3" w:name="_Toc5779605"/>
      <w:r>
        <w:rPr>
          <w:rStyle w:val="CharSectno"/>
        </w:rPr>
        <w:t>6</w:t>
      </w:r>
      <w:r>
        <w:t>.</w:t>
      </w:r>
      <w:r>
        <w:tab/>
        <w:t>Application of Act to long</w:t>
      </w:r>
      <w:r>
        <w:noBreakHyphen/>
        <w:t>stay agreements</w:t>
      </w:r>
      <w:bookmarkEnd w:id="13"/>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4" w:name="_Toc5779606"/>
      <w:r>
        <w:rPr>
          <w:rStyle w:val="CharSectno"/>
        </w:rPr>
        <w:t>7</w:t>
      </w:r>
      <w:r>
        <w:t>.</w:t>
      </w:r>
      <w:r>
        <w:tab/>
        <w:t>Application of Act to periodic long</w:t>
      </w:r>
      <w:r>
        <w:noBreakHyphen/>
        <w:t>stay agreements</w:t>
      </w:r>
      <w:bookmarkEnd w:id="14"/>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for this subsection: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Footnotesection"/>
      </w:pPr>
      <w:r>
        <w:tab/>
        <w:t>[Section 7 amended: No. 3 of 2019 s. 39.]</w:t>
      </w:r>
    </w:p>
    <w:p>
      <w:pPr>
        <w:pStyle w:val="Heading5"/>
      </w:pPr>
      <w:bookmarkStart w:id="15" w:name="_Toc5779607"/>
      <w:r>
        <w:rPr>
          <w:rStyle w:val="CharSectno"/>
        </w:rPr>
        <w:t>8</w:t>
      </w:r>
      <w:r>
        <w:t>.</w:t>
      </w:r>
      <w:r>
        <w:tab/>
        <w:t>Operation of this Act in relation to other written laws</w:t>
      </w:r>
      <w:bookmarkEnd w:id="15"/>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 w:name="_Toc5779608"/>
      <w:r>
        <w:rPr>
          <w:rStyle w:val="CharSectno"/>
        </w:rPr>
        <w:t>9</w:t>
      </w:r>
      <w:r>
        <w:t>.</w:t>
      </w:r>
      <w:r>
        <w:tab/>
        <w:t>Contracting out</w:t>
      </w:r>
      <w:bookmarkEnd w:id="16"/>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bookmarkStart w:id="17" w:name="_Toc5621660"/>
      <w:r>
        <w:tab/>
        <w:t>[Section 9 amended: No. 3 of 2019 s. 39.]</w:t>
      </w:r>
    </w:p>
    <w:p>
      <w:pPr>
        <w:pStyle w:val="Heading2"/>
        <w:spacing w:before="240"/>
      </w:pPr>
      <w:bookmarkStart w:id="18" w:name="_Toc5692856"/>
      <w:bookmarkStart w:id="19" w:name="_Toc5722220"/>
      <w:bookmarkStart w:id="20" w:name="_Toc5779609"/>
      <w:r>
        <w:rPr>
          <w:rStyle w:val="CharPartNo"/>
        </w:rPr>
        <w:t>Part 2</w:t>
      </w:r>
      <w:r>
        <w:t> — </w:t>
      </w:r>
      <w:r>
        <w:rPr>
          <w:rStyle w:val="CharPartText"/>
        </w:rPr>
        <w:t>Long</w:t>
      </w:r>
      <w:r>
        <w:rPr>
          <w:rStyle w:val="CharPartText"/>
        </w:rPr>
        <w:noBreakHyphen/>
        <w:t>stay agreement</w:t>
      </w:r>
      <w:bookmarkEnd w:id="17"/>
      <w:bookmarkEnd w:id="18"/>
      <w:bookmarkEnd w:id="19"/>
      <w:bookmarkEnd w:id="20"/>
    </w:p>
    <w:p>
      <w:pPr>
        <w:pStyle w:val="Heading3"/>
      </w:pPr>
      <w:bookmarkStart w:id="21" w:name="_Toc5621661"/>
      <w:bookmarkStart w:id="22" w:name="_Toc5692857"/>
      <w:bookmarkStart w:id="23" w:name="_Toc5722221"/>
      <w:bookmarkStart w:id="24" w:name="_Toc5779610"/>
      <w:r>
        <w:rPr>
          <w:rStyle w:val="CharDivNo"/>
        </w:rPr>
        <w:t>Division 1</w:t>
      </w:r>
      <w:r>
        <w:t> — </w:t>
      </w:r>
      <w:r>
        <w:rPr>
          <w:rStyle w:val="CharDivText"/>
        </w:rPr>
        <w:t>General matters</w:t>
      </w:r>
      <w:bookmarkEnd w:id="21"/>
      <w:bookmarkEnd w:id="22"/>
      <w:bookmarkEnd w:id="23"/>
      <w:bookmarkEnd w:id="24"/>
    </w:p>
    <w:p>
      <w:pPr>
        <w:pStyle w:val="Heading5"/>
      </w:pPr>
      <w:bookmarkStart w:id="25" w:name="_Toc5779611"/>
      <w:r>
        <w:rPr>
          <w:rStyle w:val="CharSectno"/>
        </w:rPr>
        <w:t>10</w:t>
      </w:r>
      <w:r>
        <w:t>.</w:t>
      </w:r>
      <w:r>
        <w:tab/>
        <w:t>Form of long</w:t>
      </w:r>
      <w:r>
        <w:noBreakHyphen/>
        <w:t>stay agreements</w:t>
      </w:r>
      <w:bookmarkEnd w:id="25"/>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26" w:name="_Toc5779612"/>
      <w:r>
        <w:rPr>
          <w:rStyle w:val="CharSectno"/>
        </w:rPr>
        <w:t>11</w:t>
      </w:r>
      <w:r>
        <w:t>.</w:t>
      </w:r>
      <w:r>
        <w:tab/>
        <w:t>Information for prospective long</w:t>
      </w:r>
      <w:r>
        <w:noBreakHyphen/>
        <w:t>stay tenants</w:t>
      </w:r>
      <w:bookmarkEnd w:id="26"/>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for this subsection: a fine of $5 000.</w:t>
      </w:r>
    </w:p>
    <w:p>
      <w:pPr>
        <w:pStyle w:val="Footnotesection"/>
      </w:pPr>
      <w:r>
        <w:tab/>
        <w:t>[Section 11 amended: No. 3 of 2019 s. 39.]</w:t>
      </w:r>
    </w:p>
    <w:p>
      <w:pPr>
        <w:pStyle w:val="Heading5"/>
      </w:pPr>
      <w:bookmarkStart w:id="27" w:name="_Toc5779613"/>
      <w:r>
        <w:rPr>
          <w:rStyle w:val="CharSectno"/>
        </w:rPr>
        <w:t>12</w:t>
      </w:r>
      <w:r>
        <w:t>.</w:t>
      </w:r>
      <w:r>
        <w:tab/>
        <w:t>Restrictions on charges payable by long</w:t>
      </w:r>
      <w:r>
        <w:noBreakHyphen/>
        <w:t>stay tenants</w:t>
      </w:r>
      <w:bookmarkEnd w:id="27"/>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for this subsection: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(5)</w:t>
      </w:r>
      <w:r>
        <w:tab/>
        <w:t>A fee, charge or reward accepted in contravention of this section is recoverable by the person who paid it as a debt due in a court of competent jurisdiction.</w:t>
      </w:r>
    </w:p>
    <w:p>
      <w:pPr>
        <w:pStyle w:val="Footnotesection"/>
      </w:pPr>
      <w:r>
        <w:tab/>
        <w:t>[Section 12 amended: No. 3 of 2019 s. 39.]</w:t>
      </w:r>
    </w:p>
    <w:p>
      <w:pPr>
        <w:pStyle w:val="Heading5"/>
        <w:spacing w:before="180"/>
      </w:pPr>
      <w:bookmarkStart w:id="28" w:name="_Toc5779614"/>
      <w:r>
        <w:rPr>
          <w:rStyle w:val="CharSectno"/>
        </w:rPr>
        <w:t>13</w:t>
      </w:r>
      <w:r>
        <w:t>.</w:t>
      </w:r>
      <w:r>
        <w:tab/>
        <w:t>Restriction on letting fees payable to real estate agent</w:t>
      </w:r>
      <w:bookmarkEnd w:id="28"/>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for this subsection: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Footnotesection"/>
      </w:pPr>
      <w:r>
        <w:tab/>
        <w:t>[Section 13 amended: No. 3 of 2019 s. 39.]</w:t>
      </w:r>
    </w:p>
    <w:p>
      <w:pPr>
        <w:pStyle w:val="Heading5"/>
        <w:keepLines w:val="0"/>
        <w:spacing w:before="180"/>
      </w:pPr>
      <w:bookmarkStart w:id="29" w:name="_Toc5779615"/>
      <w:r>
        <w:rPr>
          <w:rStyle w:val="CharSectno"/>
        </w:rPr>
        <w:t>14</w:t>
      </w:r>
      <w:r>
        <w:t>.</w:t>
      </w:r>
      <w:r>
        <w:tab/>
        <w:t>Cost of preparing long</w:t>
      </w:r>
      <w:r>
        <w:noBreakHyphen/>
        <w:t>stay agreement</w:t>
      </w:r>
      <w:bookmarkEnd w:id="29"/>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pPr>
      <w:bookmarkStart w:id="30" w:name="_Toc5779616"/>
      <w:r>
        <w:rPr>
          <w:rStyle w:val="CharSectno"/>
        </w:rPr>
        <w:t>15</w:t>
      </w:r>
      <w:r>
        <w:t>.</w:t>
      </w:r>
      <w:r>
        <w:tab/>
        <w:t>Disclosure of park operator’s particulars to tenant</w:t>
      </w:r>
      <w:bookmarkEnd w:id="30"/>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w:t>
      </w:r>
    </w:p>
    <w:p>
      <w:pPr>
        <w:pStyle w:val="Heading5"/>
      </w:pPr>
      <w:bookmarkStart w:id="31" w:name="_Toc5779617"/>
      <w:r>
        <w:rPr>
          <w:rStyle w:val="CharSectno"/>
        </w:rPr>
        <w:t>16</w:t>
      </w:r>
      <w:r>
        <w:t>.</w:t>
      </w:r>
      <w:r>
        <w:tab/>
        <w:t>Disclosure of tenant’s particulars to park operator</w:t>
      </w:r>
      <w:bookmarkEnd w:id="31"/>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32" w:name="_Toc5779618"/>
      <w:r>
        <w:rPr>
          <w:rStyle w:val="CharSectno"/>
        </w:rPr>
        <w:t>17</w:t>
      </w:r>
      <w:r>
        <w:t>.</w:t>
      </w:r>
      <w:r>
        <w:tab/>
        <w:t>Tenant’s copy of long</w:t>
      </w:r>
      <w:r>
        <w:noBreakHyphen/>
        <w:t>stay agreement</w:t>
      </w:r>
      <w:bookmarkEnd w:id="32"/>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33" w:name="_Toc5779619"/>
      <w:r>
        <w:rPr>
          <w:rStyle w:val="CharSectno"/>
        </w:rPr>
        <w:t>18</w:t>
      </w:r>
      <w:r>
        <w:t>.</w:t>
      </w:r>
      <w:r>
        <w:tab/>
        <w:t>Cooling off period</w:t>
      </w:r>
      <w:bookmarkEnd w:id="33"/>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34" w:name="_Toc5779620"/>
      <w:r>
        <w:rPr>
          <w:rStyle w:val="CharSectno"/>
        </w:rPr>
        <w:t>19</w:t>
      </w:r>
      <w:r>
        <w:t>.</w:t>
      </w:r>
      <w:r>
        <w:tab/>
        <w:t>Recovery of amounts paid under a mistake of law or fact</w:t>
      </w:r>
      <w:bookmarkEnd w:id="34"/>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35" w:name="_Toc5779621"/>
      <w:r>
        <w:rPr>
          <w:rStyle w:val="CharSectno"/>
        </w:rPr>
        <w:t>20</w:t>
      </w:r>
      <w:r>
        <w:t>.</w:t>
      </w:r>
      <w:r>
        <w:tab/>
        <w:t>Children living on agreed premises</w:t>
      </w:r>
      <w:bookmarkEnd w:id="35"/>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for this subsection: a fine of $5 000.</w:t>
      </w:r>
    </w:p>
    <w:p>
      <w:pPr>
        <w:pStyle w:val="Footnotesection"/>
      </w:pPr>
      <w:bookmarkStart w:id="36" w:name="_Toc5621673"/>
      <w:r>
        <w:tab/>
        <w:t>[Section 20 amended: No. 3 of 2019 s. 39.]</w:t>
      </w:r>
    </w:p>
    <w:p>
      <w:pPr>
        <w:pStyle w:val="Heading3"/>
      </w:pPr>
      <w:bookmarkStart w:id="37" w:name="_Toc5692869"/>
      <w:bookmarkStart w:id="38" w:name="_Toc5722233"/>
      <w:bookmarkStart w:id="39" w:name="_Toc5779622"/>
      <w:r>
        <w:rPr>
          <w:rStyle w:val="CharDivNo"/>
        </w:rPr>
        <w:t>Division 2</w:t>
      </w:r>
      <w:r>
        <w:t> — </w:t>
      </w:r>
      <w:r>
        <w:rPr>
          <w:rStyle w:val="CharDivText"/>
        </w:rPr>
        <w:t>Security bonds</w:t>
      </w:r>
      <w:bookmarkEnd w:id="36"/>
      <w:bookmarkEnd w:id="37"/>
      <w:bookmarkEnd w:id="38"/>
      <w:bookmarkEnd w:id="39"/>
    </w:p>
    <w:p>
      <w:pPr>
        <w:pStyle w:val="Heading5"/>
      </w:pPr>
      <w:bookmarkStart w:id="40" w:name="_Toc5779623"/>
      <w:r>
        <w:rPr>
          <w:rStyle w:val="CharSectno"/>
        </w:rPr>
        <w:t>21</w:t>
      </w:r>
      <w:r>
        <w:t>.</w:t>
      </w:r>
      <w:r>
        <w:tab/>
        <w:t>Security bonds</w:t>
      </w:r>
      <w:bookmarkEnd w:id="40"/>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w:t>
      </w:r>
    </w:p>
    <w:p>
      <w:pPr>
        <w:pStyle w:val="Heading5"/>
      </w:pPr>
      <w:bookmarkStart w:id="41" w:name="_Toc5779624"/>
      <w:r>
        <w:rPr>
          <w:rStyle w:val="CharSectno"/>
        </w:rPr>
        <w:t>22</w:t>
      </w:r>
      <w:r>
        <w:t>.</w:t>
      </w:r>
      <w:r>
        <w:tab/>
        <w:t>Payment of bond to bond administrator or trust account</w:t>
      </w:r>
      <w:bookmarkEnd w:id="41"/>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for this subsection: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No. 60 of 2011 s. 106; No. 3 of 2019 s. 39.]</w:t>
      </w:r>
    </w:p>
    <w:p>
      <w:pPr>
        <w:pStyle w:val="Heading5"/>
      </w:pPr>
      <w:bookmarkStart w:id="42" w:name="_Toc5779625"/>
      <w:r>
        <w:rPr>
          <w:rStyle w:val="CharSectno"/>
        </w:rPr>
        <w:t>23</w:t>
      </w:r>
      <w:r>
        <w:t>.</w:t>
      </w:r>
      <w:r>
        <w:tab/>
        <w:t>Keeping security bond records</w:t>
      </w:r>
      <w:bookmarkEnd w:id="42"/>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for this subsection: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for this subsection: a fine of $5 000.</w:t>
      </w:r>
    </w:p>
    <w:p>
      <w:pPr>
        <w:pStyle w:val="Subsection"/>
        <w:keepNext/>
      </w:pPr>
      <w:r>
        <w:tab/>
        <w:t>(3)</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23 amended: No. 3 of 2019 s. 39.]</w:t>
      </w:r>
    </w:p>
    <w:p>
      <w:pPr>
        <w:pStyle w:val="Heading5"/>
      </w:pPr>
      <w:bookmarkStart w:id="43" w:name="_Toc5779626"/>
      <w:r>
        <w:rPr>
          <w:rStyle w:val="CharSectno"/>
        </w:rPr>
        <w:t>24</w:t>
      </w:r>
      <w:r>
        <w:t>.</w:t>
      </w:r>
      <w:r>
        <w:tab/>
        <w:t>Increase in security bond</w:t>
      </w:r>
      <w:bookmarkEnd w:id="43"/>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44" w:name="_Toc5621678"/>
      <w:bookmarkStart w:id="45" w:name="_Toc5692874"/>
      <w:bookmarkStart w:id="46" w:name="_Toc5722238"/>
      <w:bookmarkStart w:id="47" w:name="_Toc5779627"/>
      <w:r>
        <w:rPr>
          <w:rStyle w:val="CharDivNo"/>
        </w:rPr>
        <w:t>Division 3</w:t>
      </w:r>
      <w:r>
        <w:t> — </w:t>
      </w:r>
      <w:r>
        <w:rPr>
          <w:rStyle w:val="CharDivText"/>
        </w:rPr>
        <w:t>Rent</w:t>
      </w:r>
      <w:bookmarkEnd w:id="44"/>
      <w:bookmarkEnd w:id="45"/>
      <w:bookmarkEnd w:id="46"/>
      <w:bookmarkEnd w:id="47"/>
    </w:p>
    <w:p>
      <w:pPr>
        <w:pStyle w:val="Heading5"/>
      </w:pPr>
      <w:bookmarkStart w:id="48" w:name="_Toc5779628"/>
      <w:r>
        <w:rPr>
          <w:rStyle w:val="CharSectno"/>
        </w:rPr>
        <w:t>25</w:t>
      </w:r>
      <w:r>
        <w:t>.</w:t>
      </w:r>
      <w:r>
        <w:tab/>
        <w:t>Rent in advance</w:t>
      </w:r>
      <w:bookmarkEnd w:id="48"/>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49" w:name="_Toc5779629"/>
      <w:r>
        <w:rPr>
          <w:rStyle w:val="CharSectno"/>
        </w:rPr>
        <w:t>26</w:t>
      </w:r>
      <w:r>
        <w:t>.</w:t>
      </w:r>
      <w:r>
        <w:tab/>
        <w:t>Written receipts for rent</w:t>
      </w:r>
      <w:bookmarkEnd w:id="49"/>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w:t>
      </w:r>
    </w:p>
    <w:p>
      <w:pPr>
        <w:pStyle w:val="Heading5"/>
      </w:pPr>
      <w:bookmarkStart w:id="50" w:name="_Toc5779630"/>
      <w:r>
        <w:rPr>
          <w:rStyle w:val="CharSectno"/>
        </w:rPr>
        <w:t>27</w:t>
      </w:r>
      <w:r>
        <w:t>.</w:t>
      </w:r>
      <w:r>
        <w:tab/>
        <w:t>Requiring post</w:t>
      </w:r>
      <w:r>
        <w:noBreakHyphen/>
        <w:t>dated cheques prohibited</w:t>
      </w:r>
      <w:bookmarkEnd w:id="50"/>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51" w:name="_Toc5779631"/>
      <w:r>
        <w:rPr>
          <w:rStyle w:val="CharSectno"/>
        </w:rPr>
        <w:t>28</w:t>
      </w:r>
      <w:r>
        <w:t>.</w:t>
      </w:r>
      <w:r>
        <w:tab/>
        <w:t>Rent records kept by park operator</w:t>
      </w:r>
      <w:bookmarkEnd w:id="51"/>
    </w:p>
    <w:p>
      <w:pPr>
        <w:pStyle w:val="Subsection"/>
      </w:pPr>
      <w:r>
        <w:tab/>
        <w:t>(1)</w:t>
      </w:r>
      <w:r>
        <w:tab/>
        <w:t>A park operator must keep a record of the rent received for agreed premises.</w:t>
      </w:r>
    </w:p>
    <w:p>
      <w:pPr>
        <w:pStyle w:val="Penstart"/>
      </w:pPr>
      <w:r>
        <w:tab/>
        <w:t>Penalty for this subsection: a fine of $5 000.</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w:t>
      </w:r>
    </w:p>
    <w:p>
      <w:pPr>
        <w:pStyle w:val="Heading5"/>
      </w:pPr>
      <w:bookmarkStart w:id="52" w:name="_Toc5779632"/>
      <w:r>
        <w:rPr>
          <w:rStyle w:val="CharSectno"/>
        </w:rPr>
        <w:t>29</w:t>
      </w:r>
      <w:r>
        <w:t>.</w:t>
      </w:r>
      <w:r>
        <w:tab/>
        <w:t>Apportionment of rent</w:t>
      </w:r>
      <w:bookmarkEnd w:id="52"/>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53" w:name="_Toc5779633"/>
      <w:r>
        <w:rPr>
          <w:rStyle w:val="CharSectno"/>
        </w:rPr>
        <w:t>30</w:t>
      </w:r>
      <w:r>
        <w:t>.</w:t>
      </w:r>
      <w:r>
        <w:tab/>
        <w:t>Variation of rent under on</w:t>
      </w:r>
      <w:r>
        <w:noBreakHyphen/>
        <w:t>site home agreement</w:t>
      </w:r>
      <w:bookmarkEnd w:id="53"/>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54" w:name="_Toc5779634"/>
      <w:r>
        <w:rPr>
          <w:rStyle w:val="CharSectno"/>
        </w:rPr>
        <w:t>31</w:t>
      </w:r>
      <w:r>
        <w:t>.</w:t>
      </w:r>
      <w:r>
        <w:tab/>
        <w:t>Variation of rent on the basis of current market rent</w:t>
      </w:r>
      <w:bookmarkEnd w:id="54"/>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55" w:name="_Toc5621686"/>
      <w:bookmarkStart w:id="56" w:name="_Toc5692882"/>
      <w:bookmarkStart w:id="57" w:name="_Toc5722246"/>
      <w:bookmarkStart w:id="58" w:name="_Toc5779635"/>
      <w:r>
        <w:rPr>
          <w:rStyle w:val="CharDivNo"/>
        </w:rPr>
        <w:t>Division 4</w:t>
      </w:r>
      <w:r>
        <w:t> — </w:t>
      </w:r>
      <w:r>
        <w:rPr>
          <w:rStyle w:val="CharDivText"/>
        </w:rPr>
        <w:t>Terms of long</w:t>
      </w:r>
      <w:r>
        <w:rPr>
          <w:rStyle w:val="CharDivText"/>
        </w:rPr>
        <w:noBreakHyphen/>
        <w:t>stay agreements</w:t>
      </w:r>
      <w:bookmarkEnd w:id="55"/>
      <w:bookmarkEnd w:id="56"/>
      <w:bookmarkEnd w:id="57"/>
      <w:bookmarkEnd w:id="58"/>
    </w:p>
    <w:p>
      <w:pPr>
        <w:pStyle w:val="Heading5"/>
      </w:pPr>
      <w:bookmarkStart w:id="59" w:name="_Toc5779636"/>
      <w:r>
        <w:rPr>
          <w:rStyle w:val="CharSectno"/>
        </w:rPr>
        <w:t>32</w:t>
      </w:r>
      <w:r>
        <w:t>.</w:t>
      </w:r>
      <w:r>
        <w:tab/>
        <w:t>Terms of long</w:t>
      </w:r>
      <w:r>
        <w:noBreakHyphen/>
        <w:t>stay agreements — Schedule 1</w:t>
      </w:r>
      <w:bookmarkEnd w:id="59"/>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60" w:name="_Toc5621688"/>
      <w:bookmarkStart w:id="61" w:name="_Toc5692884"/>
      <w:bookmarkStart w:id="62" w:name="_Toc5722248"/>
      <w:bookmarkStart w:id="63" w:name="_Toc5779637"/>
      <w:r>
        <w:rPr>
          <w:rStyle w:val="CharPartNo"/>
        </w:rPr>
        <w:t>Part 3</w:t>
      </w:r>
      <w:r>
        <w:t> — </w:t>
      </w:r>
      <w:r>
        <w:rPr>
          <w:rStyle w:val="CharPartText"/>
        </w:rPr>
        <w:t>Termination of long</w:t>
      </w:r>
      <w:r>
        <w:rPr>
          <w:rStyle w:val="CharPartText"/>
        </w:rPr>
        <w:noBreakHyphen/>
        <w:t>stay agreements</w:t>
      </w:r>
      <w:bookmarkEnd w:id="60"/>
      <w:bookmarkEnd w:id="61"/>
      <w:bookmarkEnd w:id="62"/>
      <w:bookmarkEnd w:id="63"/>
    </w:p>
    <w:p>
      <w:pPr>
        <w:pStyle w:val="Heading3"/>
      </w:pPr>
      <w:bookmarkStart w:id="64" w:name="_Toc5621689"/>
      <w:bookmarkStart w:id="65" w:name="_Toc5692885"/>
      <w:bookmarkStart w:id="66" w:name="_Toc5722249"/>
      <w:bookmarkStart w:id="67" w:name="_Toc5779638"/>
      <w:r>
        <w:rPr>
          <w:rStyle w:val="CharDivNo"/>
        </w:rPr>
        <w:t>Division 1</w:t>
      </w:r>
      <w:r>
        <w:t> — </w:t>
      </w:r>
      <w:r>
        <w:rPr>
          <w:rStyle w:val="CharDivText"/>
        </w:rPr>
        <w:t>Termination of agreements generally</w:t>
      </w:r>
      <w:bookmarkEnd w:id="64"/>
      <w:bookmarkEnd w:id="65"/>
      <w:bookmarkEnd w:id="66"/>
      <w:bookmarkEnd w:id="67"/>
    </w:p>
    <w:p>
      <w:pPr>
        <w:pStyle w:val="Heading5"/>
      </w:pPr>
      <w:bookmarkStart w:id="68" w:name="_Toc5779639"/>
      <w:r>
        <w:rPr>
          <w:rStyle w:val="CharSectno"/>
        </w:rPr>
        <w:t>33</w:t>
      </w:r>
      <w:r>
        <w:t>.</w:t>
      </w:r>
      <w:r>
        <w:tab/>
      </w:r>
      <w:r>
        <w:rPr>
          <w:snapToGrid w:val="0"/>
        </w:rPr>
        <w:t>How long</w:t>
      </w:r>
      <w:r>
        <w:rPr>
          <w:snapToGrid w:val="0"/>
        </w:rPr>
        <w:noBreakHyphen/>
        <w:t>stay agreements and tenant’s interests in agreements are terminated</w:t>
      </w:r>
      <w:bookmarkEnd w:id="68"/>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Footnotesection"/>
      </w:pPr>
      <w:r>
        <w:tab/>
        <w:t>[Section 33 amended: No. 3 of 2019 s. 28.]</w:t>
      </w:r>
    </w:p>
    <w:p>
      <w:pPr>
        <w:pStyle w:val="Heading5"/>
      </w:pPr>
      <w:bookmarkStart w:id="69" w:name="_Toc5779640"/>
      <w:r>
        <w:rPr>
          <w:rStyle w:val="CharSectno"/>
        </w:rPr>
        <w:t>34</w:t>
      </w:r>
      <w:r>
        <w:t>.</w:t>
      </w:r>
      <w:r>
        <w:tab/>
        <w:t>Terms of continued long</w:t>
      </w:r>
      <w:r>
        <w:noBreakHyphen/>
        <w:t>stay agreement</w:t>
      </w:r>
      <w:bookmarkEnd w:id="69"/>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70" w:name="_Toc5779641"/>
      <w:r>
        <w:rPr>
          <w:rStyle w:val="CharSectno"/>
        </w:rPr>
        <w:t>35</w:t>
      </w:r>
      <w:r>
        <w:t>.</w:t>
      </w:r>
      <w:r>
        <w:tab/>
        <w:t>Withholding rent in anticipation of release of security bond</w:t>
      </w:r>
      <w:bookmarkEnd w:id="70"/>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71" w:name="_Toc5779642"/>
      <w:r>
        <w:rPr>
          <w:rStyle w:val="CharSectno"/>
        </w:rPr>
        <w:t>36</w:t>
      </w:r>
      <w:r>
        <w:t>.</w:t>
      </w:r>
      <w:r>
        <w:tab/>
        <w:t>Failure to give vacant possession at end of fixed term</w:t>
      </w:r>
      <w:bookmarkEnd w:id="71"/>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72" w:name="_Toc5779643"/>
      <w:r>
        <w:rPr>
          <w:rStyle w:val="CharSectno"/>
        </w:rPr>
        <w:t>37</w:t>
      </w:r>
      <w:r>
        <w:t>.</w:t>
      </w:r>
      <w:r>
        <w:tab/>
        <w:t>Form of default notice</w:t>
      </w:r>
      <w:bookmarkEnd w:id="72"/>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73" w:name="_Toc5779644"/>
      <w:r>
        <w:rPr>
          <w:rStyle w:val="CharSectno"/>
        </w:rPr>
        <w:t>38</w:t>
      </w:r>
      <w:r>
        <w:t>.</w:t>
      </w:r>
      <w:r>
        <w:tab/>
        <w:t>Form of notice of termination</w:t>
      </w:r>
      <w:bookmarkEnd w:id="73"/>
    </w:p>
    <w:p>
      <w:pPr>
        <w:pStyle w:val="Subsection"/>
      </w:pPr>
      <w:r>
        <w:tab/>
        <w:t>(1)</w:t>
      </w:r>
      <w:r>
        <w:tab/>
        <w:t xml:space="preserve">Except as provided in subsection (2), 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Subsection"/>
      </w:pPr>
      <w:bookmarkStart w:id="74" w:name="_Toc5621696"/>
      <w:r>
        <w:tab/>
        <w:t>(2)</w:t>
      </w:r>
      <w:r>
        <w:tab/>
        <w:t>A notice given under section 45A(1) must be in a prescribed form.</w:t>
      </w:r>
    </w:p>
    <w:p>
      <w:pPr>
        <w:pStyle w:val="Footnotesection"/>
      </w:pPr>
      <w:r>
        <w:tab/>
        <w:t>[Section 38 amended: No. 3 of 2019 s. 29.]</w:t>
      </w:r>
    </w:p>
    <w:p>
      <w:pPr>
        <w:pStyle w:val="Heading3"/>
      </w:pPr>
      <w:bookmarkStart w:id="75" w:name="_Toc5692892"/>
      <w:bookmarkStart w:id="76" w:name="_Toc5722256"/>
      <w:bookmarkStart w:id="77" w:name="_Toc5779645"/>
      <w:r>
        <w:rPr>
          <w:rStyle w:val="CharDivNo"/>
        </w:rPr>
        <w:t>Division 2</w:t>
      </w:r>
      <w:r>
        <w:t> — </w:t>
      </w:r>
      <w:r>
        <w:rPr>
          <w:rStyle w:val="CharDivText"/>
        </w:rPr>
        <w:t>Notice of termination by park operator</w:t>
      </w:r>
      <w:bookmarkEnd w:id="74"/>
      <w:bookmarkEnd w:id="75"/>
      <w:bookmarkEnd w:id="76"/>
      <w:bookmarkEnd w:id="77"/>
    </w:p>
    <w:p>
      <w:pPr>
        <w:pStyle w:val="Heading5"/>
      </w:pPr>
      <w:bookmarkStart w:id="78" w:name="_Toc5779646"/>
      <w:r>
        <w:rPr>
          <w:rStyle w:val="CharSectno"/>
        </w:rPr>
        <w:t>39</w:t>
      </w:r>
      <w:r>
        <w:t>.</w:t>
      </w:r>
      <w:r>
        <w:tab/>
        <w:t>Termination by park operator for non</w:t>
      </w:r>
      <w:r>
        <w:noBreakHyphen/>
        <w:t>payment of rent</w:t>
      </w:r>
      <w:bookmarkEnd w:id="78"/>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79" w:name="_Toc5779647"/>
      <w:r>
        <w:rPr>
          <w:rStyle w:val="CharSectno"/>
        </w:rPr>
        <w:t>40</w:t>
      </w:r>
      <w:r>
        <w:t>.</w:t>
      </w:r>
      <w:r>
        <w:tab/>
        <w:t>Termination by park operator for other breaches</w:t>
      </w:r>
      <w:bookmarkEnd w:id="79"/>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80" w:name="_Toc5779648"/>
      <w:r>
        <w:rPr>
          <w:rStyle w:val="CharSectno"/>
        </w:rPr>
        <w:t>41</w:t>
      </w:r>
      <w:r>
        <w:t>.</w:t>
      </w:r>
      <w:r>
        <w:tab/>
        <w:t>Termination if vacant possession required on sale of park</w:t>
      </w:r>
      <w:bookmarkEnd w:id="80"/>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for this subsection: a fine of $10 000.</w:t>
      </w:r>
    </w:p>
    <w:p>
      <w:pPr>
        <w:pStyle w:val="Footnotesection"/>
      </w:pPr>
      <w:r>
        <w:tab/>
        <w:t>[Section 41 amended: No. 3 of 2019 s. 39.]</w:t>
      </w:r>
    </w:p>
    <w:p>
      <w:pPr>
        <w:pStyle w:val="Heading5"/>
      </w:pPr>
      <w:bookmarkStart w:id="81" w:name="_Toc5779649"/>
      <w:r>
        <w:rPr>
          <w:rStyle w:val="CharSectno"/>
        </w:rPr>
        <w:t>42</w:t>
      </w:r>
      <w:r>
        <w:t>.</w:t>
      </w:r>
      <w:r>
        <w:tab/>
        <w:t>Termination by park operator without grounds</w:t>
      </w:r>
      <w:bookmarkEnd w:id="81"/>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82" w:name="_Toc5779650"/>
      <w:r>
        <w:rPr>
          <w:rStyle w:val="CharSectno"/>
        </w:rPr>
        <w:t>43</w:t>
      </w:r>
      <w:r>
        <w:t>.</w:t>
      </w:r>
      <w:r>
        <w:tab/>
        <w:t>Notice not waived by acceptance of rent</w:t>
      </w:r>
      <w:bookmarkEnd w:id="82"/>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ageBreakBefore/>
        <w:spacing w:before="0"/>
      </w:pPr>
      <w:bookmarkStart w:id="83" w:name="_Toc5621702"/>
      <w:bookmarkStart w:id="84" w:name="_Toc5692898"/>
      <w:bookmarkStart w:id="85" w:name="_Toc5722262"/>
      <w:bookmarkStart w:id="86" w:name="_Toc5779651"/>
      <w:r>
        <w:rPr>
          <w:rStyle w:val="CharDivNo"/>
        </w:rPr>
        <w:t>Division 3</w:t>
      </w:r>
      <w:r>
        <w:t> — </w:t>
      </w:r>
      <w:r>
        <w:rPr>
          <w:rStyle w:val="CharDivText"/>
        </w:rPr>
        <w:t>Notice of termination by tenant</w:t>
      </w:r>
      <w:bookmarkEnd w:id="83"/>
      <w:bookmarkEnd w:id="84"/>
      <w:bookmarkEnd w:id="85"/>
      <w:bookmarkEnd w:id="86"/>
    </w:p>
    <w:p>
      <w:pPr>
        <w:pStyle w:val="Heading5"/>
      </w:pPr>
      <w:bookmarkStart w:id="87" w:name="_Toc5779652"/>
      <w:r>
        <w:rPr>
          <w:rStyle w:val="CharSectno"/>
        </w:rPr>
        <w:t>44</w:t>
      </w:r>
      <w:r>
        <w:t>.</w:t>
      </w:r>
      <w:r>
        <w:tab/>
        <w:t>Termination by tenant without grounds</w:t>
      </w:r>
      <w:bookmarkEnd w:id="87"/>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88" w:name="_Toc5621704"/>
      <w:bookmarkStart w:id="89" w:name="_Toc5692900"/>
      <w:bookmarkStart w:id="90" w:name="_Toc5722264"/>
      <w:bookmarkStart w:id="91" w:name="_Toc5779653"/>
      <w:r>
        <w:rPr>
          <w:rStyle w:val="CharDivNo"/>
        </w:rPr>
        <w:t>Division 4</w:t>
      </w:r>
      <w:r>
        <w:t> — </w:t>
      </w:r>
      <w:r>
        <w:rPr>
          <w:rStyle w:val="CharDivText"/>
        </w:rPr>
        <w:t>Notice of termination by park operator or tenant — agreement frustrated</w:t>
      </w:r>
      <w:bookmarkEnd w:id="88"/>
      <w:bookmarkEnd w:id="89"/>
      <w:bookmarkEnd w:id="90"/>
      <w:bookmarkEnd w:id="91"/>
    </w:p>
    <w:p>
      <w:pPr>
        <w:pStyle w:val="Heading5"/>
      </w:pPr>
      <w:bookmarkStart w:id="92" w:name="_Toc5779654"/>
      <w:r>
        <w:rPr>
          <w:rStyle w:val="CharSectno"/>
        </w:rPr>
        <w:t>45</w:t>
      </w:r>
      <w:r>
        <w:t>.</w:t>
      </w:r>
      <w:r>
        <w:tab/>
        <w:t>Termination if agreement frustrated</w:t>
      </w:r>
      <w:bookmarkEnd w:id="92"/>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93" w:name="_Toc5692902"/>
      <w:bookmarkStart w:id="94" w:name="_Toc5722266"/>
      <w:bookmarkStart w:id="95" w:name="_Toc5779655"/>
      <w:bookmarkStart w:id="96" w:name="_Toc5621706"/>
      <w:r>
        <w:rPr>
          <w:rStyle w:val="CharDivNo"/>
        </w:rPr>
        <w:t>Division 4A</w:t>
      </w:r>
      <w:r>
        <w:t> — </w:t>
      </w:r>
      <w:r>
        <w:rPr>
          <w:rStyle w:val="CharDivText"/>
        </w:rPr>
        <w:t>Special provisions about termination of tenant’s interest on grounds of family violence</w:t>
      </w:r>
      <w:bookmarkEnd w:id="93"/>
      <w:bookmarkEnd w:id="94"/>
      <w:bookmarkEnd w:id="95"/>
    </w:p>
    <w:p>
      <w:pPr>
        <w:pStyle w:val="Footnoteheading"/>
      </w:pPr>
      <w:r>
        <w:tab/>
        <w:t>[Heading inserted: No. 3 of 2019 s. 30.]</w:t>
      </w:r>
    </w:p>
    <w:p>
      <w:pPr>
        <w:pStyle w:val="Heading5"/>
      </w:pPr>
      <w:bookmarkStart w:id="97" w:name="_Toc5779656"/>
      <w:r>
        <w:rPr>
          <w:rStyle w:val="CharSectno"/>
        </w:rPr>
        <w:t>45A</w:t>
      </w:r>
      <w:r>
        <w:t>.</w:t>
      </w:r>
      <w:r>
        <w:tab/>
        <w:t>Notice of termination of tenant’s interest on ground that tenant subject to family violence</w:t>
      </w:r>
      <w:bookmarkEnd w:id="97"/>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98" w:name="_Toc5779657"/>
      <w:r>
        <w:rPr>
          <w:rStyle w:val="CharSectno"/>
        </w:rPr>
        <w:t>45B</w:t>
      </w:r>
      <w:r>
        <w:t>.</w:t>
      </w:r>
      <w:r>
        <w:tab/>
        <w:t>Rights of co</w:t>
      </w:r>
      <w:r>
        <w:noBreakHyphen/>
        <w:t>tenants after notice under s. 45A</w:t>
      </w:r>
      <w:bookmarkEnd w:id="98"/>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99" w:name="_Toc5779658"/>
      <w:r>
        <w:rPr>
          <w:rStyle w:val="CharSectno"/>
        </w:rPr>
        <w:t>45C</w:t>
      </w:r>
      <w:r>
        <w:t>.</w:t>
      </w:r>
      <w:r>
        <w:tab/>
        <w:t>Review of Division</w:t>
      </w:r>
      <w:bookmarkEnd w:id="99"/>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100" w:name="_Toc5692906"/>
      <w:bookmarkStart w:id="101" w:name="_Toc5722270"/>
      <w:bookmarkStart w:id="102" w:name="_Toc5779659"/>
      <w:r>
        <w:rPr>
          <w:rStyle w:val="CharDivNo"/>
        </w:rPr>
        <w:t>Division 5</w:t>
      </w:r>
      <w:r>
        <w:t> — </w:t>
      </w:r>
      <w:r>
        <w:rPr>
          <w:rStyle w:val="CharDivText"/>
        </w:rPr>
        <w:t>Compensation</w:t>
      </w:r>
      <w:bookmarkEnd w:id="96"/>
      <w:bookmarkEnd w:id="100"/>
      <w:bookmarkEnd w:id="101"/>
      <w:bookmarkEnd w:id="102"/>
    </w:p>
    <w:p>
      <w:pPr>
        <w:pStyle w:val="Heading5"/>
      </w:pPr>
      <w:bookmarkStart w:id="103" w:name="_Toc5779660"/>
      <w:r>
        <w:rPr>
          <w:rStyle w:val="CharSectno"/>
        </w:rPr>
        <w:t>46</w:t>
      </w:r>
      <w:r>
        <w:t>.</w:t>
      </w:r>
      <w:r>
        <w:tab/>
        <w:t>When long</w:t>
      </w:r>
      <w:r>
        <w:noBreakHyphen/>
        <w:t>stay tenant is entitled to compensation</w:t>
      </w:r>
      <w:bookmarkEnd w:id="103"/>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04" w:name="_Toc5779661"/>
      <w:r>
        <w:rPr>
          <w:rStyle w:val="CharSectno"/>
        </w:rPr>
        <w:t>47</w:t>
      </w:r>
      <w:r>
        <w:t>.</w:t>
      </w:r>
      <w:r>
        <w:tab/>
        <w:t>When park operator is entitled to compensation</w:t>
      </w:r>
      <w:bookmarkEnd w:id="104"/>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05" w:name="_Toc5621709"/>
      <w:bookmarkStart w:id="106" w:name="_Toc5692909"/>
      <w:bookmarkStart w:id="107" w:name="_Toc5722273"/>
      <w:bookmarkStart w:id="108" w:name="_Toc5779662"/>
      <w:r>
        <w:rPr>
          <w:rStyle w:val="CharDivNo"/>
        </w:rPr>
        <w:t>Division 6</w:t>
      </w:r>
      <w:r>
        <w:t> — </w:t>
      </w:r>
      <w:r>
        <w:rPr>
          <w:rStyle w:val="CharDivText"/>
        </w:rPr>
        <w:t>Abandoned goods</w:t>
      </w:r>
      <w:bookmarkEnd w:id="105"/>
      <w:bookmarkEnd w:id="106"/>
      <w:bookmarkEnd w:id="107"/>
      <w:bookmarkEnd w:id="108"/>
    </w:p>
    <w:p>
      <w:pPr>
        <w:pStyle w:val="Heading5"/>
      </w:pPr>
      <w:bookmarkStart w:id="109" w:name="_Toc5779663"/>
      <w:r>
        <w:rPr>
          <w:rStyle w:val="CharSectno"/>
        </w:rPr>
        <w:t>48</w:t>
      </w:r>
      <w:r>
        <w:t>.</w:t>
      </w:r>
      <w:r>
        <w:tab/>
        <w:t>Disposing of goods abandoned by tenant</w:t>
      </w:r>
      <w:bookmarkEnd w:id="109"/>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110" w:name="_Toc5779664"/>
      <w:r>
        <w:rPr>
          <w:rStyle w:val="CharSectno"/>
        </w:rPr>
        <w:t>49</w:t>
      </w:r>
      <w:r>
        <w:t>.</w:t>
      </w:r>
      <w:r>
        <w:tab/>
        <w:t>Tenant’s right to reclaim abandoned goods put into storage</w:t>
      </w:r>
      <w:bookmarkEnd w:id="110"/>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11" w:name="_Toc5779665"/>
      <w:r>
        <w:rPr>
          <w:rStyle w:val="CharSectno"/>
        </w:rPr>
        <w:t>50</w:t>
      </w:r>
      <w:r>
        <w:t>.</w:t>
      </w:r>
      <w:r>
        <w:tab/>
        <w:t>Title acquired by purchaser of abandoned goods</w:t>
      </w:r>
      <w:bookmarkEnd w:id="111"/>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12" w:name="_Toc5779666"/>
      <w:r>
        <w:rPr>
          <w:rStyle w:val="CharSectno"/>
        </w:rPr>
        <w:t>51</w:t>
      </w:r>
      <w:r>
        <w:t>.</w:t>
      </w:r>
      <w:r>
        <w:tab/>
        <w:t>Park operator’s liability for abandoned goods</w:t>
      </w:r>
      <w:bookmarkEnd w:id="112"/>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p>
    <w:p>
      <w:pPr>
        <w:pStyle w:val="Heading5"/>
      </w:pPr>
      <w:bookmarkStart w:id="113" w:name="_Toc5779667"/>
      <w:r>
        <w:rPr>
          <w:rStyle w:val="CharSectno"/>
        </w:rPr>
        <w:t>52</w:t>
      </w:r>
      <w:r>
        <w:t>.</w:t>
      </w:r>
      <w:r>
        <w:tab/>
        <w:t>Disposition of proceeds of sale of abandoned goods</w:t>
      </w:r>
      <w:bookmarkEnd w:id="113"/>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114" w:name="_Toc5621715"/>
      <w:bookmarkStart w:id="115" w:name="_Toc5692915"/>
      <w:bookmarkStart w:id="116" w:name="_Toc5722279"/>
      <w:bookmarkStart w:id="117" w:name="_Toc5779668"/>
      <w:r>
        <w:rPr>
          <w:rStyle w:val="CharDivNo"/>
        </w:rPr>
        <w:t>Division 7</w:t>
      </w:r>
      <w:r>
        <w:t> — </w:t>
      </w:r>
      <w:r>
        <w:rPr>
          <w:rStyle w:val="CharDivText"/>
        </w:rPr>
        <w:t>Miscellaneous provisions</w:t>
      </w:r>
      <w:bookmarkEnd w:id="114"/>
      <w:bookmarkEnd w:id="115"/>
      <w:bookmarkEnd w:id="116"/>
      <w:bookmarkEnd w:id="117"/>
    </w:p>
    <w:p>
      <w:pPr>
        <w:pStyle w:val="Heading5"/>
      </w:pPr>
      <w:bookmarkStart w:id="118" w:name="_Toc5779669"/>
      <w:r>
        <w:rPr>
          <w:rStyle w:val="CharSectno"/>
        </w:rPr>
        <w:t>53</w:t>
      </w:r>
      <w:r>
        <w:t>.</w:t>
      </w:r>
      <w:r>
        <w:tab/>
        <w:t>Duty of mitigation following breach of agreement</w:t>
      </w:r>
      <w:bookmarkEnd w:id="118"/>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19" w:name="_Toc5779670"/>
      <w:r>
        <w:rPr>
          <w:rStyle w:val="CharSectno"/>
        </w:rPr>
        <w:t>54</w:t>
      </w:r>
      <w:r>
        <w:t>.</w:t>
      </w:r>
      <w:r>
        <w:tab/>
        <w:t>No recovery of vacant possession during tenancy period</w:t>
      </w:r>
      <w:bookmarkEnd w:id="119"/>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120" w:name="_Toc5621718"/>
      <w:bookmarkStart w:id="121" w:name="_Toc5692918"/>
      <w:bookmarkStart w:id="122" w:name="_Toc5722282"/>
      <w:bookmarkStart w:id="123" w:name="_Toc5779671"/>
      <w:r>
        <w:rPr>
          <w:rStyle w:val="CharPartNo"/>
        </w:rPr>
        <w:t>Part 4</w:t>
      </w:r>
      <w:r>
        <w:t> — </w:t>
      </w:r>
      <w:r>
        <w:rPr>
          <w:rStyle w:val="CharPartText"/>
        </w:rPr>
        <w:t>Other matters related to residential parks</w:t>
      </w:r>
      <w:bookmarkEnd w:id="120"/>
      <w:bookmarkEnd w:id="121"/>
      <w:bookmarkEnd w:id="122"/>
      <w:bookmarkEnd w:id="123"/>
    </w:p>
    <w:p>
      <w:pPr>
        <w:pStyle w:val="Heading3"/>
      </w:pPr>
      <w:bookmarkStart w:id="124" w:name="_Toc5621719"/>
      <w:bookmarkStart w:id="125" w:name="_Toc5692919"/>
      <w:bookmarkStart w:id="126" w:name="_Toc5722283"/>
      <w:bookmarkStart w:id="127" w:name="_Toc5779672"/>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124"/>
      <w:bookmarkEnd w:id="125"/>
      <w:bookmarkEnd w:id="126"/>
      <w:bookmarkEnd w:id="127"/>
    </w:p>
    <w:p>
      <w:pPr>
        <w:pStyle w:val="Heading5"/>
      </w:pPr>
      <w:bookmarkStart w:id="128" w:name="_Toc5779673"/>
      <w:r>
        <w:rPr>
          <w:rStyle w:val="CharSectno"/>
        </w:rPr>
        <w:t>55</w:t>
      </w:r>
      <w:r>
        <w:t>.</w:t>
      </w:r>
      <w:r>
        <w:tab/>
        <w:t>Long</w:t>
      </w:r>
      <w:r>
        <w:noBreakHyphen/>
        <w:t>stay tenant’s right to sell relocatable home on site</w:t>
      </w:r>
      <w:bookmarkEnd w:id="128"/>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129" w:name="_Toc5779674"/>
      <w:r>
        <w:rPr>
          <w:rStyle w:val="CharSectno"/>
        </w:rPr>
        <w:t>56</w:t>
      </w:r>
      <w:r>
        <w:t>.</w:t>
      </w:r>
      <w:r>
        <w:tab/>
        <w:t>Park operator’s obligations</w:t>
      </w:r>
      <w:bookmarkEnd w:id="129"/>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130" w:name="_Toc5779675"/>
      <w:r>
        <w:rPr>
          <w:rStyle w:val="CharSectno"/>
        </w:rPr>
        <w:t>57</w:t>
      </w:r>
      <w:r>
        <w:t>.</w:t>
      </w:r>
      <w:r>
        <w:tab/>
        <w:t>When park operator acts as agent in sale on site</w:t>
      </w:r>
      <w:bookmarkEnd w:id="130"/>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131" w:name="_Toc5779676"/>
      <w:r>
        <w:rPr>
          <w:rStyle w:val="CharSectno"/>
        </w:rPr>
        <w:t>58</w:t>
      </w:r>
      <w:r>
        <w:t>.</w:t>
      </w:r>
      <w:r>
        <w:tab/>
        <w:t>Park operator’s authority to act as selling agent</w:t>
      </w:r>
      <w:bookmarkEnd w:id="131"/>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5"/>
      </w:pPr>
      <w:bookmarkStart w:id="132" w:name="_Toc5779677"/>
      <w:bookmarkStart w:id="133" w:name="_Toc5621724"/>
      <w:r>
        <w:rPr>
          <w:rStyle w:val="CharSectno"/>
        </w:rPr>
        <w:t>58A</w:t>
      </w:r>
      <w:r>
        <w:t>.</w:t>
      </w:r>
      <w:r>
        <w:tab/>
        <w:t>Discrimination against tenants subjected or exposed to family violence</w:t>
      </w:r>
      <w:bookmarkEnd w:id="132"/>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134" w:name="_Toc5692925"/>
      <w:bookmarkStart w:id="135" w:name="_Toc5722289"/>
      <w:bookmarkStart w:id="136" w:name="_Toc5779678"/>
      <w:r>
        <w:rPr>
          <w:rStyle w:val="CharDivNo"/>
        </w:rPr>
        <w:t>Division 2</w:t>
      </w:r>
      <w:r>
        <w:t> — </w:t>
      </w:r>
      <w:r>
        <w:rPr>
          <w:rStyle w:val="CharDivText"/>
        </w:rPr>
        <w:t>Park liaison committees</w:t>
      </w:r>
      <w:bookmarkEnd w:id="133"/>
      <w:bookmarkEnd w:id="134"/>
      <w:bookmarkEnd w:id="135"/>
      <w:bookmarkEnd w:id="136"/>
    </w:p>
    <w:p>
      <w:pPr>
        <w:pStyle w:val="Heading5"/>
      </w:pPr>
      <w:bookmarkStart w:id="137" w:name="_Toc5779679"/>
      <w:r>
        <w:rPr>
          <w:rStyle w:val="CharSectno"/>
        </w:rPr>
        <w:t>59</w:t>
      </w:r>
      <w:r>
        <w:t>.</w:t>
      </w:r>
      <w:r>
        <w:tab/>
        <w:t>Establishment of park liaison committee</w:t>
      </w:r>
      <w:bookmarkEnd w:id="137"/>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for this subsection: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39.]</w:t>
      </w:r>
    </w:p>
    <w:p>
      <w:pPr>
        <w:pStyle w:val="Heading5"/>
      </w:pPr>
      <w:bookmarkStart w:id="138" w:name="_Toc5779680"/>
      <w:r>
        <w:rPr>
          <w:rStyle w:val="CharSectno"/>
        </w:rPr>
        <w:t>60</w:t>
      </w:r>
      <w:r>
        <w:t>.</w:t>
      </w:r>
      <w:r>
        <w:tab/>
        <w:t>Constitution of park liaison committee</w:t>
      </w:r>
      <w:bookmarkEnd w:id="138"/>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139" w:name="_Toc5779681"/>
      <w:r>
        <w:rPr>
          <w:rStyle w:val="CharSectno"/>
        </w:rPr>
        <w:t>61</w:t>
      </w:r>
      <w:r>
        <w:t>.</w:t>
      </w:r>
      <w:r>
        <w:tab/>
        <w:t>Functions of park liaison committee</w:t>
      </w:r>
      <w:bookmarkEnd w:id="139"/>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140" w:name="_Toc5621728"/>
      <w:bookmarkStart w:id="141" w:name="_Toc5692929"/>
      <w:bookmarkStart w:id="142" w:name="_Toc5722293"/>
      <w:bookmarkStart w:id="143" w:name="_Toc5779682"/>
      <w:r>
        <w:rPr>
          <w:rStyle w:val="CharPartNo"/>
        </w:rPr>
        <w:t>Part 5</w:t>
      </w:r>
      <w:r>
        <w:t> — </w:t>
      </w:r>
      <w:r>
        <w:rPr>
          <w:rStyle w:val="CharPartText"/>
        </w:rPr>
        <w:t>State Administrative Tribunal powers</w:t>
      </w:r>
      <w:bookmarkEnd w:id="140"/>
      <w:bookmarkEnd w:id="141"/>
      <w:bookmarkEnd w:id="142"/>
      <w:bookmarkEnd w:id="143"/>
    </w:p>
    <w:p>
      <w:pPr>
        <w:pStyle w:val="Heading3"/>
      </w:pPr>
      <w:bookmarkStart w:id="144" w:name="_Toc5621729"/>
      <w:bookmarkStart w:id="145" w:name="_Toc5692930"/>
      <w:bookmarkStart w:id="146" w:name="_Toc5722294"/>
      <w:bookmarkStart w:id="147" w:name="_Toc5779683"/>
      <w:r>
        <w:rPr>
          <w:rStyle w:val="CharDivNo"/>
        </w:rPr>
        <w:t>Division 1</w:t>
      </w:r>
      <w:r>
        <w:t> — </w:t>
      </w:r>
      <w:r>
        <w:rPr>
          <w:rStyle w:val="CharDivText"/>
        </w:rPr>
        <w:t>General provisions</w:t>
      </w:r>
      <w:bookmarkEnd w:id="144"/>
      <w:bookmarkEnd w:id="145"/>
      <w:bookmarkEnd w:id="146"/>
      <w:bookmarkEnd w:id="147"/>
    </w:p>
    <w:p>
      <w:pPr>
        <w:pStyle w:val="Heading5"/>
      </w:pPr>
      <w:bookmarkStart w:id="148" w:name="_Toc5779684"/>
      <w:r>
        <w:rPr>
          <w:rStyle w:val="CharSectno"/>
        </w:rPr>
        <w:t>62</w:t>
      </w:r>
      <w:r>
        <w:t>.</w:t>
      </w:r>
      <w:r>
        <w:tab/>
        <w:t>Breaches of agreement and other disputes</w:t>
      </w:r>
      <w:bookmarkEnd w:id="148"/>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149" w:name="_Toc5779685"/>
      <w:r>
        <w:rPr>
          <w:rStyle w:val="CharSectno"/>
        </w:rPr>
        <w:t>63</w:t>
      </w:r>
      <w:r>
        <w:t>.</w:t>
      </w:r>
      <w:r>
        <w:tab/>
        <w:t>Orders for reduction of rent</w:t>
      </w:r>
      <w:bookmarkEnd w:id="149"/>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150" w:name="_Toc5779686"/>
      <w:r>
        <w:rPr>
          <w:rStyle w:val="CharSectno"/>
        </w:rPr>
        <w:t>64</w:t>
      </w:r>
      <w:r>
        <w:t>.</w:t>
      </w:r>
      <w:r>
        <w:tab/>
        <w:t>Orders when premises abandoned by tenant</w:t>
      </w:r>
      <w:bookmarkEnd w:id="150"/>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151" w:name="_Toc5779687"/>
      <w:r>
        <w:rPr>
          <w:rStyle w:val="CharSectno"/>
        </w:rPr>
        <w:t>65</w:t>
      </w:r>
      <w:r>
        <w:t>.</w:t>
      </w:r>
      <w:r>
        <w:tab/>
        <w:t>Determination of compensation payable to long</w:t>
      </w:r>
      <w:r>
        <w:noBreakHyphen/>
        <w:t>stay tenant</w:t>
      </w:r>
      <w:bookmarkEnd w:id="151"/>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152" w:name="_Toc5621734"/>
      <w:bookmarkStart w:id="153" w:name="_Toc5692935"/>
      <w:bookmarkStart w:id="154" w:name="_Toc5722299"/>
      <w:bookmarkStart w:id="155" w:name="_Toc5779688"/>
      <w:r>
        <w:rPr>
          <w:rStyle w:val="CharDivNo"/>
        </w:rPr>
        <w:t>Division 2</w:t>
      </w:r>
      <w:r>
        <w:t> — </w:t>
      </w:r>
      <w:r>
        <w:rPr>
          <w:rStyle w:val="CharDivText"/>
        </w:rPr>
        <w:t>Orders relating to vacant possession</w:t>
      </w:r>
      <w:bookmarkEnd w:id="152"/>
      <w:bookmarkEnd w:id="153"/>
      <w:bookmarkEnd w:id="154"/>
      <w:bookmarkEnd w:id="155"/>
    </w:p>
    <w:p>
      <w:pPr>
        <w:pStyle w:val="Heading5"/>
      </w:pPr>
      <w:bookmarkStart w:id="156" w:name="_Toc5779689"/>
      <w:r>
        <w:rPr>
          <w:rStyle w:val="CharSectno"/>
        </w:rPr>
        <w:t>66</w:t>
      </w:r>
      <w:r>
        <w:t>.</w:t>
      </w:r>
      <w:r>
        <w:tab/>
        <w:t>Orders for vacant possession if rent not paid</w:t>
      </w:r>
      <w:bookmarkEnd w:id="156"/>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57" w:name="_Toc5779690"/>
      <w:r>
        <w:rPr>
          <w:rStyle w:val="CharSectno"/>
        </w:rPr>
        <w:t>67</w:t>
      </w:r>
      <w:r>
        <w:t>.</w:t>
      </w:r>
      <w:r>
        <w:tab/>
        <w:t>Orders for vacant possession at end of fixed term</w:t>
      </w:r>
      <w:bookmarkEnd w:id="157"/>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158" w:name="_Toc5779691"/>
      <w:r>
        <w:rPr>
          <w:rStyle w:val="CharSectno"/>
        </w:rPr>
        <w:t>68</w:t>
      </w:r>
      <w:r>
        <w:t>.</w:t>
      </w:r>
      <w:r>
        <w:tab/>
        <w:t>Orders for vacant possession on other grounds</w:t>
      </w:r>
      <w:bookmarkEnd w:id="158"/>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159" w:name="_Toc5779692"/>
      <w:r>
        <w:rPr>
          <w:rStyle w:val="CharSectno"/>
        </w:rPr>
        <w:t>69</w:t>
      </w:r>
      <w:r>
        <w:t>.</w:t>
      </w:r>
      <w:r>
        <w:tab/>
        <w:t>Orders for compensation to park operator for holding over</w:t>
      </w:r>
      <w:bookmarkEnd w:id="159"/>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160" w:name="_Toc5779693"/>
      <w:r>
        <w:rPr>
          <w:rStyle w:val="CharSectno"/>
        </w:rPr>
        <w:t>70</w:t>
      </w:r>
      <w:r>
        <w:t>.</w:t>
      </w:r>
      <w:r>
        <w:tab/>
        <w:t>Tenant’s protection against holder of superior title</w:t>
      </w:r>
      <w:bookmarkEnd w:id="160"/>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161" w:name="_Toc5621740"/>
      <w:bookmarkStart w:id="162" w:name="_Toc5692941"/>
      <w:bookmarkStart w:id="163" w:name="_Toc5722305"/>
      <w:bookmarkStart w:id="164" w:name="_Toc5779694"/>
      <w:r>
        <w:rPr>
          <w:rStyle w:val="CharDivNo"/>
        </w:rPr>
        <w:t>Division 3</w:t>
      </w:r>
      <w:r>
        <w:t> — </w:t>
      </w:r>
      <w:r>
        <w:rPr>
          <w:rStyle w:val="CharDivText"/>
        </w:rPr>
        <w:t>Orders relating to termination of agreements</w:t>
      </w:r>
      <w:bookmarkEnd w:id="161"/>
      <w:bookmarkEnd w:id="162"/>
      <w:bookmarkEnd w:id="163"/>
      <w:bookmarkEnd w:id="164"/>
    </w:p>
    <w:p>
      <w:pPr>
        <w:pStyle w:val="Heading5"/>
      </w:pPr>
      <w:bookmarkStart w:id="165" w:name="_Toc5779695"/>
      <w:r>
        <w:rPr>
          <w:rStyle w:val="CharSectno"/>
        </w:rPr>
        <w:t>71</w:t>
      </w:r>
      <w:r>
        <w:t>.</w:t>
      </w:r>
      <w:r>
        <w:tab/>
        <w:t>Orders to terminate agreement if tenant is causing damage or injury</w:t>
      </w:r>
      <w:bookmarkEnd w:id="165"/>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166" w:name="_Toc5779696"/>
      <w:r>
        <w:rPr>
          <w:rStyle w:val="CharSectno"/>
        </w:rPr>
        <w:t>72</w:t>
      </w:r>
      <w:r>
        <w:t>.</w:t>
      </w:r>
      <w:r>
        <w:tab/>
        <w:t>Orders to terminate agreement for breach by park operator</w:t>
      </w:r>
      <w:bookmarkEnd w:id="166"/>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67" w:name="_Toc5779697"/>
      <w:r>
        <w:rPr>
          <w:rStyle w:val="CharSectno"/>
        </w:rPr>
        <w:t>73</w:t>
      </w:r>
      <w:r>
        <w:t>.</w:t>
      </w:r>
      <w:r>
        <w:tab/>
        <w:t>Termination on grounds of hardship to park operator</w:t>
      </w:r>
      <w:bookmarkEnd w:id="167"/>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68" w:name="_Toc5779698"/>
      <w:r>
        <w:rPr>
          <w:rStyle w:val="CharSectno"/>
        </w:rPr>
        <w:t>74</w:t>
      </w:r>
      <w:r>
        <w:t>.</w:t>
      </w:r>
      <w:r>
        <w:tab/>
        <w:t>Tribunal’s power during fair rent proceedings</w:t>
      </w:r>
      <w:bookmarkEnd w:id="168"/>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169" w:name="_Toc5692946"/>
      <w:bookmarkStart w:id="170" w:name="_Toc5722310"/>
      <w:bookmarkStart w:id="171" w:name="_Toc5779699"/>
      <w:bookmarkStart w:id="172" w:name="_Toc5621745"/>
      <w:r>
        <w:rPr>
          <w:rStyle w:val="CharDivNo"/>
        </w:rPr>
        <w:t>Division 3A</w:t>
      </w:r>
      <w:r>
        <w:t> — </w:t>
      </w:r>
      <w:r>
        <w:rPr>
          <w:rStyle w:val="CharDivText"/>
        </w:rPr>
        <w:t>Orders relating to termination of tenant’s interest on grounds of family violence</w:t>
      </w:r>
      <w:bookmarkEnd w:id="169"/>
      <w:bookmarkEnd w:id="170"/>
      <w:bookmarkEnd w:id="171"/>
    </w:p>
    <w:p>
      <w:pPr>
        <w:pStyle w:val="Footnoteheading"/>
      </w:pPr>
      <w:r>
        <w:tab/>
        <w:t>[Heading inserted: No. 3 of 2019 s. 32.]</w:t>
      </w:r>
    </w:p>
    <w:p>
      <w:pPr>
        <w:pStyle w:val="Heading5"/>
      </w:pPr>
      <w:bookmarkStart w:id="173" w:name="_Toc5779700"/>
      <w:r>
        <w:rPr>
          <w:rStyle w:val="CharSectno"/>
        </w:rPr>
        <w:t>74A</w:t>
      </w:r>
      <w:r>
        <w:t>.</w:t>
      </w:r>
      <w:r>
        <w:tab/>
        <w:t>Review of notice of termination under s. 45A</w:t>
      </w:r>
      <w:bookmarkEnd w:id="173"/>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174" w:name="_Toc5779701"/>
      <w:r>
        <w:rPr>
          <w:rStyle w:val="CharSectno"/>
        </w:rPr>
        <w:t>74B</w:t>
      </w:r>
      <w:r>
        <w:t>.</w:t>
      </w:r>
      <w:r>
        <w:tab/>
        <w:t>Termination of tenant’s interest by SAT on grounds of family violence</w:t>
      </w:r>
      <w:bookmarkEnd w:id="174"/>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175" w:name="_Toc5779702"/>
      <w:r>
        <w:rPr>
          <w:rStyle w:val="CharSectno"/>
        </w:rPr>
        <w:t>74C</w:t>
      </w:r>
      <w:r>
        <w:t>.</w:t>
      </w:r>
      <w:r>
        <w:tab/>
        <w:t>Determination of rights and liabilities after termination of tenant’s interest on grounds of family violence</w:t>
      </w:r>
      <w:bookmarkEnd w:id="175"/>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176" w:name="_Toc5779703"/>
      <w:r>
        <w:rPr>
          <w:rStyle w:val="CharSectno"/>
        </w:rPr>
        <w:t>74D</w:t>
      </w:r>
      <w:r>
        <w:t>.</w:t>
      </w:r>
      <w:r>
        <w:tab/>
        <w:t>Review of Division</w:t>
      </w:r>
      <w:bookmarkEnd w:id="176"/>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177" w:name="_Toc5692951"/>
      <w:bookmarkStart w:id="178" w:name="_Toc5722315"/>
      <w:bookmarkStart w:id="179" w:name="_Toc5779704"/>
      <w:r>
        <w:rPr>
          <w:rStyle w:val="CharDivNo"/>
        </w:rPr>
        <w:t>Division 4</w:t>
      </w:r>
      <w:r>
        <w:t> — </w:t>
      </w:r>
      <w:r>
        <w:rPr>
          <w:rStyle w:val="CharDivText"/>
        </w:rPr>
        <w:t>Orders relating to abandoned goods</w:t>
      </w:r>
      <w:bookmarkEnd w:id="172"/>
      <w:bookmarkEnd w:id="177"/>
      <w:bookmarkEnd w:id="178"/>
      <w:bookmarkEnd w:id="179"/>
    </w:p>
    <w:p>
      <w:pPr>
        <w:pStyle w:val="Heading5"/>
      </w:pPr>
      <w:bookmarkStart w:id="180" w:name="_Toc5779705"/>
      <w:r>
        <w:rPr>
          <w:rStyle w:val="CharSectno"/>
        </w:rPr>
        <w:t>75</w:t>
      </w:r>
      <w:r>
        <w:t>.</w:t>
      </w:r>
      <w:r>
        <w:tab/>
        <w:t>Disposing of proceeds of sale of abandoned goods</w:t>
      </w:r>
      <w:bookmarkEnd w:id="180"/>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181" w:name="_Toc5779706"/>
      <w:r>
        <w:rPr>
          <w:rStyle w:val="CharSectno"/>
        </w:rPr>
        <w:t>76</w:t>
      </w:r>
      <w:r>
        <w:t>.</w:t>
      </w:r>
      <w:r>
        <w:tab/>
        <w:t>Park operator’s claim if sale proceeds insufficient</w:t>
      </w:r>
      <w:bookmarkEnd w:id="181"/>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No. 60 of 2011 s. 108.]</w:t>
      </w:r>
    </w:p>
    <w:p>
      <w:pPr>
        <w:pStyle w:val="Heading5"/>
      </w:pPr>
      <w:bookmarkStart w:id="182" w:name="_Toc5779707"/>
      <w:r>
        <w:rPr>
          <w:rStyle w:val="CharSectno"/>
        </w:rPr>
        <w:t>77</w:t>
      </w:r>
      <w:r>
        <w:t>.</w:t>
      </w:r>
      <w:r>
        <w:tab/>
        <w:t>Recovery by owner of value of goods sold</w:t>
      </w:r>
      <w:bookmarkEnd w:id="182"/>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p>
    <w:p>
      <w:pPr>
        <w:pStyle w:val="Heading3"/>
      </w:pPr>
      <w:bookmarkStart w:id="183" w:name="_Toc5621749"/>
      <w:bookmarkStart w:id="184" w:name="_Toc5692955"/>
      <w:bookmarkStart w:id="185" w:name="_Toc5722319"/>
      <w:bookmarkStart w:id="186" w:name="_Toc5779708"/>
      <w:r>
        <w:rPr>
          <w:rStyle w:val="CharDivNo"/>
        </w:rPr>
        <w:t>Division 5</w:t>
      </w:r>
      <w:r>
        <w:t> — </w:t>
      </w:r>
      <w:r>
        <w:rPr>
          <w:rStyle w:val="CharDivText"/>
        </w:rPr>
        <w:t>Miscellaneous provisions</w:t>
      </w:r>
      <w:bookmarkEnd w:id="183"/>
      <w:bookmarkEnd w:id="184"/>
      <w:bookmarkEnd w:id="185"/>
      <w:bookmarkEnd w:id="186"/>
    </w:p>
    <w:p>
      <w:pPr>
        <w:pStyle w:val="Heading5"/>
      </w:pPr>
      <w:bookmarkStart w:id="187" w:name="_Toc5779709"/>
      <w:r>
        <w:rPr>
          <w:rStyle w:val="CharSectno"/>
        </w:rPr>
        <w:t>78</w:t>
      </w:r>
      <w:r>
        <w:t>.</w:t>
      </w:r>
      <w:r>
        <w:tab/>
        <w:t>Term used: original party</w:t>
      </w:r>
      <w:bookmarkEnd w:id="187"/>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188" w:name="_Toc5779710"/>
      <w:r>
        <w:rPr>
          <w:rStyle w:val="CharSectno"/>
        </w:rPr>
        <w:t>79</w:t>
      </w:r>
      <w:r>
        <w:t>.</w:t>
      </w:r>
      <w:r>
        <w:tab/>
        <w:t>Proceedings instituted or defended by Commissioner</w:t>
      </w:r>
      <w:bookmarkEnd w:id="188"/>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189" w:name="_Toc5779711"/>
      <w:r>
        <w:rPr>
          <w:rStyle w:val="CharSectno"/>
        </w:rPr>
        <w:t>80</w:t>
      </w:r>
      <w:r>
        <w:t>.</w:t>
      </w:r>
      <w:r>
        <w:tab/>
        <w:t>Evidence in proceedings undertaken by Commissioner</w:t>
      </w:r>
      <w:bookmarkEnd w:id="189"/>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190" w:name="_Toc5779712"/>
      <w:r>
        <w:rPr>
          <w:rStyle w:val="CharSectno"/>
        </w:rPr>
        <w:t>81</w:t>
      </w:r>
      <w:r>
        <w:t>.</w:t>
      </w:r>
      <w:r>
        <w:tab/>
        <w:t>Conduct of legal proceedings by Commissioner</w:t>
      </w:r>
      <w:bookmarkEnd w:id="190"/>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191" w:name="_Toc5779713"/>
      <w:r>
        <w:rPr>
          <w:rStyle w:val="CharSectno"/>
        </w:rPr>
        <w:t>82</w:t>
      </w:r>
      <w:r>
        <w:t>.</w:t>
      </w:r>
      <w:r>
        <w:tab/>
        <w:t>Orders exempting persons from operation of Act</w:t>
      </w:r>
      <w:bookmarkEnd w:id="191"/>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192" w:name="_Toc5779714"/>
      <w:r>
        <w:rPr>
          <w:rStyle w:val="CharSectno"/>
        </w:rPr>
        <w:t>83</w:t>
      </w:r>
      <w:r>
        <w:t>.</w:t>
      </w:r>
      <w:r>
        <w:tab/>
        <w:t>Payment of costs and other amounts</w:t>
      </w:r>
      <w:bookmarkEnd w:id="192"/>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2"/>
      </w:pPr>
      <w:bookmarkStart w:id="193" w:name="_Toc5621756"/>
      <w:bookmarkStart w:id="194" w:name="_Toc5692962"/>
      <w:bookmarkStart w:id="195" w:name="_Toc5722326"/>
      <w:bookmarkStart w:id="196" w:name="_Toc5779715"/>
      <w:r>
        <w:rPr>
          <w:rStyle w:val="CharPartNo"/>
        </w:rPr>
        <w:t>Part 6</w:t>
      </w:r>
      <w:r>
        <w:rPr>
          <w:rStyle w:val="CharDivNo"/>
        </w:rPr>
        <w:t> </w:t>
      </w:r>
      <w:r>
        <w:t>—</w:t>
      </w:r>
      <w:r>
        <w:rPr>
          <w:rStyle w:val="CharDivText"/>
        </w:rPr>
        <w:t> </w:t>
      </w:r>
      <w:r>
        <w:rPr>
          <w:rStyle w:val="CharPartText"/>
        </w:rPr>
        <w:t>Other matters</w:t>
      </w:r>
      <w:bookmarkEnd w:id="193"/>
      <w:bookmarkEnd w:id="194"/>
      <w:bookmarkEnd w:id="195"/>
      <w:bookmarkEnd w:id="196"/>
    </w:p>
    <w:p>
      <w:pPr>
        <w:pStyle w:val="Heading5"/>
      </w:pPr>
      <w:bookmarkStart w:id="197" w:name="_Toc5779716"/>
      <w:r>
        <w:rPr>
          <w:rStyle w:val="CharSectno"/>
        </w:rPr>
        <w:t>84</w:t>
      </w:r>
      <w:r>
        <w:t>.</w:t>
      </w:r>
      <w:r>
        <w:tab/>
        <w:t>Commissioner</w:t>
      </w:r>
      <w:bookmarkEnd w:id="197"/>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198" w:name="_Toc5779717"/>
      <w:r>
        <w:rPr>
          <w:rStyle w:val="CharSectno"/>
        </w:rPr>
        <w:t>85</w:t>
      </w:r>
      <w:r>
        <w:t>.</w:t>
      </w:r>
      <w:r>
        <w:tab/>
        <w:t>Commissioner’s functions</w:t>
      </w:r>
      <w:bookmarkEnd w:id="198"/>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199" w:name="_Toc5779718"/>
      <w:r>
        <w:rPr>
          <w:rStyle w:val="CharSectno"/>
        </w:rPr>
        <w:t>86</w:t>
      </w:r>
      <w:r>
        <w:t>.</w:t>
      </w:r>
      <w:r>
        <w:tab/>
        <w:t>Delegation by Commissioner</w:t>
      </w:r>
      <w:bookmarkEnd w:id="19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00" w:name="_Toc5779719"/>
      <w:r>
        <w:rPr>
          <w:rStyle w:val="CharSectno"/>
        </w:rPr>
        <w:t>87</w:t>
      </w:r>
      <w:r>
        <w:t>.</w:t>
      </w:r>
      <w:r>
        <w:tab/>
        <w:t>Information officially obtained to be confidential</w:t>
      </w:r>
      <w:bookmarkEnd w:id="20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201" w:name="_Toc5779720"/>
      <w:r>
        <w:rPr>
          <w:rStyle w:val="CharSectno"/>
        </w:rPr>
        <w:t>88</w:t>
      </w:r>
      <w:r>
        <w:t>.</w:t>
      </w:r>
      <w:r>
        <w:tab/>
        <w:t>Protection from liability for wrongdoing</w:t>
      </w:r>
      <w:bookmarkEnd w:id="20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02" w:name="_Toc5779721"/>
      <w:r>
        <w:rPr>
          <w:rStyle w:val="CharSectno"/>
        </w:rPr>
        <w:t>89</w:t>
      </w:r>
      <w:r>
        <w:t>.</w:t>
      </w:r>
      <w:r>
        <w:tab/>
        <w:t>Judicial notice</w:t>
      </w:r>
      <w:bookmarkEnd w:id="202"/>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203" w:name="_Toc5779722"/>
      <w:r>
        <w:rPr>
          <w:rStyle w:val="CharSectno"/>
        </w:rPr>
        <w:t>90</w:t>
      </w:r>
      <w:r>
        <w:t>.</w:t>
      </w:r>
      <w:r>
        <w:tab/>
        <w:t>Time for commencement of offence proceedings</w:t>
      </w:r>
      <w:bookmarkEnd w:id="203"/>
    </w:p>
    <w:p>
      <w:pPr>
        <w:pStyle w:val="Subsection"/>
      </w:pPr>
      <w:r>
        <w:tab/>
      </w:r>
      <w:r>
        <w:tab/>
        <w:t>Proceedings for an offence against this Act cannot be commenced more than 2 years after the day on which the offence is alleged to have been committed.</w:t>
      </w:r>
    </w:p>
    <w:p>
      <w:pPr>
        <w:pStyle w:val="Heading5"/>
      </w:pPr>
      <w:bookmarkStart w:id="204" w:name="_Toc5779723"/>
      <w:r>
        <w:rPr>
          <w:rStyle w:val="CharSectno"/>
        </w:rPr>
        <w:t>91</w:t>
      </w:r>
      <w:r>
        <w:t>.</w:t>
      </w:r>
      <w:r>
        <w:tab/>
        <w:t>Service of documents</w:t>
      </w:r>
      <w:bookmarkEnd w:id="204"/>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205" w:name="_Toc5779724"/>
      <w:r>
        <w:rPr>
          <w:rStyle w:val="CharSectno"/>
        </w:rPr>
        <w:t>92</w:t>
      </w:r>
      <w:r>
        <w:t>.</w:t>
      </w:r>
      <w:r>
        <w:tab/>
        <w:t>Terms on which ADI holds security bond amounts</w:t>
      </w:r>
      <w:bookmarkEnd w:id="205"/>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No. 60 of 2011 s. 108.]</w:t>
      </w:r>
    </w:p>
    <w:p>
      <w:pPr>
        <w:pStyle w:val="Heading5"/>
      </w:pPr>
      <w:bookmarkStart w:id="206" w:name="_Toc5779725"/>
      <w:r>
        <w:rPr>
          <w:rStyle w:val="CharSectno"/>
        </w:rPr>
        <w:t>93</w:t>
      </w:r>
      <w:r>
        <w:t>.</w:t>
      </w:r>
      <w:r>
        <w:tab/>
        <w:t>Information from ADI about tenancy bond accounts</w:t>
      </w:r>
      <w:bookmarkEnd w:id="206"/>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keepNext/>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for this subsection: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for this subsection: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Footnotesection"/>
      </w:pPr>
      <w:r>
        <w:tab/>
        <w:t>[Section 93 amended: No. 3 of 2019 s. 39.]</w:t>
      </w:r>
    </w:p>
    <w:p>
      <w:pPr>
        <w:pStyle w:val="Heading5"/>
      </w:pPr>
      <w:bookmarkStart w:id="207" w:name="_Toc5779726"/>
      <w:r>
        <w:rPr>
          <w:rStyle w:val="CharSectno"/>
        </w:rPr>
        <w:t>94</w:t>
      </w:r>
      <w:r>
        <w:t>.</w:t>
      </w:r>
      <w:r>
        <w:tab/>
        <w:t>Responsibilities of bond administrator</w:t>
      </w:r>
      <w:bookmarkEnd w:id="207"/>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208" w:name="_Toc5779727"/>
      <w:r>
        <w:rPr>
          <w:rStyle w:val="CharSectno"/>
        </w:rPr>
        <w:t>94A</w:t>
      </w:r>
      <w:r>
        <w:t>.</w:t>
      </w:r>
      <w:r>
        <w:tab/>
        <w:t>Cross</w:t>
      </w:r>
      <w:r>
        <w:noBreakHyphen/>
        <w:t>examination of persons in proceedings involving family violence</w:t>
      </w:r>
      <w:bookmarkEnd w:id="208"/>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209" w:name="_Toc5779728"/>
      <w:r>
        <w:rPr>
          <w:rStyle w:val="CharSectno"/>
        </w:rPr>
        <w:t>95</w:t>
      </w:r>
      <w:r>
        <w:t>.</w:t>
      </w:r>
      <w:r>
        <w:tab/>
        <w:t>Regulations</w:t>
      </w:r>
      <w:bookmarkEnd w:id="2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w:t>
      </w:r>
    </w:p>
    <w:p>
      <w:pPr>
        <w:pStyle w:val="Heading5"/>
        <w:pageBreakBefore/>
        <w:spacing w:before="0"/>
      </w:pPr>
      <w:bookmarkStart w:id="210" w:name="_Toc5779729"/>
      <w:r>
        <w:rPr>
          <w:rStyle w:val="CharSectno"/>
        </w:rPr>
        <w:t>96</w:t>
      </w:r>
      <w:r>
        <w:t>.</w:t>
      </w:r>
      <w:r>
        <w:tab/>
        <w:t>Review of Act</w:t>
      </w:r>
      <w:bookmarkEnd w:id="210"/>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211" w:name="_Toc5779730"/>
      <w:r>
        <w:rPr>
          <w:rStyle w:val="CharSectno"/>
        </w:rPr>
        <w:t>97</w:t>
      </w:r>
      <w:r>
        <w:t>.</w:t>
      </w:r>
      <w:r>
        <w:tab/>
        <w:t>Transitional provisions</w:t>
      </w:r>
      <w:bookmarkEnd w:id="211"/>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2" w:name="_Toc5621771"/>
      <w:bookmarkStart w:id="213" w:name="_Toc5692978"/>
      <w:bookmarkStart w:id="214" w:name="_Toc5722342"/>
      <w:bookmarkStart w:id="215" w:name="_Toc5779731"/>
      <w:r>
        <w:rPr>
          <w:rStyle w:val="CharSchNo"/>
        </w:rPr>
        <w:t>Schedule 1</w:t>
      </w:r>
      <w:r>
        <w:t> — </w:t>
      </w:r>
      <w:r>
        <w:rPr>
          <w:rStyle w:val="CharSchText"/>
        </w:rPr>
        <w:t>Terms of long</w:t>
      </w:r>
      <w:r>
        <w:rPr>
          <w:rStyle w:val="CharSchText"/>
        </w:rPr>
        <w:noBreakHyphen/>
        <w:t>stay agreements</w:t>
      </w:r>
      <w:bookmarkEnd w:id="212"/>
      <w:bookmarkEnd w:id="213"/>
      <w:bookmarkEnd w:id="214"/>
      <w:bookmarkEnd w:id="215"/>
    </w:p>
    <w:p>
      <w:pPr>
        <w:pStyle w:val="yShoulderClause"/>
      </w:pPr>
      <w:r>
        <w:t>[s. 32]</w:t>
      </w:r>
    </w:p>
    <w:p>
      <w:pPr>
        <w:pStyle w:val="yHeading3"/>
      </w:pPr>
      <w:bookmarkStart w:id="216" w:name="_Toc5621772"/>
      <w:bookmarkStart w:id="217" w:name="_Toc5692979"/>
      <w:bookmarkStart w:id="218" w:name="_Toc5722343"/>
      <w:bookmarkStart w:id="219" w:name="_Toc5779732"/>
      <w:r>
        <w:rPr>
          <w:rStyle w:val="CharSDivNo"/>
        </w:rPr>
        <w:t>Division 1</w:t>
      </w:r>
      <w:r>
        <w:t> — </w:t>
      </w:r>
      <w:r>
        <w:rPr>
          <w:rStyle w:val="CharSDivText"/>
        </w:rPr>
        <w:t>Vacant possession and no impediment to occupation</w:t>
      </w:r>
      <w:bookmarkEnd w:id="216"/>
      <w:bookmarkEnd w:id="217"/>
      <w:bookmarkEnd w:id="218"/>
      <w:bookmarkEnd w:id="219"/>
    </w:p>
    <w:p>
      <w:pPr>
        <w:pStyle w:val="yHeading5"/>
      </w:pPr>
      <w:bookmarkStart w:id="220" w:name="_Toc5779733"/>
      <w:r>
        <w:rPr>
          <w:rStyle w:val="CharSClsNo"/>
        </w:rPr>
        <w:t>1</w:t>
      </w:r>
      <w:r>
        <w:t>.</w:t>
      </w:r>
      <w:r>
        <w:tab/>
        <w:t>Vacant possession</w:t>
      </w:r>
      <w:bookmarkEnd w:id="220"/>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221" w:name="_Toc5779734"/>
      <w:r>
        <w:rPr>
          <w:rStyle w:val="CharSClsNo"/>
        </w:rPr>
        <w:t>2</w:t>
      </w:r>
      <w:r>
        <w:t>.</w:t>
      </w:r>
      <w:r>
        <w:tab/>
        <w:t>No legal impediment to occupation of tenanted premises</w:t>
      </w:r>
      <w:bookmarkEnd w:id="221"/>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222" w:name="_Toc5621775"/>
      <w:bookmarkStart w:id="223" w:name="_Toc5692982"/>
      <w:bookmarkStart w:id="224" w:name="_Toc5722346"/>
      <w:bookmarkStart w:id="225" w:name="_Toc5779735"/>
      <w:r>
        <w:rPr>
          <w:rStyle w:val="CharSDivNo"/>
        </w:rPr>
        <w:t>Division 2</w:t>
      </w:r>
      <w:r>
        <w:t> — Variation of rent</w:t>
      </w:r>
      <w:bookmarkEnd w:id="222"/>
      <w:bookmarkEnd w:id="223"/>
      <w:bookmarkEnd w:id="224"/>
      <w:bookmarkEnd w:id="225"/>
    </w:p>
    <w:p>
      <w:pPr>
        <w:pStyle w:val="yHeading5"/>
      </w:pPr>
      <w:bookmarkStart w:id="226" w:name="_Toc5779736"/>
      <w:r>
        <w:rPr>
          <w:rStyle w:val="CharSClsNo"/>
        </w:rPr>
        <w:t>3</w:t>
      </w:r>
      <w:r>
        <w:t>.</w:t>
      </w:r>
      <w:r>
        <w:tab/>
        <w:t>Provision for rent variation — on</w:t>
      </w:r>
      <w:r>
        <w:noBreakHyphen/>
        <w:t>site home agreement</w:t>
      </w:r>
      <w:bookmarkEnd w:id="226"/>
    </w:p>
    <w:p>
      <w:pPr>
        <w:pStyle w:val="ySubsection"/>
      </w:pPr>
      <w:r>
        <w:tab/>
      </w:r>
      <w:r>
        <w:tab/>
        <w:t>An on</w:t>
      </w:r>
      <w:r>
        <w:noBreakHyphen/>
        <w:t>site home agreement may exclude or limit the park operator’s right to increase rent under section 30.</w:t>
      </w:r>
    </w:p>
    <w:p>
      <w:pPr>
        <w:pStyle w:val="yHeading5"/>
      </w:pPr>
      <w:bookmarkStart w:id="227" w:name="_Toc5779737"/>
      <w:r>
        <w:rPr>
          <w:rStyle w:val="CharSClsNo"/>
        </w:rPr>
        <w:t>4</w:t>
      </w:r>
      <w:r>
        <w:t>.</w:t>
      </w:r>
      <w:r>
        <w:tab/>
        <w:t>Provision for rent variation — site</w:t>
      </w:r>
      <w:r>
        <w:noBreakHyphen/>
        <w:t>only agreements</w:t>
      </w:r>
      <w:bookmarkEnd w:id="227"/>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228" w:name="_Toc5621778"/>
      <w:bookmarkStart w:id="229" w:name="_Toc5692985"/>
      <w:bookmarkStart w:id="230" w:name="_Toc5722349"/>
      <w:bookmarkStart w:id="231" w:name="_Toc5779738"/>
      <w:r>
        <w:rPr>
          <w:rStyle w:val="CharSDivNo"/>
        </w:rPr>
        <w:t>Division 3</w:t>
      </w:r>
      <w:r>
        <w:t> — </w:t>
      </w:r>
      <w:r>
        <w:rPr>
          <w:rStyle w:val="CharSDivText"/>
        </w:rPr>
        <w:t>Cleanliness, damage and repair</w:t>
      </w:r>
      <w:bookmarkEnd w:id="228"/>
      <w:bookmarkEnd w:id="229"/>
      <w:bookmarkEnd w:id="230"/>
      <w:bookmarkEnd w:id="231"/>
    </w:p>
    <w:p>
      <w:pPr>
        <w:pStyle w:val="yHeading5"/>
      </w:pPr>
      <w:bookmarkStart w:id="232" w:name="_Toc5779739"/>
      <w:r>
        <w:rPr>
          <w:rStyle w:val="CharSClsNo"/>
        </w:rPr>
        <w:t>5</w:t>
      </w:r>
      <w:r>
        <w:t>.</w:t>
      </w:r>
      <w:r>
        <w:tab/>
        <w:t>Responsibility for cleanliness</w:t>
      </w:r>
      <w:bookmarkEnd w:id="232"/>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233" w:name="_Toc5779740"/>
      <w:r>
        <w:rPr>
          <w:rStyle w:val="CharSClsNo"/>
        </w:rPr>
        <w:t>6</w:t>
      </w:r>
      <w:r>
        <w:t>.</w:t>
      </w:r>
      <w:r>
        <w:tab/>
        <w:t>Responsibility for damage</w:t>
      </w:r>
      <w:bookmarkEnd w:id="233"/>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234" w:name="_Toc5779741"/>
      <w:r>
        <w:rPr>
          <w:rStyle w:val="CharSClsNo"/>
        </w:rPr>
        <w:t>7</w:t>
      </w:r>
      <w:r>
        <w:t>.</w:t>
      </w:r>
      <w:r>
        <w:tab/>
        <w:t>Park operator’s responsibility for cleanliness and repairs</w:t>
      </w:r>
      <w:bookmarkEnd w:id="234"/>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235" w:name="_Toc5779742"/>
      <w:r>
        <w:rPr>
          <w:rStyle w:val="CharSClsNo"/>
        </w:rPr>
        <w:t>8</w:t>
      </w:r>
      <w:r>
        <w:t>.</w:t>
      </w:r>
      <w:r>
        <w:tab/>
        <w:t>Compensation where tenant sees to repairs</w:t>
      </w:r>
      <w:bookmarkEnd w:id="235"/>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236" w:name="_Toc5621783"/>
      <w:bookmarkStart w:id="237" w:name="_Toc5692990"/>
      <w:bookmarkStart w:id="238" w:name="_Toc5722354"/>
      <w:bookmarkStart w:id="239" w:name="_Toc5779743"/>
      <w:r>
        <w:rPr>
          <w:rStyle w:val="CharSDivNo"/>
        </w:rPr>
        <w:t>Division 4</w:t>
      </w:r>
      <w:r>
        <w:t> — </w:t>
      </w:r>
      <w:r>
        <w:rPr>
          <w:rStyle w:val="CharSDivText"/>
        </w:rPr>
        <w:t>Children</w:t>
      </w:r>
      <w:bookmarkEnd w:id="236"/>
      <w:bookmarkEnd w:id="237"/>
      <w:bookmarkEnd w:id="238"/>
      <w:bookmarkEnd w:id="239"/>
      <w:r>
        <w:rPr>
          <w:rStyle w:val="CharSDivText"/>
        </w:rPr>
        <w:t xml:space="preserve"> </w:t>
      </w:r>
    </w:p>
    <w:p>
      <w:pPr>
        <w:pStyle w:val="yHeading5"/>
      </w:pPr>
      <w:bookmarkStart w:id="240" w:name="_Toc5779744"/>
      <w:r>
        <w:rPr>
          <w:rStyle w:val="CharSClsNo"/>
        </w:rPr>
        <w:t>9</w:t>
      </w:r>
      <w:r>
        <w:t>.</w:t>
      </w:r>
      <w:r>
        <w:tab/>
        <w:t>Permitting children to live on agreed premises</w:t>
      </w:r>
      <w:bookmarkEnd w:id="240"/>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241" w:name="_Toc5621785"/>
      <w:bookmarkStart w:id="242" w:name="_Toc5692992"/>
      <w:bookmarkStart w:id="243" w:name="_Toc5722356"/>
      <w:bookmarkStart w:id="244" w:name="_Toc5779745"/>
      <w:r>
        <w:rPr>
          <w:rStyle w:val="CharSDivNo"/>
        </w:rPr>
        <w:t>Division 5</w:t>
      </w:r>
      <w:r>
        <w:t> — </w:t>
      </w:r>
      <w:r>
        <w:rPr>
          <w:rStyle w:val="CharSDivText"/>
        </w:rPr>
        <w:t>Other terms</w:t>
      </w:r>
      <w:bookmarkEnd w:id="241"/>
      <w:bookmarkEnd w:id="242"/>
      <w:bookmarkEnd w:id="243"/>
      <w:bookmarkEnd w:id="244"/>
    </w:p>
    <w:p>
      <w:pPr>
        <w:pStyle w:val="yHeading5"/>
      </w:pPr>
      <w:bookmarkStart w:id="245" w:name="_Toc5779746"/>
      <w:r>
        <w:rPr>
          <w:rStyle w:val="CharSClsNo"/>
        </w:rPr>
        <w:t>10</w:t>
      </w:r>
      <w:r>
        <w:t>.</w:t>
      </w:r>
      <w:r>
        <w:tab/>
        <w:t>Tenant’s conduct on premises</w:t>
      </w:r>
      <w:bookmarkEnd w:id="245"/>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246" w:name="_Toc5779747"/>
      <w:r>
        <w:rPr>
          <w:rStyle w:val="CharSClsNo"/>
        </w:rPr>
        <w:t>11</w:t>
      </w:r>
      <w:r>
        <w:t>.</w:t>
      </w:r>
      <w:r>
        <w:tab/>
        <w:t>Quiet enjoyment</w:t>
      </w:r>
      <w:bookmarkEnd w:id="246"/>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247" w:name="_Toc5779748"/>
      <w:r>
        <w:rPr>
          <w:rStyle w:val="CharSClsNo"/>
        </w:rPr>
        <w:t>12</w:t>
      </w:r>
      <w:r>
        <w:t>.</w:t>
      </w:r>
      <w:r>
        <w:tab/>
        <w:t>Locks</w:t>
      </w:r>
      <w:bookmarkEnd w:id="247"/>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Except as provided in subclause (8), 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for this subclause: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for this subclause: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for this subclause: a fine of $20 000.</w:t>
      </w:r>
    </w:p>
    <w:p>
      <w:pPr>
        <w:pStyle w:val="ySubsection"/>
      </w:pPr>
      <w:r>
        <w:tab/>
        <w:t>(8)</w:t>
      </w:r>
      <w:r>
        <w:tab/>
        <w:t>It is a term of every on</w:t>
      </w:r>
      <w:r>
        <w:noBreakHyphen/>
        <w:t xml:space="preserve">site home agreement — </w:t>
      </w:r>
    </w:p>
    <w:p>
      <w:pPr>
        <w:pStyle w:val="yIndenta"/>
      </w:pPr>
      <w:r>
        <w:tab/>
        <w:t>(a)</w:t>
      </w:r>
      <w:r>
        <w:tab/>
        <w:t>that a long</w:t>
      </w:r>
      <w:r>
        <w:noBreakHyphen/>
        <w:t xml:space="preserve">stay tenant may alter or add any lock or similar device to the agreed premises — </w:t>
      </w:r>
    </w:p>
    <w:p>
      <w:pPr>
        <w:pStyle w:val="yIndenti0"/>
      </w:pPr>
      <w:r>
        <w:tab/>
        <w:t>(i)</w:t>
      </w:r>
      <w:r>
        <w:tab/>
        <w:t>after the termination of an excluded tenant’s interest in a long</w:t>
      </w:r>
      <w:r>
        <w:noBreakHyphen/>
        <w:t>stay agreement under section 74B; or</w:t>
      </w:r>
    </w:p>
    <w:p>
      <w:pPr>
        <w:pStyle w:val="yIndenti0"/>
      </w:pPr>
      <w:r>
        <w:tab/>
        <w:t>(ii)</w:t>
      </w:r>
      <w:r>
        <w:tab/>
        <w:t>in any event, if it is necessary to prevent the commission of family violence that the tenant suspects, on reasonable grounds, is likely to be committed against the tenant or a dependant of the tenant;</w:t>
      </w:r>
    </w:p>
    <w:p>
      <w:pPr>
        <w:pStyle w:val="yIndenta"/>
      </w:pPr>
      <w:r>
        <w:tab/>
      </w:r>
      <w:r>
        <w:tab/>
        <w:t>and</w:t>
      </w:r>
    </w:p>
    <w:p>
      <w:pPr>
        <w:pStyle w:val="y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yIndenta"/>
      </w:pPr>
      <w:r>
        <w:tab/>
        <w:t>(c)</w:t>
      </w:r>
      <w:r>
        <w:tab/>
        <w:t xml:space="preserve">that the park operator must not give a copy of a key referred to in paragraph (b) — </w:t>
      </w:r>
    </w:p>
    <w:p>
      <w:pPr>
        <w:pStyle w:val="yIndenti0"/>
      </w:pPr>
      <w:r>
        <w:tab/>
        <w:t>(i)</w:t>
      </w:r>
      <w:r>
        <w:tab/>
        <w:t>to an excluded tenant whose interest in the long</w:t>
      </w:r>
      <w:r>
        <w:noBreakHyphen/>
        <w:t>stay agreement has been terminated under section 74B; or</w:t>
      </w:r>
    </w:p>
    <w:p>
      <w:pPr>
        <w:pStyle w:val="yIndenti0"/>
      </w:pPr>
      <w:r>
        <w:tab/>
        <w:t>(ii)</w:t>
      </w:r>
      <w:r>
        <w:tab/>
        <w:t>in any event, to a person who the tenant has instructed the park operator in writing not to give the copy of the key.</w:t>
      </w:r>
    </w:p>
    <w:p>
      <w:pPr>
        <w:pStyle w:val="ySubsection"/>
      </w:pPr>
      <w:r>
        <w:tab/>
        <w:t>(9)</w:t>
      </w:r>
      <w:r>
        <w:tab/>
        <w:t>A long</w:t>
      </w:r>
      <w:r>
        <w:noBreakHyphen/>
        <w:t>stay tenant who breaches a term referred to in subclause (8)(b) without reasonable excuse, in addition to any civil liability that the tenant might incur, commits an offence.</w:t>
      </w:r>
    </w:p>
    <w:p>
      <w:pPr>
        <w:pStyle w:val="yPenstart"/>
      </w:pPr>
      <w:r>
        <w:tab/>
        <w:t>Penalty for this subclause: a fine of $5 000.</w:t>
      </w:r>
    </w:p>
    <w:p>
      <w:pPr>
        <w:pStyle w:val="ySubsection"/>
      </w:pPr>
      <w:r>
        <w:tab/>
        <w:t>(10)</w:t>
      </w:r>
      <w:r>
        <w:tab/>
        <w:t>Subclause (8)(b) does not apply if the park operator is a person reasonably suspected of being likely to commit the family violence referred to in subclause (8)(a)(ii).</w:t>
      </w:r>
    </w:p>
    <w:p>
      <w:pPr>
        <w:pStyle w:val="ySubsection"/>
      </w:pPr>
      <w:r>
        <w:tab/>
        <w:t>(11)</w:t>
      </w:r>
      <w:r>
        <w:tab/>
        <w:t>A park operator who breaches a term referred to in subclause (8)(c) without reasonable excuse, in addition to any civil liability that the park operator might incur, commits an offence.</w:t>
      </w:r>
    </w:p>
    <w:p>
      <w:pPr>
        <w:pStyle w:val="yPenstart"/>
      </w:pPr>
      <w:r>
        <w:tab/>
        <w:t>Penalty for this subclause: a fine of $20 000.</w:t>
      </w:r>
    </w:p>
    <w:p>
      <w:pPr>
        <w:pStyle w:val="yFootnotesection"/>
      </w:pPr>
      <w:r>
        <w:tab/>
        <w:t>[Clause 12 amended: No. 3 of 2019 s. 35 and 39.]</w:t>
      </w:r>
    </w:p>
    <w:p>
      <w:pPr>
        <w:pStyle w:val="yHeading5"/>
      </w:pPr>
      <w:bookmarkStart w:id="248" w:name="_Toc5779749"/>
      <w:r>
        <w:rPr>
          <w:rStyle w:val="CharSClsNo"/>
        </w:rPr>
        <w:t>13</w:t>
      </w:r>
      <w:r>
        <w:t>.</w:t>
      </w:r>
      <w:r>
        <w:tab/>
        <w:t>Park operator’s right of entry</w:t>
      </w:r>
      <w:bookmarkEnd w:id="248"/>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 or</w:t>
      </w:r>
    </w:p>
    <w:p>
      <w:pPr>
        <w:pStyle w:val="yIndenta"/>
      </w:pPr>
      <w:r>
        <w:tab/>
        <w:t>(ga)</w:t>
      </w:r>
      <w:r>
        <w:tab/>
        <w:t xml:space="preserve">for the purpose of inspecting the agreed premises and assessing any damage after the termination of a tenant’s interest under — </w:t>
      </w:r>
    </w:p>
    <w:p>
      <w:pPr>
        <w:pStyle w:val="yIndenti0"/>
      </w:pPr>
      <w:r>
        <w:tab/>
        <w:t>(i)</w:t>
      </w:r>
      <w:r>
        <w:tab/>
        <w:t>section 33(2A) or (2B); or</w:t>
      </w:r>
    </w:p>
    <w:p>
      <w:pPr>
        <w:pStyle w:val="yIndenti0"/>
      </w:pPr>
      <w:r>
        <w:tab/>
        <w:t>(ii)</w:t>
      </w:r>
      <w:r>
        <w:tab/>
        <w:t>section 74B.</w:t>
      </w:r>
    </w:p>
    <w:p>
      <w:pPr>
        <w:pStyle w:val="ySubsection"/>
      </w:pPr>
      <w:r>
        <w:tab/>
        <w:t>(3)</w:t>
      </w:r>
      <w:r>
        <w:tab/>
        <w:t>It is a term of every long</w:t>
      </w:r>
      <w:r>
        <w:noBreakHyphen/>
        <w:t xml:space="preserve">stay agreement that the park operator may enter the agreed premises under subclause (2)(ga)(i) — </w:t>
      </w:r>
    </w:p>
    <w:p>
      <w:pPr>
        <w:pStyle w:val="yIndenta"/>
      </w:pPr>
      <w:r>
        <w:tab/>
        <w:t>(a)</w:t>
      </w:r>
      <w:r>
        <w:tab/>
        <w:t xml:space="preserve">not more than 7 days after receiving notice of termination under section 45A(1) or 45B(4); and </w:t>
      </w:r>
    </w:p>
    <w:p>
      <w:pPr>
        <w:pStyle w:val="yIndenta"/>
      </w:pPr>
      <w:r>
        <w:tab/>
        <w:t>(b)</w:t>
      </w:r>
      <w:r>
        <w:tab/>
        <w:t>not less than 3 days after giving notice to the long</w:t>
      </w:r>
      <w:r>
        <w:noBreakHyphen/>
        <w:t>stay tenant of the park operator’s intention to enter the agreed premises.</w:t>
      </w:r>
    </w:p>
    <w:p>
      <w:pPr>
        <w:pStyle w:val="ySubsection"/>
      </w:pPr>
      <w:r>
        <w:tab/>
        <w:t>(4)</w:t>
      </w:r>
      <w:r>
        <w:tab/>
        <w:t>It is a term of every long</w:t>
      </w:r>
      <w:r>
        <w:noBreakHyphen/>
        <w:t xml:space="preserve">stay agreement that the park operator may enter the agreed premises under subclause (2)(ga)(ii) — </w:t>
      </w:r>
    </w:p>
    <w:p>
      <w:pPr>
        <w:pStyle w:val="yIndenta"/>
      </w:pPr>
      <w:r>
        <w:tab/>
        <w:t>(a)</w:t>
      </w:r>
      <w:r>
        <w:tab/>
        <w:t xml:space="preserve">not more than 10 days before the hearing of the application under section 74B; and </w:t>
      </w:r>
    </w:p>
    <w:p>
      <w:pPr>
        <w:pStyle w:val="yIndenta"/>
        <w:keepNext/>
      </w:pPr>
      <w:r>
        <w:tab/>
        <w:t>(b)</w:t>
      </w:r>
      <w:r>
        <w:tab/>
        <w:t>not less than 3 days after giving notice to each long</w:t>
      </w:r>
      <w:r>
        <w:noBreakHyphen/>
        <w:t>stay tenant of the park operator’s intention to enter the agreed premises.</w:t>
      </w:r>
    </w:p>
    <w:p>
      <w:pPr>
        <w:pStyle w:val="yFootnotesection"/>
      </w:pPr>
      <w:r>
        <w:tab/>
        <w:t>[Clause 13 amended: No. 3 of 2019 s. 36.]</w:t>
      </w:r>
    </w:p>
    <w:p>
      <w:pPr>
        <w:pStyle w:val="yHeading5"/>
      </w:pPr>
      <w:bookmarkStart w:id="249" w:name="_Toc5779750"/>
      <w:r>
        <w:rPr>
          <w:rStyle w:val="CharSClsNo"/>
        </w:rPr>
        <w:t>14</w:t>
      </w:r>
      <w:r>
        <w:t>.</w:t>
      </w:r>
      <w:r>
        <w:tab/>
        <w:t>Tenant’s right to remove fixtures or alter premises</w:t>
      </w:r>
      <w:bookmarkEnd w:id="249"/>
    </w:p>
    <w:p>
      <w:pPr>
        <w:pStyle w:val="ySubsection"/>
      </w:pPr>
      <w:r>
        <w:tab/>
        <w:t>(1)</w:t>
      </w:r>
      <w:r>
        <w:tab/>
        <w:t>Except as provided in subclause (4), 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Except as provided in subclause (4), 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Subsection"/>
      </w:pPr>
      <w:r>
        <w:tab/>
        <w:t>(4)</w:t>
      </w:r>
      <w:r>
        <w:tab/>
        <w:t>It is a term of every long</w:t>
      </w:r>
      <w:r>
        <w:noBreakHyphen/>
        <w:t>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yIndenta"/>
      </w:pPr>
      <w:r>
        <w:tab/>
        <w:t>(a)</w:t>
      </w:r>
      <w:r>
        <w:tab/>
        <w:t>if the person is an excluded tenant whose interest in a long</w:t>
      </w:r>
      <w:r>
        <w:noBreakHyphen/>
        <w:t>stay agreement has been terminated under section 74B; or</w:t>
      </w:r>
    </w:p>
    <w:p>
      <w:pPr>
        <w:pStyle w:val="y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ySubsection"/>
      </w:pPr>
      <w:r>
        <w:tab/>
        <w:t>(5)</w:t>
      </w:r>
      <w:r>
        <w:tab/>
        <w:t xml:space="preserve">For the purposes of subclause (4) — </w:t>
      </w:r>
    </w:p>
    <w:p>
      <w:pPr>
        <w:pStyle w:val="yIndenta"/>
      </w:pPr>
      <w:r>
        <w:tab/>
        <w:t>(a)</w:t>
      </w:r>
      <w:r>
        <w:tab/>
        <w:t>the cost of making the prescribed alterations must be borne by the long</w:t>
      </w:r>
      <w:r>
        <w:noBreakHyphen/>
        <w:t>stay tenant; and</w:t>
      </w:r>
    </w:p>
    <w:p>
      <w:pPr>
        <w:pStyle w:val="yIndenta"/>
      </w:pPr>
      <w:r>
        <w:tab/>
        <w:t>(b)</w:t>
      </w:r>
      <w:r>
        <w:tab/>
        <w:t>the long-stay tenant must give written notice to the park operator of the tenant’s intention to make the prescribed alterations; and</w:t>
      </w:r>
    </w:p>
    <w:p>
      <w:pPr>
        <w:pStyle w:val="y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yIndenta"/>
      </w:pPr>
      <w:r>
        <w:tab/>
        <w:t>(d)</w:t>
      </w:r>
      <w:r>
        <w:tab/>
        <w:t>the prescribed alterations must be effected having regard to the age and character of the property and any applicable strata company by</w:t>
      </w:r>
      <w:r>
        <w:noBreakHyphen/>
        <w:t>laws; and</w:t>
      </w:r>
    </w:p>
    <w:p>
      <w:pPr>
        <w:pStyle w:val="yIndenta"/>
      </w:pPr>
      <w:r>
        <w:tab/>
        <w:t>(e)</w:t>
      </w:r>
      <w:r>
        <w:tab/>
        <w:t>the long</w:t>
      </w:r>
      <w:r>
        <w:noBreakHyphen/>
        <w:t>stay tenant must restore the agreed premises to their original condition at the end of the long</w:t>
      </w:r>
      <w:r>
        <w:noBreakHyphen/>
        <w:t>stay agreement if the park operator requires the tenant to do so and, where restoration work has been undertaken by a tradesperson, must provide to the park operator a copy of that tradesperson’s invoice within 14 days of that work being performed.</w:t>
      </w:r>
    </w:p>
    <w:p>
      <w:pPr>
        <w:pStyle w:val="yFootnotesection"/>
      </w:pPr>
      <w:r>
        <w:tab/>
        <w:t>[Clause 14 amended: No. 3 of 2019 s. 37.]</w:t>
      </w:r>
    </w:p>
    <w:p>
      <w:pPr>
        <w:pStyle w:val="yHeading5"/>
      </w:pPr>
      <w:bookmarkStart w:id="250" w:name="_Toc5779751"/>
      <w:r>
        <w:rPr>
          <w:rStyle w:val="CharSClsNo"/>
        </w:rPr>
        <w:t>15</w:t>
      </w:r>
      <w:r>
        <w:t>.</w:t>
      </w:r>
      <w:r>
        <w:tab/>
        <w:t>Rates, taxes and charges paid by park operator</w:t>
      </w:r>
      <w:bookmarkEnd w:id="250"/>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No. 25 of 2012 s. 227.]</w:t>
      </w:r>
    </w:p>
    <w:p>
      <w:pPr>
        <w:pStyle w:val="yHeading5"/>
      </w:pPr>
      <w:bookmarkStart w:id="251" w:name="_Toc5779752"/>
      <w:r>
        <w:rPr>
          <w:rStyle w:val="CharSClsNo"/>
        </w:rPr>
        <w:t>16</w:t>
      </w:r>
      <w:r>
        <w:t>.</w:t>
      </w:r>
      <w:r>
        <w:tab/>
        <w:t>Provision for assigning or sub</w:t>
      </w:r>
      <w:r>
        <w:noBreakHyphen/>
        <w:t>letting the premises</w:t>
      </w:r>
      <w:bookmarkEnd w:id="251"/>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252" w:name="_Toc5779753"/>
      <w:r>
        <w:rPr>
          <w:rStyle w:val="CharSClsNo"/>
        </w:rPr>
        <w:t>17</w:t>
      </w:r>
      <w:r>
        <w:t>.</w:t>
      </w:r>
      <w:r>
        <w:tab/>
        <w:t>Tenant’s vicarious responsibility for breach of agreement</w:t>
      </w:r>
      <w:bookmarkEnd w:id="252"/>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253" w:name="_Toc5779754"/>
      <w:r>
        <w:rPr>
          <w:rStyle w:val="CharSClsNo"/>
        </w:rPr>
        <w:t>18</w:t>
      </w:r>
      <w:r>
        <w:t>.</w:t>
      </w:r>
      <w:r>
        <w:tab/>
        <w:t>Accelerated rent and liquidated damages prohibited</w:t>
      </w:r>
      <w:bookmarkEnd w:id="253"/>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r>
        <w:tab/>
      </w:r>
    </w:p>
    <w:p>
      <w:pPr>
        <w:pStyle w:val="yScheduleHeading"/>
      </w:pPr>
      <w:bookmarkStart w:id="255" w:name="_Toc5621795"/>
      <w:bookmarkStart w:id="256" w:name="_Toc5693002"/>
      <w:bookmarkStart w:id="257" w:name="_Toc5722366"/>
      <w:bookmarkStart w:id="258" w:name="_Toc5779755"/>
      <w:r>
        <w:rPr>
          <w:rStyle w:val="CharSchNo"/>
        </w:rPr>
        <w:t>Glossary</w:t>
      </w:r>
      <w:bookmarkEnd w:id="255"/>
      <w:bookmarkEnd w:id="256"/>
      <w:bookmarkEnd w:id="257"/>
      <w:bookmarkEnd w:id="258"/>
      <w:r>
        <w:rPr>
          <w:rStyle w:val="CharSchText"/>
        </w:rPr>
        <w:t xml:space="preserve"> </w:t>
      </w:r>
    </w:p>
    <w:p>
      <w:pPr>
        <w:pStyle w:val="yShoulderClause"/>
      </w:pPr>
      <w:r>
        <w:t>[s. 3]</w:t>
      </w:r>
    </w:p>
    <w:p>
      <w:pPr>
        <w:pStyle w:val="yHeading5"/>
      </w:pPr>
      <w:bookmarkStart w:id="259" w:name="_Toc5779756"/>
      <w:r>
        <w:rPr>
          <w:rStyle w:val="CharSClsNo"/>
        </w:rPr>
        <w:t>1</w:t>
      </w:r>
      <w:r>
        <w:t>.</w:t>
      </w:r>
      <w:r>
        <w:tab/>
        <w:t>Terms used</w:t>
      </w:r>
      <w:bookmarkEnd w:id="259"/>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tab/>
      </w:r>
      <w:r>
        <w:rPr>
          <w:rStyle w:val="CharDefText"/>
        </w:rPr>
        <w:t>DVO</w:t>
      </w:r>
      <w:r>
        <w:t xml:space="preserve"> has the meaning given under the </w:t>
      </w:r>
      <w:r>
        <w:rPr>
          <w:i/>
        </w:rPr>
        <w:t>Domestic Violence Orders (National Recognition) Act 2017</w:t>
      </w:r>
      <w:r>
        <w:t xml:space="preserve"> section 4(1);</w:t>
      </w:r>
    </w:p>
    <w:p>
      <w:pPr>
        <w:pStyle w:val="y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yDefstart"/>
      </w:pPr>
      <w:r>
        <w:tab/>
      </w:r>
      <w:r>
        <w:rPr>
          <w:rStyle w:val="CharDefText"/>
        </w:rPr>
        <w:t>family violence</w:t>
      </w:r>
      <w:r>
        <w:t xml:space="preserve"> has the meaning given in the </w:t>
      </w:r>
      <w:r>
        <w:rPr>
          <w:i/>
        </w:rPr>
        <w:t>Restraining Orders Act 1997</w:t>
      </w:r>
      <w:r>
        <w:t xml:space="preserve"> section 5A(1);</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or an interest in the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No. 19 of 2010 s. 51; No. 60 of 2011 s. 107; No. 23 of 2014 s. 85; No. 3 of 2019 s. 38.]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260" w:name="_Toc5621797"/>
      <w:bookmarkStart w:id="261" w:name="_Toc5693004"/>
      <w:bookmarkStart w:id="262" w:name="_Toc5722368"/>
      <w:bookmarkStart w:id="263" w:name="_Toc5779757"/>
      <w:r>
        <w:t>Notes</w:t>
      </w:r>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  The table also contains information about any reprint.</w:t>
      </w:r>
    </w:p>
    <w:p>
      <w:pPr>
        <w:pStyle w:val="nHeading3"/>
        <w:rPr>
          <w:snapToGrid w:val="0"/>
        </w:rPr>
      </w:pPr>
      <w:bookmarkStart w:id="264" w:name="_Toc5779758"/>
      <w:r>
        <w:rPr>
          <w:snapToGrid w:val="0"/>
        </w:rPr>
        <w:t>Compilation table</w:t>
      </w:r>
      <w:bookmarkEnd w:id="2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4"/>
        <w:gridCol w:w="1120"/>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c>
          <w:tcPr>
            <w:tcW w:w="7088" w:type="dxa"/>
            <w:gridSpan w:val="5"/>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8" w:space="0" w:color="auto"/>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48" w:type="dxa"/>
            <w:gridSpan w:val="2"/>
            <w:tcBorders>
              <w:top w:val="nil"/>
              <w:left w:val="nil"/>
              <w:bottom w:val="single" w:sz="8" w:space="0" w:color="auto"/>
              <w:right w:val="nil"/>
            </w:tcBorders>
            <w:shd w:val="clear" w:color="auto" w:fill="auto"/>
          </w:tcPr>
          <w:p>
            <w:pPr>
              <w:pStyle w:val="nTable"/>
              <w:spacing w:after="40"/>
              <w:rPr>
                <w:snapToGrid w:val="0"/>
              </w:rPr>
            </w:pPr>
            <w:r>
              <w:t>3 of 2019</w:t>
            </w:r>
          </w:p>
        </w:tc>
        <w:tc>
          <w:tcPr>
            <w:tcW w:w="1120" w:type="dxa"/>
            <w:tcBorders>
              <w:top w:val="nil"/>
              <w:left w:val="nil"/>
              <w:bottom w:val="single" w:sz="8" w:space="0" w:color="auto"/>
              <w:right w:val="nil"/>
            </w:tcBorders>
            <w:shd w:val="clear" w:color="auto" w:fill="auto"/>
          </w:tcPr>
          <w:p>
            <w:pPr>
              <w:pStyle w:val="nTable"/>
              <w:spacing w:after="40"/>
              <w:rPr>
                <w:snapToGrid w:val="0"/>
              </w:rPr>
            </w:pPr>
            <w:r>
              <w:t>26 Feb 2019</w:t>
            </w:r>
          </w:p>
        </w:tc>
        <w:tc>
          <w:tcPr>
            <w:tcW w:w="2552" w:type="dxa"/>
            <w:tcBorders>
              <w:top w:val="nil"/>
              <w:left w:val="nil"/>
              <w:bottom w:val="single" w:sz="8" w:space="0" w:color="auto"/>
            </w:tcBorders>
            <w:shd w:val="clear" w:color="auto" w:fill="auto"/>
          </w:tcPr>
          <w:p>
            <w:pPr>
              <w:pStyle w:val="nTable"/>
              <w:spacing w:after="40"/>
              <w:rPr>
                <w:snapToGrid w:val="0"/>
              </w:rPr>
            </w:pPr>
            <w:r>
              <w:t xml:space="preserve">15 Apr 2019 (see s. 2(b) and </w:t>
            </w:r>
            <w:r>
              <w:rPr>
                <w:i/>
              </w:rPr>
              <w:t>Gazette</w:t>
            </w:r>
            <w:r>
              <w:t xml:space="preserve"> 9 Apr 2019 p. 1041-2)</w:t>
            </w:r>
          </w:p>
        </w:tc>
      </w:tr>
    </w:tbl>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266" w:name="_Toc5722370"/>
      <w:bookmarkStart w:id="267" w:name="_Toc5779759"/>
      <w:r>
        <w:rPr>
          <w:sz w:val="28"/>
        </w:rPr>
        <w:t>Defined terms</w:t>
      </w:r>
      <w:bookmarkEnd w:id="266"/>
      <w:bookmarkEnd w:id="2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goods</w:t>
      </w:r>
      <w:r>
        <w:tab/>
        <w:t>Gl.</w:t>
      </w:r>
    </w:p>
    <w:p>
      <w:pPr>
        <w:pStyle w:val="DefinedTerms"/>
      </w:pPr>
      <w:r>
        <w:t>ADI</w:t>
      </w:r>
      <w:r>
        <w:tab/>
        <w:t>Gl.</w:t>
      </w:r>
    </w:p>
    <w:p>
      <w:pPr>
        <w:pStyle w:val="DefinedTerms"/>
      </w:pPr>
      <w:r>
        <w:t>ADI account</w:t>
      </w:r>
      <w:r>
        <w:tab/>
        <w:t>Gl.</w:t>
      </w:r>
    </w:p>
    <w:p>
      <w:pPr>
        <w:pStyle w:val="DefinedTerms"/>
      </w:pPr>
      <w:r>
        <w:t>agreed premises</w:t>
      </w:r>
      <w:r>
        <w:tab/>
        <w:t>Gl.</w:t>
      </w:r>
    </w:p>
    <w:p>
      <w:pPr>
        <w:pStyle w:val="DefinedTerms"/>
      </w:pPr>
      <w:r>
        <w:t>agreement</w:t>
      </w:r>
      <w:r>
        <w:tab/>
        <w:t>Gl.</w:t>
      </w:r>
    </w:p>
    <w:p>
      <w:pPr>
        <w:pStyle w:val="DefinedTerms"/>
      </w:pPr>
      <w:r>
        <w:t>auditor</w:t>
      </w:r>
      <w:r>
        <w:tab/>
        <w:t>93(8)</w:t>
      </w:r>
    </w:p>
    <w:p>
      <w:pPr>
        <w:pStyle w:val="DefinedTerms"/>
      </w:pPr>
      <w:r>
        <w:t>authorised financial institution</w:t>
      </w:r>
      <w:r>
        <w:tab/>
        <w:t>Gl.</w:t>
      </w:r>
    </w:p>
    <w:p>
      <w:pPr>
        <w:pStyle w:val="DefinedTerms"/>
      </w:pPr>
      <w:r>
        <w:t>bond administrator</w:t>
      </w:r>
      <w:r>
        <w:tab/>
        <w:t>Gl.</w:t>
      </w:r>
    </w:p>
    <w:p>
      <w:pPr>
        <w:pStyle w:val="DefinedTerms"/>
      </w:pPr>
      <w:r>
        <w:t>caravan park</w:t>
      </w:r>
      <w:r>
        <w:tab/>
        <w:t>Gl.</w:t>
      </w:r>
    </w:p>
    <w:p>
      <w:pPr>
        <w:pStyle w:val="DefinedTerms"/>
      </w:pPr>
      <w:r>
        <w:t>Commissioner</w:t>
      </w:r>
      <w:r>
        <w:tab/>
        <w:t>Gl.</w:t>
      </w:r>
    </w:p>
    <w:p>
      <w:pPr>
        <w:pStyle w:val="DefinedTerms"/>
      </w:pPr>
      <w:r>
        <w:t>co</w:t>
      </w:r>
      <w:r>
        <w:noBreakHyphen/>
        <w:t>tenant</w:t>
      </w:r>
      <w:r>
        <w:tab/>
        <w:t>45B(1)</w:t>
      </w:r>
    </w:p>
    <w:p>
      <w:pPr>
        <w:pStyle w:val="DefinedTerms"/>
      </w:pPr>
      <w:r>
        <w:t>default notice</w:t>
      </w:r>
      <w:r>
        <w:tab/>
        <w:t>Gl.</w:t>
      </w:r>
    </w:p>
    <w:p>
      <w:pPr>
        <w:pStyle w:val="DefinedTerms"/>
      </w:pPr>
      <w:r>
        <w:t>Department</w:t>
      </w:r>
      <w:r>
        <w:tab/>
        <w:t>Gl.</w:t>
      </w:r>
    </w:p>
    <w:p>
      <w:pPr>
        <w:pStyle w:val="DefinedTerms"/>
      </w:pPr>
      <w:r>
        <w:t>DVO</w:t>
      </w:r>
      <w:r>
        <w:tab/>
        <w:t>Gl.</w:t>
      </w:r>
    </w:p>
    <w:p>
      <w:pPr>
        <w:pStyle w:val="DefinedTerms"/>
      </w:pPr>
      <w:r>
        <w:t>excluded tenant</w:t>
      </w:r>
      <w:r>
        <w:tab/>
        <w:t>74B(1)</w:t>
      </w:r>
    </w:p>
    <w:p>
      <w:pPr>
        <w:pStyle w:val="DefinedTerms"/>
      </w:pPr>
      <w:r>
        <w:t>executive officer</w:t>
      </w:r>
      <w:r>
        <w:tab/>
        <w:t>84(3)</w:t>
      </w:r>
    </w:p>
    <w:p>
      <w:pPr>
        <w:pStyle w:val="DefinedTerms"/>
      </w:pPr>
      <w:r>
        <w:t>existing fixed term long</w:t>
      </w:r>
      <w:r>
        <w:noBreakHyphen/>
        <w:t>stay agreement</w:t>
      </w:r>
      <w:r>
        <w:tab/>
        <w:t>6(7)</w:t>
      </w:r>
    </w:p>
    <w:p>
      <w:pPr>
        <w:pStyle w:val="DefinedTerms"/>
      </w:pPr>
      <w:r>
        <w:t>existing periodic long</w:t>
      </w:r>
      <w:r>
        <w:noBreakHyphen/>
        <w:t>stay agreement</w:t>
      </w:r>
      <w:r>
        <w:tab/>
        <w:t>6(7)</w:t>
      </w:r>
    </w:p>
    <w:p>
      <w:pPr>
        <w:pStyle w:val="DefinedTerms"/>
      </w:pPr>
      <w:r>
        <w:t>Family Court injunction</w:t>
      </w:r>
      <w:r>
        <w:tab/>
        <w:t>Gl.</w:t>
      </w:r>
    </w:p>
    <w:p>
      <w:pPr>
        <w:pStyle w:val="DefinedTerms"/>
      </w:pPr>
      <w:r>
        <w:t>family violence</w:t>
      </w:r>
      <w:r>
        <w:tab/>
        <w:t>Gl.</w:t>
      </w:r>
    </w:p>
    <w:p>
      <w:pPr>
        <w:pStyle w:val="DefinedTerms"/>
      </w:pPr>
      <w:r>
        <w:t>family violence order</w:t>
      </w:r>
      <w:r>
        <w:tab/>
        <w:t>74B(1)</w:t>
      </w:r>
    </w:p>
    <w:p>
      <w:pPr>
        <w:pStyle w:val="DefinedTerms"/>
      </w:pPr>
      <w:r>
        <w:t>impediment</w:t>
      </w:r>
      <w:r>
        <w:tab/>
        <w:t>Sch. 1 cl. 2(2)</w:t>
      </w:r>
    </w:p>
    <w:p>
      <w:pPr>
        <w:pStyle w:val="DefinedTerms"/>
      </w:pPr>
      <w:r>
        <w:t>information</w:t>
      </w:r>
      <w:r>
        <w:tab/>
        <w:t>87(3)</w:t>
      </w:r>
    </w:p>
    <w:p>
      <w:pPr>
        <w:pStyle w:val="DefinedTerms"/>
      </w:pPr>
      <w:r>
        <w:t>key bond</w:t>
      </w:r>
      <w:r>
        <w:tab/>
        <w:t>Gl.</w:t>
      </w:r>
    </w:p>
    <w:p>
      <w:pPr>
        <w:pStyle w:val="DefinedTerms"/>
      </w:pPr>
      <w:r>
        <w:t>lifestyle village</w:t>
      </w:r>
      <w:r>
        <w:tab/>
        <w:t>Gl.</w:t>
      </w:r>
    </w:p>
    <w:p>
      <w:pPr>
        <w:pStyle w:val="DefinedTerms"/>
      </w:pPr>
      <w:r>
        <w:t>long</w:t>
      </w:r>
      <w:r>
        <w:noBreakHyphen/>
        <w:t>stay agreement</w:t>
      </w:r>
      <w:r>
        <w:tab/>
        <w:t>5(1), Gl.</w:t>
      </w:r>
    </w:p>
    <w:p>
      <w:pPr>
        <w:pStyle w:val="DefinedTerms"/>
      </w:pPr>
      <w:r>
        <w:t>long</w:t>
      </w:r>
      <w:r>
        <w:noBreakHyphen/>
        <w:t>stay site</w:t>
      </w:r>
      <w:r>
        <w:tab/>
        <w:t>Gl.</w:t>
      </w:r>
    </w:p>
    <w:p>
      <w:pPr>
        <w:pStyle w:val="DefinedTerms"/>
      </w:pPr>
      <w:r>
        <w:t>long</w:t>
      </w:r>
      <w:r>
        <w:noBreakHyphen/>
        <w:t>stay tenant</w:t>
      </w:r>
      <w:r>
        <w:tab/>
        <w:t>Gl.</w:t>
      </w:r>
    </w:p>
    <w:p>
      <w:pPr>
        <w:pStyle w:val="DefinedTerms"/>
      </w:pPr>
      <w:r>
        <w:t>make</w:t>
      </w:r>
      <w:r>
        <w:tab/>
        <w:t>Gl.</w:t>
      </w:r>
    </w:p>
    <w:p>
      <w:pPr>
        <w:pStyle w:val="DefinedTerms"/>
      </w:pPr>
      <w:r>
        <w:t>notice of termination</w:t>
      </w:r>
      <w:r>
        <w:tab/>
        <w:t>Gl.</w:t>
      </w:r>
    </w:p>
    <w:p>
      <w:pPr>
        <w:pStyle w:val="DefinedTerms"/>
      </w:pPr>
      <w:r>
        <w:t>on</w:t>
      </w:r>
      <w:r>
        <w:noBreakHyphen/>
        <w:t>site home</w:t>
      </w:r>
      <w:r>
        <w:tab/>
        <w:t>Gl.</w:t>
      </w:r>
    </w:p>
    <w:p>
      <w:pPr>
        <w:pStyle w:val="DefinedTerms"/>
      </w:pPr>
      <w:r>
        <w:t>on</w:t>
      </w:r>
      <w:r>
        <w:noBreakHyphen/>
        <w:t>site home agreement</w:t>
      </w:r>
      <w:r>
        <w:tab/>
        <w:t>Gl.</w:t>
      </w:r>
    </w:p>
    <w:p>
      <w:pPr>
        <w:pStyle w:val="DefinedTerms"/>
      </w:pPr>
      <w:r>
        <w:t>original party</w:t>
      </w:r>
      <w:r>
        <w:tab/>
        <w:t>78, 79(1)</w:t>
      </w:r>
    </w:p>
    <w:p>
      <w:pPr>
        <w:pStyle w:val="DefinedTerms"/>
      </w:pPr>
      <w:r>
        <w:t>park operator</w:t>
      </w:r>
      <w:r>
        <w:tab/>
        <w:t>Gl.</w:t>
      </w:r>
    </w:p>
    <w:p>
      <w:pPr>
        <w:pStyle w:val="DefinedTerms"/>
      </w:pPr>
      <w:r>
        <w:t>park premises</w:t>
      </w:r>
      <w:r>
        <w:tab/>
        <w:t>Gl.</w:t>
      </w:r>
    </w:p>
    <w:p>
      <w:pPr>
        <w:pStyle w:val="DefinedTerms"/>
      </w:pPr>
      <w:r>
        <w:t>park resident</w:t>
      </w:r>
      <w:r>
        <w:tab/>
        <w:t>61(3)</w:t>
      </w:r>
    </w:p>
    <w:p>
      <w:pPr>
        <w:pStyle w:val="DefinedTerms"/>
      </w:pPr>
      <w:r>
        <w:t>park rules</w:t>
      </w:r>
      <w:r>
        <w:tab/>
        <w:t>Gl.</w:t>
      </w:r>
    </w:p>
    <w:p>
      <w:pPr>
        <w:pStyle w:val="DefinedTerms"/>
      </w:pPr>
      <w:r>
        <w:t>period of notice</w:t>
      </w:r>
      <w:r>
        <w:tab/>
        <w:t>Gl.</w:t>
      </w:r>
    </w:p>
    <w:p>
      <w:pPr>
        <w:pStyle w:val="DefinedTerms"/>
      </w:pPr>
      <w:r>
        <w:t>periodic long</w:t>
      </w:r>
      <w:r>
        <w:noBreakHyphen/>
        <w:t>stay agreement</w:t>
      </w:r>
      <w:r>
        <w:tab/>
        <w:t>7(4)</w:t>
      </w:r>
    </w:p>
    <w:p>
      <w:pPr>
        <w:pStyle w:val="DefinedTerms"/>
      </w:pPr>
      <w:r>
        <w:t>pet bond</w:t>
      </w:r>
      <w:r>
        <w:tab/>
        <w:t>Gl.</w:t>
      </w:r>
    </w:p>
    <w:p>
      <w:pPr>
        <w:pStyle w:val="DefinedTerms"/>
      </w:pPr>
      <w:r>
        <w:t>prescribed alterations</w:t>
      </w:r>
      <w:r>
        <w:tab/>
        <w:t>Sch. 1 cl. 14(4)</w:t>
      </w:r>
    </w:p>
    <w:p>
      <w:pPr>
        <w:pStyle w:val="DefinedTerms"/>
      </w:pPr>
      <w:r>
        <w:t>protected tenant</w:t>
      </w:r>
      <w:r>
        <w:tab/>
        <w:t>74B(1)</w:t>
      </w:r>
    </w:p>
    <w:p>
      <w:pPr>
        <w:pStyle w:val="DefinedTerms"/>
      </w:pPr>
      <w:r>
        <w:t>public sector body</w:t>
      </w:r>
      <w:r>
        <w:tab/>
        <w:t>Gl.</w:t>
      </w:r>
    </w:p>
    <w:p>
      <w:pPr>
        <w:pStyle w:val="DefinedTerms"/>
      </w:pPr>
      <w:r>
        <w:t>real estate agent</w:t>
      </w:r>
      <w:r>
        <w:tab/>
        <w:t>Gl.</w:t>
      </w:r>
    </w:p>
    <w:p>
      <w:pPr>
        <w:pStyle w:val="DefinedTerms"/>
      </w:pPr>
      <w:r>
        <w:t>relocatable home</w:t>
      </w:r>
      <w:r>
        <w:tab/>
        <w:t>Gl.</w:t>
      </w:r>
    </w:p>
    <w:p>
      <w:pPr>
        <w:pStyle w:val="DefinedTerms"/>
      </w:pPr>
      <w:r>
        <w:t>rent</w:t>
      </w:r>
      <w:r>
        <w:tab/>
        <w:t>Gl.</w:t>
      </w:r>
    </w:p>
    <w:p>
      <w:pPr>
        <w:pStyle w:val="DefinedTerms"/>
      </w:pPr>
      <w:r>
        <w:t>Rental Accommodation Account</w:t>
      </w:r>
      <w:r>
        <w:tab/>
        <w:t>Gl.</w:t>
      </w:r>
    </w:p>
    <w:p>
      <w:pPr>
        <w:pStyle w:val="DefinedTerms"/>
      </w:pPr>
      <w:r>
        <w:t>residential park</w:t>
      </w:r>
      <w:r>
        <w:tab/>
        <w:t>Gl.</w:t>
      </w:r>
    </w:p>
    <w:p>
      <w:pPr>
        <w:pStyle w:val="DefinedTerms"/>
      </w:pPr>
      <w:r>
        <w:t>residential park tenancy agreement</w:t>
      </w:r>
      <w:r>
        <w:tab/>
        <w:t>Gl.</w:t>
      </w:r>
    </w:p>
    <w:p>
      <w:pPr>
        <w:pStyle w:val="DefinedTerms"/>
      </w:pPr>
      <w:r>
        <w:t>retired person</w:t>
      </w:r>
      <w:r>
        <w:tab/>
        <w:t>Gl.</w:t>
      </w:r>
    </w:p>
    <w:p>
      <w:pPr>
        <w:pStyle w:val="DefinedTerms"/>
      </w:pPr>
      <w:r>
        <w:t>security bond</w:t>
      </w:r>
      <w:r>
        <w:tab/>
        <w:t>Gl.</w:t>
      </w:r>
    </w:p>
    <w:p>
      <w:pPr>
        <w:pStyle w:val="DefinedTerms"/>
      </w:pPr>
      <w:r>
        <w:t>selling agency agreement</w:t>
      </w:r>
      <w:r>
        <w:tab/>
        <w:t>Gl.</w:t>
      </w:r>
    </w:p>
    <w:p>
      <w:pPr>
        <w:pStyle w:val="DefinedTerms"/>
      </w:pPr>
      <w:r>
        <w:t>shared premises</w:t>
      </w:r>
      <w:r>
        <w:tab/>
        <w:t>Gl.</w:t>
      </w:r>
    </w:p>
    <w:p>
      <w:pPr>
        <w:pStyle w:val="DefinedTerms"/>
      </w:pPr>
      <w:r>
        <w:t>site</w:t>
      </w:r>
      <w:r>
        <w:tab/>
        <w:t>Gl.</w:t>
      </w:r>
    </w:p>
    <w:p>
      <w:pPr>
        <w:pStyle w:val="DefinedTerms"/>
      </w:pPr>
      <w:r>
        <w:t>site</w:t>
      </w:r>
      <w:r>
        <w:noBreakHyphen/>
        <w:t>only agreement</w:t>
      </w:r>
      <w:r>
        <w:tab/>
        <w:t>Gl.</w:t>
      </w:r>
    </w:p>
    <w:p>
      <w:pPr>
        <w:pStyle w:val="DefinedTerms"/>
      </w:pPr>
      <w:r>
        <w:t>specified day</w:t>
      </w:r>
      <w:r>
        <w:tab/>
        <w:t>Gl.</w:t>
      </w:r>
    </w:p>
    <w:p>
      <w:pPr>
        <w:pStyle w:val="DefinedTerms"/>
      </w:pPr>
      <w:r>
        <w:t>tenancy</w:t>
      </w:r>
      <w:r>
        <w:tab/>
        <w:t>Gl.</w:t>
      </w:r>
    </w:p>
    <w:p>
      <w:pPr>
        <w:pStyle w:val="DefinedTerms"/>
      </w:pPr>
      <w:r>
        <w:t>tenancy bond account</w:t>
      </w:r>
      <w:r>
        <w:tab/>
        <w:t>Gl.</w:t>
      </w:r>
    </w:p>
    <w:p>
      <w:pPr>
        <w:pStyle w:val="DefinedTerms"/>
      </w:pPr>
      <w:r>
        <w:t>tenancy period</w:t>
      </w:r>
      <w:r>
        <w:tab/>
        <w:t>Gl.</w:t>
      </w:r>
    </w:p>
    <w:p>
      <w:pPr>
        <w:pStyle w:val="DefinedTerms"/>
      </w:pPr>
      <w:r>
        <w:t>tenant</w:t>
      </w:r>
      <w:r>
        <w:tab/>
        <w:t>Gl.</w:t>
      </w:r>
    </w:p>
    <w:p>
      <w:pPr>
        <w:pStyle w:val="DefinedTerms"/>
      </w:pPr>
      <w:r>
        <w:t>terminating tenant</w:t>
      </w:r>
      <w:r>
        <w:tab/>
        <w:t>74A(1)</w:t>
      </w:r>
    </w:p>
    <w:p>
      <w:pPr>
        <w:pStyle w:val="DefinedTerms"/>
      </w:pPr>
      <w:r>
        <w:t>working day</w:t>
      </w:r>
      <w:r>
        <w:tab/>
        <w:t>Gl.</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4" w:name="Schedule"/>
    <w:bookmarkEnd w:id="2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8" w:name="DefinedTerms"/>
    <w:bookmarkEnd w:id="26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9" w:name="Coversheet"/>
    <w:bookmarkEnd w:id="2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8130747"/>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
    <w:name w:val="nzTHeading"/>
    <w:basedOn w:val="THeading"/>
    <w:rPr>
      <w:sz w:val="20"/>
    </w:rPr>
  </w:style>
  <w:style w:type="paragraph" w:customStyle="1" w:styleId="nzTableAm">
    <w:name w:val="nzTableAm"/>
    <w:basedOn w:val="TableAm"/>
    <w:rPr>
      <w:sz w:val="20"/>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
    <w:name w:val="nzTHeading"/>
    <w:basedOn w:val="THeading"/>
    <w:rPr>
      <w:sz w:val="20"/>
    </w:rPr>
  </w:style>
  <w:style w:type="paragraph" w:customStyle="1" w:styleId="nzTableAm">
    <w:name w:val="nzTableAm"/>
    <w:basedOn w:val="TableAm"/>
    <w:rPr>
      <w:sz w:val="20"/>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3A85-88E7-4A5B-B2FF-BE4045BE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25334</Words>
  <Characters>121606</Characters>
  <Application>Microsoft Office Word</Application>
  <DocSecurity>0</DocSecurity>
  <Lines>3118</Lines>
  <Paragraphs>1791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2006 - 01-f0-01</dc:title>
  <dc:subject/>
  <dc:creator/>
  <cp:keywords/>
  <dc:description/>
  <cp:lastModifiedBy>svcMRProcess</cp:lastModifiedBy>
  <cp:revision>4</cp:revision>
  <cp:lastPrinted>2019-04-15T05:24:00Z</cp:lastPrinted>
  <dcterms:created xsi:type="dcterms:W3CDTF">2019-04-15T05:27:00Z</dcterms:created>
  <dcterms:modified xsi:type="dcterms:W3CDTF">2019-04-15T05:27:00Z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AsAtDate">
    <vt:lpwstr>15 Apr 2019</vt:lpwstr>
  </property>
  <property fmtid="{D5CDD505-2E9C-101B-9397-08002B2CF9AE}" pid="8" name="Suffix">
    <vt:lpwstr>01-f0-01</vt:lpwstr>
  </property>
  <property fmtid="{D5CDD505-2E9C-101B-9397-08002B2CF9AE}" pid="9" name="CommencementDate">
    <vt:lpwstr>20190415</vt:lpwstr>
  </property>
</Properties>
</file>