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_Toc32417447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_Toc32417448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_Toc32417449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family relationship and family member</w:t>
      </w:r>
      <w:r>
        <w:tab/>
      </w:r>
      <w:r>
        <w:fldChar w:fldCharType="begin"/>
      </w:r>
      <w:r>
        <w:instrText xml:space="preserve"> PAGEREF _Toc32417450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_Toc32417451 \h </w:instrText>
      </w:r>
      <w:r>
        <w:fldChar w:fldCharType="separate"/>
      </w:r>
      <w:r>
        <w:t>8</w:t>
      </w:r>
      <w:r>
        <w:fldChar w:fldCharType="end"/>
      </w:r>
    </w:p>
    <w:p>
      <w:pPr>
        <w:pStyle w:val="TOC8"/>
        <w:rPr>
          <w:rFonts w:asciiTheme="minorHAnsi" w:eastAsiaTheme="minorEastAsia" w:hAnsiTheme="minorHAnsi" w:cstheme="minorBidi"/>
          <w:szCs w:val="22"/>
        </w:rPr>
      </w:pPr>
      <w:r>
        <w:t>5A.</w:t>
      </w:r>
      <w:r>
        <w:tab/>
        <w:t>Term used: family violence</w:t>
      </w:r>
      <w:r>
        <w:tab/>
      </w:r>
      <w:r>
        <w:fldChar w:fldCharType="begin"/>
      </w:r>
      <w:r>
        <w:instrText xml:space="preserve"> PAGEREF _Toc32417452 \h </w:instrText>
      </w:r>
      <w:r>
        <w:fldChar w:fldCharType="separate"/>
      </w:r>
      <w:r>
        <w:t>9</w:t>
      </w:r>
      <w:r>
        <w:fldChar w:fldCharType="end"/>
      </w:r>
    </w:p>
    <w:p>
      <w:pPr>
        <w:pStyle w:val="TOC8"/>
        <w:rPr>
          <w:rFonts w:asciiTheme="minorHAnsi" w:eastAsiaTheme="minorEastAsia" w:hAnsiTheme="minorHAnsi" w:cstheme="minorBidi"/>
          <w:szCs w:val="22"/>
        </w:rPr>
      </w:pPr>
      <w:r>
        <w:t>6.</w:t>
      </w:r>
      <w:r>
        <w:tab/>
        <w:t>Term used: personal violence</w:t>
      </w:r>
      <w:r>
        <w:tab/>
      </w:r>
      <w:r>
        <w:fldChar w:fldCharType="begin"/>
      </w:r>
      <w:r>
        <w:instrText xml:space="preserve"> PAGEREF _Toc32417453 \h </w:instrText>
      </w:r>
      <w:r>
        <w:fldChar w:fldCharType="separate"/>
      </w:r>
      <w:r>
        <w:t>10</w:t>
      </w:r>
      <w:r>
        <w:fldChar w:fldCharType="end"/>
      </w:r>
    </w:p>
    <w:p>
      <w:pPr>
        <w:pStyle w:val="TOC8"/>
        <w:rPr>
          <w:rFonts w:asciiTheme="minorHAnsi" w:eastAsiaTheme="minorEastAsia" w:hAnsiTheme="minorHAnsi" w:cstheme="minorBidi"/>
          <w:szCs w:val="22"/>
        </w:rPr>
      </w:pPr>
      <w:r>
        <w:t>6A.</w:t>
      </w:r>
      <w:r>
        <w:tab/>
        <w:t>Term used: exposed</w:t>
      </w:r>
      <w:r>
        <w:tab/>
      </w:r>
      <w:r>
        <w:fldChar w:fldCharType="begin"/>
      </w:r>
      <w:r>
        <w:instrText xml:space="preserve"> PAGEREF _Toc32417454 \h </w:instrText>
      </w:r>
      <w:r>
        <w:fldChar w:fldCharType="separate"/>
      </w:r>
      <w:r>
        <w:t>11</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_Toc32417455 \h </w:instrText>
      </w:r>
      <w:r>
        <w:fldChar w:fldCharType="separate"/>
      </w:r>
      <w:r>
        <w:t>12</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_Toc32417456 \h </w:instrText>
      </w:r>
      <w:r>
        <w:fldChar w:fldCharType="separate"/>
      </w:r>
      <w:r>
        <w:t>12</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_Toc32417457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_Toc32417459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Fixing a hearing</w:t>
      </w:r>
      <w:r>
        <w:tab/>
      </w:r>
      <w:r>
        <w:fldChar w:fldCharType="begin"/>
      </w:r>
      <w:r>
        <w:instrText xml:space="preserve"> PAGEREF _Toc32417460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_Toc32417461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1B — Family violence restraining order</w:t>
      </w:r>
    </w:p>
    <w:p>
      <w:pPr>
        <w:pStyle w:val="TOC8"/>
        <w:rPr>
          <w:rFonts w:asciiTheme="minorHAnsi" w:eastAsiaTheme="minorEastAsia" w:hAnsiTheme="minorHAnsi" w:cstheme="minorBidi"/>
          <w:szCs w:val="22"/>
        </w:rPr>
      </w:pPr>
      <w:r>
        <w:t>10A.</w:t>
      </w:r>
      <w:r>
        <w:tab/>
        <w:t>Objects</w:t>
      </w:r>
      <w:r>
        <w:tab/>
      </w:r>
      <w:r>
        <w:fldChar w:fldCharType="begin"/>
      </w:r>
      <w:r>
        <w:instrText xml:space="preserve"> PAGEREF _Toc32417463 \h </w:instrText>
      </w:r>
      <w:r>
        <w:fldChar w:fldCharType="separate"/>
      </w:r>
      <w:r>
        <w:t>18</w:t>
      </w:r>
      <w:r>
        <w:fldChar w:fldCharType="end"/>
      </w:r>
    </w:p>
    <w:p>
      <w:pPr>
        <w:pStyle w:val="TOC8"/>
        <w:rPr>
          <w:rFonts w:asciiTheme="minorHAnsi" w:eastAsiaTheme="minorEastAsia" w:hAnsiTheme="minorHAnsi" w:cstheme="minorBidi"/>
          <w:szCs w:val="22"/>
        </w:rPr>
      </w:pPr>
      <w:r>
        <w:t>10B.</w:t>
      </w:r>
      <w:r>
        <w:tab/>
        <w:t>Principles to be observed in performing functions in relation to FVROs</w:t>
      </w:r>
      <w:r>
        <w:tab/>
      </w:r>
      <w:r>
        <w:fldChar w:fldCharType="begin"/>
      </w:r>
      <w:r>
        <w:instrText xml:space="preserve"> PAGEREF _Toc32417464 \h </w:instrText>
      </w:r>
      <w:r>
        <w:fldChar w:fldCharType="separate"/>
      </w:r>
      <w:r>
        <w:t>18</w:t>
      </w:r>
      <w:r>
        <w:fldChar w:fldCharType="end"/>
      </w:r>
    </w:p>
    <w:p>
      <w:pPr>
        <w:pStyle w:val="TOC8"/>
        <w:rPr>
          <w:rFonts w:asciiTheme="minorHAnsi" w:eastAsiaTheme="minorEastAsia" w:hAnsiTheme="minorHAnsi" w:cstheme="minorBidi"/>
          <w:szCs w:val="22"/>
        </w:rPr>
      </w:pPr>
      <w:r>
        <w:t>10C.</w:t>
      </w:r>
      <w:r>
        <w:tab/>
        <w:t>FVRO to specify names of person bound, and person protected, by order</w:t>
      </w:r>
      <w:r>
        <w:tab/>
      </w:r>
      <w:r>
        <w:fldChar w:fldCharType="begin"/>
      </w:r>
      <w:r>
        <w:instrText xml:space="preserve"> PAGEREF _Toc32417465 \h </w:instrText>
      </w:r>
      <w:r>
        <w:fldChar w:fldCharType="separate"/>
      </w:r>
      <w:r>
        <w:t>20</w:t>
      </w:r>
      <w:r>
        <w:fldChar w:fldCharType="end"/>
      </w:r>
    </w:p>
    <w:p>
      <w:pPr>
        <w:pStyle w:val="TOC8"/>
        <w:rPr>
          <w:rFonts w:asciiTheme="minorHAnsi" w:eastAsiaTheme="minorEastAsia" w:hAnsiTheme="minorHAnsi" w:cstheme="minorBidi"/>
          <w:szCs w:val="22"/>
        </w:rPr>
      </w:pPr>
      <w:r>
        <w:t>10D.</w:t>
      </w:r>
      <w:r>
        <w:tab/>
        <w:t>When FVROs may be made</w:t>
      </w:r>
      <w:r>
        <w:tab/>
      </w:r>
      <w:r>
        <w:fldChar w:fldCharType="begin"/>
      </w:r>
      <w:r>
        <w:instrText xml:space="preserve"> PAGEREF _Toc32417466 \h </w:instrText>
      </w:r>
      <w:r>
        <w:fldChar w:fldCharType="separate"/>
      </w:r>
      <w:r>
        <w:t>20</w:t>
      </w:r>
      <w:r>
        <w:fldChar w:fldCharType="end"/>
      </w:r>
    </w:p>
    <w:p>
      <w:pPr>
        <w:pStyle w:val="TOC8"/>
        <w:rPr>
          <w:rFonts w:asciiTheme="minorHAnsi" w:eastAsiaTheme="minorEastAsia" w:hAnsiTheme="minorHAnsi" w:cstheme="minorBidi"/>
          <w:szCs w:val="22"/>
        </w:rPr>
      </w:pPr>
      <w:r>
        <w:t>10E.</w:t>
      </w:r>
      <w:r>
        <w:tab/>
        <w:t>FVRO may be made for child in circumstances of family violence</w:t>
      </w:r>
      <w:r>
        <w:tab/>
      </w:r>
      <w:r>
        <w:fldChar w:fldCharType="begin"/>
      </w:r>
      <w:r>
        <w:instrText xml:space="preserve"> PAGEREF _Toc32417467 \h </w:instrText>
      </w:r>
      <w:r>
        <w:fldChar w:fldCharType="separate"/>
      </w:r>
      <w:r>
        <w:t>21</w:t>
      </w:r>
      <w:r>
        <w:fldChar w:fldCharType="end"/>
      </w:r>
    </w:p>
    <w:p>
      <w:pPr>
        <w:pStyle w:val="TOC8"/>
        <w:rPr>
          <w:rFonts w:asciiTheme="minorHAnsi" w:eastAsiaTheme="minorEastAsia" w:hAnsiTheme="minorHAnsi" w:cstheme="minorBidi"/>
          <w:szCs w:val="22"/>
        </w:rPr>
      </w:pPr>
      <w:r>
        <w:t>10F.</w:t>
      </w:r>
      <w:r>
        <w:tab/>
        <w:t>Matters to be considered by court generally</w:t>
      </w:r>
      <w:r>
        <w:tab/>
      </w:r>
      <w:r>
        <w:fldChar w:fldCharType="begin"/>
      </w:r>
      <w:r>
        <w:instrText xml:space="preserve"> PAGEREF _Toc32417468 \h </w:instrText>
      </w:r>
      <w:r>
        <w:fldChar w:fldCharType="separate"/>
      </w:r>
      <w:r>
        <w:t>21</w:t>
      </w:r>
      <w:r>
        <w:fldChar w:fldCharType="end"/>
      </w:r>
    </w:p>
    <w:p>
      <w:pPr>
        <w:pStyle w:val="TOC8"/>
        <w:rPr>
          <w:rFonts w:asciiTheme="minorHAnsi" w:eastAsiaTheme="minorEastAsia" w:hAnsiTheme="minorHAnsi" w:cstheme="minorBidi"/>
          <w:szCs w:val="22"/>
        </w:rPr>
      </w:pPr>
      <w:r>
        <w:t>10G.</w:t>
      </w:r>
      <w:r>
        <w:tab/>
        <w:t>Restraints on respondent</w:t>
      </w:r>
      <w:r>
        <w:tab/>
      </w:r>
      <w:r>
        <w:fldChar w:fldCharType="begin"/>
      </w:r>
      <w:r>
        <w:instrText xml:space="preserve"> PAGEREF _Toc32417469 \h </w:instrText>
      </w:r>
      <w:r>
        <w:fldChar w:fldCharType="separate"/>
      </w:r>
      <w:r>
        <w:t>23</w:t>
      </w:r>
      <w:r>
        <w:fldChar w:fldCharType="end"/>
      </w:r>
    </w:p>
    <w:p>
      <w:pPr>
        <w:pStyle w:val="TOC8"/>
        <w:rPr>
          <w:rFonts w:asciiTheme="minorHAnsi" w:eastAsiaTheme="minorEastAsia" w:hAnsiTheme="minorHAnsi" w:cstheme="minorBidi"/>
          <w:szCs w:val="22"/>
        </w:rPr>
      </w:pPr>
      <w:r>
        <w:t>10H.</w:t>
      </w:r>
      <w:r>
        <w:tab/>
        <w:t>Conduct agreement</w:t>
      </w:r>
      <w:r>
        <w:tab/>
      </w:r>
      <w:r>
        <w:fldChar w:fldCharType="begin"/>
      </w:r>
      <w:r>
        <w:instrText xml:space="preserve"> PAGEREF _Toc32417470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1C — Behaviour management order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10I.</w:t>
      </w:r>
      <w:r>
        <w:tab/>
        <w:t>Terms used</w:t>
      </w:r>
      <w:r>
        <w:tab/>
      </w:r>
      <w:r>
        <w:fldChar w:fldCharType="begin"/>
      </w:r>
      <w:r>
        <w:instrText xml:space="preserve"> PAGEREF _Toc32417473 \h </w:instrText>
      </w:r>
      <w:r>
        <w:fldChar w:fldCharType="separate"/>
      </w:r>
      <w:r>
        <w:t>26</w:t>
      </w:r>
      <w:r>
        <w:fldChar w:fldCharType="end"/>
      </w:r>
    </w:p>
    <w:p>
      <w:pPr>
        <w:pStyle w:val="TOC8"/>
        <w:rPr>
          <w:rFonts w:asciiTheme="minorHAnsi" w:eastAsiaTheme="minorEastAsia" w:hAnsiTheme="minorHAnsi" w:cstheme="minorBidi"/>
          <w:szCs w:val="22"/>
        </w:rPr>
      </w:pPr>
      <w:r>
        <w:t>10J.</w:t>
      </w:r>
      <w:r>
        <w:tab/>
        <w:t>Objects</w:t>
      </w:r>
      <w:r>
        <w:tab/>
      </w:r>
      <w:r>
        <w:fldChar w:fldCharType="begin"/>
      </w:r>
      <w:r>
        <w:instrText xml:space="preserve"> PAGEREF _Toc32417474 \h </w:instrText>
      </w:r>
      <w:r>
        <w:fldChar w:fldCharType="separate"/>
      </w:r>
      <w:r>
        <w:t>27</w:t>
      </w:r>
      <w:r>
        <w:fldChar w:fldCharType="end"/>
      </w:r>
    </w:p>
    <w:p>
      <w:pPr>
        <w:pStyle w:val="TOC8"/>
        <w:rPr>
          <w:rFonts w:asciiTheme="minorHAnsi" w:eastAsiaTheme="minorEastAsia" w:hAnsiTheme="minorHAnsi" w:cstheme="minorBidi"/>
          <w:szCs w:val="22"/>
        </w:rPr>
      </w:pPr>
      <w:r>
        <w:t>10K.</w:t>
      </w:r>
      <w:r>
        <w:tab/>
        <w:t>Application of Part</w:t>
      </w:r>
      <w:r>
        <w:tab/>
      </w:r>
      <w:r>
        <w:fldChar w:fldCharType="begin"/>
      </w:r>
      <w:r>
        <w:instrText xml:space="preserve"> PAGEREF _Toc32417475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Eligibility assessment order</w:t>
      </w:r>
    </w:p>
    <w:p>
      <w:pPr>
        <w:pStyle w:val="TOC8"/>
        <w:rPr>
          <w:rFonts w:asciiTheme="minorHAnsi" w:eastAsiaTheme="minorEastAsia" w:hAnsiTheme="minorHAnsi" w:cstheme="minorBidi"/>
          <w:szCs w:val="22"/>
        </w:rPr>
      </w:pPr>
      <w:r>
        <w:t>10L.</w:t>
      </w:r>
      <w:r>
        <w:tab/>
        <w:t>Making an eligibility assessment order</w:t>
      </w:r>
      <w:r>
        <w:tab/>
      </w:r>
      <w:r>
        <w:fldChar w:fldCharType="begin"/>
      </w:r>
      <w:r>
        <w:instrText xml:space="preserve"> PAGEREF _Toc32417477 \h </w:instrText>
      </w:r>
      <w:r>
        <w:fldChar w:fldCharType="separate"/>
      </w:r>
      <w:r>
        <w:t>27</w:t>
      </w:r>
      <w:r>
        <w:fldChar w:fldCharType="end"/>
      </w:r>
    </w:p>
    <w:p>
      <w:pPr>
        <w:pStyle w:val="TOC8"/>
        <w:rPr>
          <w:rFonts w:asciiTheme="minorHAnsi" w:eastAsiaTheme="minorEastAsia" w:hAnsiTheme="minorHAnsi" w:cstheme="minorBidi"/>
          <w:szCs w:val="22"/>
        </w:rPr>
      </w:pPr>
      <w:r>
        <w:t>10M.</w:t>
      </w:r>
      <w:r>
        <w:tab/>
        <w:t>Order to attend behaviour change programme</w:t>
      </w:r>
      <w:r>
        <w:tab/>
      </w:r>
      <w:r>
        <w:fldChar w:fldCharType="begin"/>
      </w:r>
      <w:r>
        <w:instrText xml:space="preserve"> PAGEREF _Toc32417478 \h </w:instrText>
      </w:r>
      <w:r>
        <w:fldChar w:fldCharType="separate"/>
      </w:r>
      <w:r>
        <w:t>29</w:t>
      </w:r>
      <w:r>
        <w:fldChar w:fldCharType="end"/>
      </w:r>
    </w:p>
    <w:p>
      <w:pPr>
        <w:pStyle w:val="TOC8"/>
        <w:rPr>
          <w:rFonts w:asciiTheme="minorHAnsi" w:eastAsiaTheme="minorEastAsia" w:hAnsiTheme="minorHAnsi" w:cstheme="minorBidi"/>
          <w:szCs w:val="22"/>
        </w:rPr>
      </w:pPr>
      <w:r>
        <w:t>10N.</w:t>
      </w:r>
      <w:r>
        <w:tab/>
        <w:t>Effect of appeal against final order</w:t>
      </w:r>
      <w:r>
        <w:tab/>
      </w:r>
      <w:r>
        <w:fldChar w:fldCharType="begin"/>
      </w:r>
      <w:r>
        <w:instrText xml:space="preserve"> PAGEREF _Toc32417479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Procedures relating to behaviour management order</w:t>
      </w:r>
    </w:p>
    <w:p>
      <w:pPr>
        <w:pStyle w:val="TOC8"/>
        <w:rPr>
          <w:rFonts w:asciiTheme="minorHAnsi" w:eastAsiaTheme="minorEastAsia" w:hAnsiTheme="minorHAnsi" w:cstheme="minorBidi"/>
          <w:szCs w:val="22"/>
        </w:rPr>
      </w:pPr>
      <w:r>
        <w:t>10O.</w:t>
      </w:r>
      <w:r>
        <w:tab/>
        <w:t>Notice of hearings</w:t>
      </w:r>
      <w:r>
        <w:tab/>
      </w:r>
      <w:r>
        <w:fldChar w:fldCharType="begin"/>
      </w:r>
      <w:r>
        <w:instrText xml:space="preserve"> PAGEREF _Toc32417481 \h </w:instrText>
      </w:r>
      <w:r>
        <w:fldChar w:fldCharType="separate"/>
      </w:r>
      <w:r>
        <w:t>31</w:t>
      </w:r>
      <w:r>
        <w:fldChar w:fldCharType="end"/>
      </w:r>
    </w:p>
    <w:p>
      <w:pPr>
        <w:pStyle w:val="TOC8"/>
        <w:rPr>
          <w:rFonts w:asciiTheme="minorHAnsi" w:eastAsiaTheme="minorEastAsia" w:hAnsiTheme="minorHAnsi" w:cstheme="minorBidi"/>
          <w:szCs w:val="22"/>
        </w:rPr>
      </w:pPr>
      <w:r>
        <w:t>10P.</w:t>
      </w:r>
      <w:r>
        <w:tab/>
        <w:t>Approval of persons and of behaviour change programme</w:t>
      </w:r>
      <w:r>
        <w:tab/>
      </w:r>
      <w:r>
        <w:fldChar w:fldCharType="begin"/>
      </w:r>
      <w:r>
        <w:instrText xml:space="preserve"> PAGEREF _Toc32417482 \h </w:instrText>
      </w:r>
      <w:r>
        <w:fldChar w:fldCharType="separate"/>
      </w:r>
      <w:r>
        <w:t>31</w:t>
      </w:r>
      <w:r>
        <w:fldChar w:fldCharType="end"/>
      </w:r>
    </w:p>
    <w:p>
      <w:pPr>
        <w:pStyle w:val="TOC8"/>
        <w:rPr>
          <w:rFonts w:asciiTheme="minorHAnsi" w:eastAsiaTheme="minorEastAsia" w:hAnsiTheme="minorHAnsi" w:cstheme="minorBidi"/>
          <w:szCs w:val="22"/>
        </w:rPr>
      </w:pPr>
      <w:r>
        <w:t>10Q.</w:t>
      </w:r>
      <w:r>
        <w:tab/>
        <w:t>Eligibility assessor may be required to attend hearing</w:t>
      </w:r>
      <w:r>
        <w:tab/>
      </w:r>
      <w:r>
        <w:fldChar w:fldCharType="begin"/>
      </w:r>
      <w:r>
        <w:instrText xml:space="preserve"> PAGEREF _Toc32417483 \h </w:instrText>
      </w:r>
      <w:r>
        <w:fldChar w:fldCharType="separate"/>
      </w:r>
      <w:r>
        <w:t>32</w:t>
      </w:r>
      <w:r>
        <w:fldChar w:fldCharType="end"/>
      </w:r>
    </w:p>
    <w:p>
      <w:pPr>
        <w:pStyle w:val="TOC8"/>
        <w:rPr>
          <w:rFonts w:asciiTheme="minorHAnsi" w:eastAsiaTheme="minorEastAsia" w:hAnsiTheme="minorHAnsi" w:cstheme="minorBidi"/>
          <w:szCs w:val="22"/>
        </w:rPr>
      </w:pPr>
      <w:r>
        <w:t>10R.</w:t>
      </w:r>
      <w:r>
        <w:tab/>
        <w:t>Disputed eligibility assessment report</w:t>
      </w:r>
      <w:r>
        <w:tab/>
      </w:r>
      <w:r>
        <w:fldChar w:fldCharType="begin"/>
      </w:r>
      <w:r>
        <w:instrText xml:space="preserve"> PAGEREF _Toc32417484 \h </w:instrText>
      </w:r>
      <w:r>
        <w:fldChar w:fldCharType="separate"/>
      </w:r>
      <w:r>
        <w:t>32</w:t>
      </w:r>
      <w:r>
        <w:fldChar w:fldCharType="end"/>
      </w:r>
    </w:p>
    <w:p>
      <w:pPr>
        <w:pStyle w:val="TOC8"/>
        <w:rPr>
          <w:rFonts w:asciiTheme="minorHAnsi" w:eastAsiaTheme="minorEastAsia" w:hAnsiTheme="minorHAnsi" w:cstheme="minorBidi"/>
          <w:szCs w:val="22"/>
        </w:rPr>
      </w:pPr>
      <w:r>
        <w:t>10S.</w:t>
      </w:r>
      <w:r>
        <w:tab/>
        <w:t>Explanation of behaviour management orders</w:t>
      </w:r>
      <w:r>
        <w:tab/>
      </w:r>
      <w:r>
        <w:fldChar w:fldCharType="begin"/>
      </w:r>
      <w:r>
        <w:instrText xml:space="preserve"> PAGEREF _Toc32417485 \h </w:instrText>
      </w:r>
      <w:r>
        <w:fldChar w:fldCharType="separate"/>
      </w:r>
      <w:r>
        <w:t>33</w:t>
      </w:r>
      <w:r>
        <w:fldChar w:fldCharType="end"/>
      </w:r>
    </w:p>
    <w:p>
      <w:pPr>
        <w:pStyle w:val="TOC8"/>
        <w:rPr>
          <w:rFonts w:asciiTheme="minorHAnsi" w:eastAsiaTheme="minorEastAsia" w:hAnsiTheme="minorHAnsi" w:cstheme="minorBidi"/>
          <w:szCs w:val="22"/>
        </w:rPr>
      </w:pPr>
      <w:r>
        <w:t>10T.</w:t>
      </w:r>
      <w:r>
        <w:tab/>
        <w:t>Variation or cancellation of behaviour management orders</w:t>
      </w:r>
      <w:r>
        <w:tab/>
      </w:r>
      <w:r>
        <w:fldChar w:fldCharType="begin"/>
      </w:r>
      <w:r>
        <w:instrText xml:space="preserve"> PAGEREF _Toc32417486 \h </w:instrText>
      </w:r>
      <w:r>
        <w:fldChar w:fldCharType="separate"/>
      </w:r>
      <w:r>
        <w:t>33</w:t>
      </w:r>
      <w:r>
        <w:fldChar w:fldCharType="end"/>
      </w:r>
    </w:p>
    <w:p>
      <w:pPr>
        <w:pStyle w:val="TOC8"/>
        <w:rPr>
          <w:rFonts w:asciiTheme="minorHAnsi" w:eastAsiaTheme="minorEastAsia" w:hAnsiTheme="minorHAnsi" w:cstheme="minorBidi"/>
          <w:szCs w:val="22"/>
        </w:rPr>
      </w:pPr>
      <w:r>
        <w:t>10U.</w:t>
      </w:r>
      <w:r>
        <w:tab/>
        <w:t>Service of orders</w:t>
      </w:r>
      <w:r>
        <w:tab/>
      </w:r>
      <w:r>
        <w:fldChar w:fldCharType="begin"/>
      </w:r>
      <w:r>
        <w:instrText xml:space="preserve"> PAGEREF _Toc32417487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10V.</w:t>
      </w:r>
      <w:r>
        <w:tab/>
        <w:t>Respondent’s participation in behaviour change programme</w:t>
      </w:r>
      <w:r>
        <w:tab/>
      </w:r>
      <w:r>
        <w:fldChar w:fldCharType="begin"/>
      </w:r>
      <w:r>
        <w:instrText xml:space="preserve"> PAGEREF _Toc32417489 \h </w:instrText>
      </w:r>
      <w:r>
        <w:fldChar w:fldCharType="separate"/>
      </w:r>
      <w:r>
        <w:t>35</w:t>
      </w:r>
      <w:r>
        <w:fldChar w:fldCharType="end"/>
      </w:r>
    </w:p>
    <w:p>
      <w:pPr>
        <w:pStyle w:val="TOC8"/>
        <w:rPr>
          <w:rFonts w:asciiTheme="minorHAnsi" w:eastAsiaTheme="minorEastAsia" w:hAnsiTheme="minorHAnsi" w:cstheme="minorBidi"/>
          <w:szCs w:val="22"/>
        </w:rPr>
      </w:pPr>
      <w:r>
        <w:t>10W.</w:t>
      </w:r>
      <w:r>
        <w:tab/>
        <w:t>Respondent’s contravention of behaviour management order</w:t>
      </w:r>
      <w:r>
        <w:tab/>
      </w:r>
      <w:r>
        <w:fldChar w:fldCharType="begin"/>
      </w:r>
      <w:r>
        <w:instrText xml:space="preserve"> PAGEREF _Toc32417490 \h </w:instrText>
      </w:r>
      <w:r>
        <w:fldChar w:fldCharType="separate"/>
      </w:r>
      <w:r>
        <w:t>36</w:t>
      </w:r>
      <w:r>
        <w:fldChar w:fldCharType="end"/>
      </w:r>
    </w:p>
    <w:p>
      <w:pPr>
        <w:pStyle w:val="TOC8"/>
        <w:rPr>
          <w:rFonts w:asciiTheme="minorHAnsi" w:eastAsiaTheme="minorEastAsia" w:hAnsiTheme="minorHAnsi" w:cstheme="minorBidi"/>
          <w:szCs w:val="22"/>
        </w:rPr>
      </w:pPr>
      <w:r>
        <w:t>10X.</w:t>
      </w:r>
      <w:r>
        <w:tab/>
        <w:t>Confidentiality of interviews and reports</w:t>
      </w:r>
      <w:r>
        <w:tab/>
      </w:r>
      <w:r>
        <w:fldChar w:fldCharType="begin"/>
      </w:r>
      <w:r>
        <w:instrText xml:space="preserve"> PAGEREF _Toc32417491 \h </w:instrText>
      </w:r>
      <w:r>
        <w:fldChar w:fldCharType="separate"/>
      </w:r>
      <w:r>
        <w:t>36</w:t>
      </w:r>
      <w:r>
        <w:fldChar w:fldCharType="end"/>
      </w:r>
    </w:p>
    <w:p>
      <w:pPr>
        <w:pStyle w:val="TOC8"/>
        <w:rPr>
          <w:rFonts w:asciiTheme="minorHAnsi" w:eastAsiaTheme="minorEastAsia" w:hAnsiTheme="minorHAnsi" w:cstheme="minorBidi"/>
          <w:szCs w:val="22"/>
        </w:rPr>
      </w:pPr>
      <w:r>
        <w:t>10Y.</w:t>
      </w:r>
      <w:r>
        <w:tab/>
        <w:t>Confidentiality of behaviour change programme</w:t>
      </w:r>
      <w:r>
        <w:tab/>
      </w:r>
      <w:r>
        <w:fldChar w:fldCharType="begin"/>
      </w:r>
      <w:r>
        <w:instrText xml:space="preserve"> PAGEREF _Toc32417492 \h </w:instrText>
      </w:r>
      <w:r>
        <w:fldChar w:fldCharType="separate"/>
      </w:r>
      <w:r>
        <w:t>38</w:t>
      </w:r>
      <w:r>
        <w:fldChar w:fldCharType="end"/>
      </w:r>
    </w:p>
    <w:p>
      <w:pPr>
        <w:pStyle w:val="TOC8"/>
        <w:rPr>
          <w:rFonts w:asciiTheme="minorHAnsi" w:eastAsiaTheme="minorEastAsia" w:hAnsiTheme="minorHAnsi" w:cstheme="minorBidi"/>
          <w:szCs w:val="22"/>
        </w:rPr>
      </w:pPr>
      <w:r>
        <w:t>10Z.</w:t>
      </w:r>
      <w:r>
        <w:tab/>
        <w:t>Delegation</w:t>
      </w:r>
      <w:r>
        <w:tab/>
      </w:r>
      <w:r>
        <w:fldChar w:fldCharType="begin"/>
      </w:r>
      <w:r>
        <w:instrText xml:space="preserve"> PAGEREF _Toc32417493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Violence restraining order</w:t>
      </w:r>
    </w:p>
    <w:p>
      <w:pPr>
        <w:pStyle w:val="TOC8"/>
        <w:rPr>
          <w:rFonts w:asciiTheme="minorHAnsi" w:eastAsiaTheme="minorEastAsia" w:hAnsiTheme="minorHAnsi" w:cstheme="minorBidi"/>
          <w:szCs w:val="22"/>
        </w:rPr>
      </w:pPr>
      <w:r>
        <w:t>11.</w:t>
      </w:r>
      <w:r>
        <w:tab/>
        <w:t>VRO to specify names of person bound, and person protected, by order</w:t>
      </w:r>
      <w:r>
        <w:tab/>
      </w:r>
      <w:r>
        <w:fldChar w:fldCharType="begin"/>
      </w:r>
      <w:r>
        <w:instrText xml:space="preserve"> PAGEREF _Toc32417495 \h </w:instrText>
      </w:r>
      <w:r>
        <w:fldChar w:fldCharType="separate"/>
      </w:r>
      <w:r>
        <w:t>39</w:t>
      </w:r>
      <w:r>
        <w:fldChar w:fldCharType="end"/>
      </w:r>
    </w:p>
    <w:p>
      <w:pPr>
        <w:pStyle w:val="TOC8"/>
        <w:rPr>
          <w:rFonts w:asciiTheme="minorHAnsi" w:eastAsiaTheme="minorEastAsia" w:hAnsiTheme="minorHAnsi" w:cstheme="minorBidi"/>
          <w:szCs w:val="22"/>
        </w:rPr>
      </w:pPr>
      <w:r>
        <w:t>11A.</w:t>
      </w:r>
      <w:r>
        <w:tab/>
        <w:t>When VROs may be made</w:t>
      </w:r>
      <w:r>
        <w:tab/>
      </w:r>
      <w:r>
        <w:fldChar w:fldCharType="begin"/>
      </w:r>
      <w:r>
        <w:instrText xml:space="preserve"> PAGEREF _Toc32417496 \h </w:instrText>
      </w:r>
      <w:r>
        <w:fldChar w:fldCharType="separate"/>
      </w:r>
      <w:r>
        <w:t>39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 generally</w:t>
      </w:r>
      <w:r>
        <w:tab/>
      </w:r>
      <w:r>
        <w:fldChar w:fldCharType="begin"/>
      </w:r>
      <w:r>
        <w:instrText xml:space="preserve"> PAGEREF _Toc32417497 \h </w:instrText>
      </w:r>
      <w:r>
        <w:fldChar w:fldCharType="separate"/>
      </w:r>
      <w:r>
        <w:t>40</w:t>
      </w:r>
      <w:r>
        <w:fldChar w:fldCharType="end"/>
      </w:r>
    </w:p>
    <w:p>
      <w:pPr>
        <w:pStyle w:val="TOC8"/>
        <w:rPr>
          <w:rFonts w:asciiTheme="minorHAnsi" w:eastAsiaTheme="minorEastAsia" w:hAnsiTheme="minorHAnsi" w:cstheme="minorBidi"/>
          <w:szCs w:val="22"/>
        </w:rPr>
      </w:pPr>
      <w:r>
        <w:t>12A.</w:t>
      </w:r>
      <w:r>
        <w:tab/>
        <w:t>VROs not for persons in family relationship</w:t>
      </w:r>
      <w:r>
        <w:tab/>
      </w:r>
      <w:r>
        <w:fldChar w:fldCharType="begin"/>
      </w:r>
      <w:r>
        <w:instrText xml:space="preserve"> PAGEREF _Toc32417498 \h </w:instrText>
      </w:r>
      <w:r>
        <w:fldChar w:fldCharType="separate"/>
      </w:r>
      <w:r>
        <w:t>41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_Toc32417499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2A — Provisions for FVRO and VRO</w:t>
      </w:r>
    </w:p>
    <w:p>
      <w:pPr>
        <w:pStyle w:val="TOC4"/>
        <w:tabs>
          <w:tab w:val="right" w:leader="dot" w:pos="7077"/>
        </w:tabs>
        <w:rPr>
          <w:rFonts w:asciiTheme="minorHAnsi" w:eastAsiaTheme="minorEastAsia" w:hAnsiTheme="minorHAnsi" w:cstheme="minorBidi"/>
          <w:b w:val="0"/>
          <w:szCs w:val="22"/>
        </w:rPr>
      </w:pPr>
      <w:r>
        <w:t>Division 1 — Orders relating to firearms</w:t>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_Toc32417502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1A — Duration of orders</w:t>
      </w:r>
    </w:p>
    <w:p>
      <w:pPr>
        <w:pStyle w:val="TOC8"/>
        <w:rPr>
          <w:rFonts w:asciiTheme="minorHAnsi" w:eastAsiaTheme="minorEastAsia" w:hAnsiTheme="minorHAnsi" w:cstheme="minorBidi"/>
          <w:szCs w:val="22"/>
        </w:rPr>
      </w:pPr>
      <w:r>
        <w:t>16</w:t>
      </w:r>
      <w:r>
        <w:rPr>
          <w:snapToGrid w:val="0"/>
        </w:rPr>
        <w:t>.</w:t>
      </w:r>
      <w:r>
        <w:rPr>
          <w:snapToGrid w:val="0"/>
        </w:rPr>
        <w:tab/>
        <w:t>Duration of FVRO or VRO generally</w:t>
      </w:r>
      <w:r>
        <w:tab/>
      </w:r>
      <w:r>
        <w:fldChar w:fldCharType="begin"/>
      </w:r>
      <w:r>
        <w:instrText xml:space="preserve"> PAGEREF _Toc32417504 \h </w:instrText>
      </w:r>
      <w:r>
        <w:fldChar w:fldCharType="separate"/>
      </w:r>
      <w:r>
        <w:t>45</w:t>
      </w:r>
      <w:r>
        <w:fldChar w:fldCharType="end"/>
      </w:r>
    </w:p>
    <w:p>
      <w:pPr>
        <w:pStyle w:val="TOC8"/>
        <w:rPr>
          <w:rFonts w:asciiTheme="minorHAnsi" w:eastAsiaTheme="minorEastAsia" w:hAnsiTheme="minorHAnsi" w:cstheme="minorBidi"/>
          <w:szCs w:val="22"/>
        </w:rPr>
      </w:pPr>
      <w:r>
        <w:t>16A.</w:t>
      </w:r>
      <w:r>
        <w:tab/>
        <w:t>Duration of FVRO</w:t>
      </w:r>
      <w:r>
        <w:tab/>
      </w:r>
      <w:r>
        <w:fldChar w:fldCharType="begin"/>
      </w:r>
      <w:r>
        <w:instrText xml:space="preserve"> PAGEREF _Toc32417505 \h </w:instrText>
      </w:r>
      <w:r>
        <w:fldChar w:fldCharType="separate"/>
      </w:r>
      <w:r>
        <w:t>46</w:t>
      </w:r>
      <w:r>
        <w:fldChar w:fldCharType="end"/>
      </w:r>
    </w:p>
    <w:p>
      <w:pPr>
        <w:pStyle w:val="TOC8"/>
        <w:rPr>
          <w:rFonts w:asciiTheme="minorHAnsi" w:eastAsiaTheme="minorEastAsia" w:hAnsiTheme="minorHAnsi" w:cstheme="minorBidi"/>
          <w:szCs w:val="22"/>
        </w:rPr>
      </w:pPr>
      <w:r>
        <w:t>16B.</w:t>
      </w:r>
      <w:r>
        <w:tab/>
        <w:t>Duration of VRO</w:t>
      </w:r>
      <w:r>
        <w:tab/>
      </w:r>
      <w:r>
        <w:fldChar w:fldCharType="begin"/>
      </w:r>
      <w:r>
        <w:instrText xml:space="preserve"> PAGEREF _Toc32417506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_Toc32417508 \h </w:instrText>
      </w:r>
      <w:r>
        <w:fldChar w:fldCharType="separate"/>
      </w:r>
      <w:r>
        <w:t>49</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_Toc32417509 \h </w:instrText>
      </w:r>
      <w:r>
        <w:fldChar w:fldCharType="separate"/>
      </w:r>
      <w:r>
        <w:t>49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_Toc32417510 \h </w:instrText>
      </w:r>
      <w:r>
        <w:fldChar w:fldCharType="separate"/>
      </w:r>
      <w:r>
        <w:t>50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_Toc32417511 \h </w:instrText>
      </w:r>
      <w:r>
        <w:fldChar w:fldCharType="separate"/>
      </w:r>
      <w:r>
        <w:t>50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_Toc32417512 \h </w:instrText>
      </w:r>
      <w:r>
        <w:fldChar w:fldCharType="separate"/>
      </w:r>
      <w:r>
        <w:t>51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_Toc32417513 \h </w:instrText>
      </w:r>
      <w:r>
        <w:fldChar w:fldCharType="separate"/>
      </w:r>
      <w:r>
        <w:t>52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_Toc32417514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8"/>
        <w:rPr>
          <w:rFonts w:asciiTheme="minorHAnsi" w:eastAsiaTheme="minorEastAsia" w:hAnsiTheme="minorHAnsi" w:cstheme="minorBidi"/>
          <w:szCs w:val="22"/>
        </w:rPr>
      </w:pPr>
      <w:r>
        <w:t>24A.</w:t>
      </w:r>
      <w:r>
        <w:tab/>
        <w:t>Application for FVRO</w:t>
      </w:r>
      <w:r>
        <w:tab/>
      </w:r>
      <w:r>
        <w:fldChar w:fldCharType="begin"/>
      </w:r>
      <w:r>
        <w:instrText xml:space="preserve"> PAGEREF _Toc32417516 \h </w:instrText>
      </w:r>
      <w:r>
        <w:fldChar w:fldCharType="separate"/>
      </w:r>
      <w:r>
        <w:t>53</w:t>
      </w:r>
      <w:r>
        <w:fldChar w:fldCharType="end"/>
      </w:r>
    </w:p>
    <w:p>
      <w:pPr>
        <w:pStyle w:val="TOC8"/>
        <w:rPr>
          <w:rFonts w:asciiTheme="minorHAnsi" w:eastAsiaTheme="minorEastAsia" w:hAnsiTheme="minorHAnsi" w:cstheme="minorBidi"/>
          <w:szCs w:val="22"/>
        </w:rPr>
      </w:pPr>
      <w:r>
        <w:t>25.</w:t>
      </w:r>
      <w:r>
        <w:tab/>
        <w:t>Application for VRO</w:t>
      </w:r>
      <w:r>
        <w:tab/>
      </w:r>
      <w:r>
        <w:fldChar w:fldCharType="begin"/>
      </w:r>
      <w:r>
        <w:instrText xml:space="preserve"> PAGEREF _Toc32417517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_Toc32417518 \h </w:instrText>
      </w:r>
      <w:r>
        <w:fldChar w:fldCharType="separate"/>
      </w:r>
      <w:r>
        <w:t>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_Toc32417519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_Toc32417520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_Toc32417521 \h </w:instrText>
      </w:r>
      <w:r>
        <w:fldChar w:fldCharType="separate"/>
      </w:r>
      <w:r>
        <w:t>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_Toc32417522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3A — Police officers may make police orders where family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_Toc32417524 \h </w:instrText>
      </w:r>
      <w:r>
        <w:fldChar w:fldCharType="separate"/>
      </w:r>
      <w:r>
        <w:t>57</w:t>
      </w:r>
      <w:r>
        <w:fldChar w:fldCharType="end"/>
      </w:r>
    </w:p>
    <w:p>
      <w:pPr>
        <w:pStyle w:val="TOC8"/>
        <w:rPr>
          <w:rFonts w:asciiTheme="minorHAnsi" w:eastAsiaTheme="minorEastAsia" w:hAnsiTheme="minorHAnsi" w:cstheme="minorBidi"/>
          <w:szCs w:val="22"/>
        </w:rPr>
      </w:pPr>
      <w:r>
        <w:t>30B.</w:t>
      </w:r>
      <w:r>
        <w:tab/>
        <w:t>Matters to be considered by police officer generally</w:t>
      </w:r>
      <w:r>
        <w:tab/>
      </w:r>
      <w:r>
        <w:fldChar w:fldCharType="begin"/>
      </w:r>
      <w:r>
        <w:instrText xml:space="preserve"> PAGEREF _Toc32417525 \h </w:instrText>
      </w:r>
      <w:r>
        <w:fldChar w:fldCharType="separate"/>
      </w:r>
      <w:r>
        <w:t>58</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_Toc32417526 \h </w:instrText>
      </w:r>
      <w:r>
        <w:fldChar w:fldCharType="separate"/>
      </w:r>
      <w:r>
        <w:t>59</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_Toc32417527 \h </w:instrText>
      </w:r>
      <w:r>
        <w:fldChar w:fldCharType="separate"/>
      </w:r>
      <w:r>
        <w:t>60</w:t>
      </w:r>
      <w:r>
        <w:fldChar w:fldCharType="end"/>
      </w:r>
    </w:p>
    <w:p>
      <w:pPr>
        <w:pStyle w:val="TOC8"/>
        <w:rPr>
          <w:rFonts w:asciiTheme="minorHAnsi" w:eastAsiaTheme="minorEastAsia" w:hAnsiTheme="minorHAnsi" w:cstheme="minorBidi"/>
          <w:szCs w:val="22"/>
        </w:rPr>
      </w:pPr>
      <w:r>
        <w:t>30E.</w:t>
      </w:r>
      <w:r>
        <w:tab/>
        <w:t>Police order to be served and explained</w:t>
      </w:r>
      <w:r>
        <w:tab/>
      </w:r>
      <w:r>
        <w:fldChar w:fldCharType="begin"/>
      </w:r>
      <w:r>
        <w:instrText xml:space="preserve"> PAGEREF _Toc32417528 \h </w:instrText>
      </w:r>
      <w:r>
        <w:fldChar w:fldCharType="separate"/>
      </w:r>
      <w:r>
        <w:t>60</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_Toc32417529 \h </w:instrText>
      </w:r>
      <w:r>
        <w:fldChar w:fldCharType="separate"/>
      </w:r>
      <w:r>
        <w:t>61</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_Toc32417530 \h </w:instrText>
      </w:r>
      <w:r>
        <w:fldChar w:fldCharType="separate"/>
      </w:r>
      <w:r>
        <w:t>61</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_Toc32417531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_Toc32417533 \h </w:instrText>
      </w:r>
      <w:r>
        <w:fldChar w:fldCharType="separate"/>
      </w:r>
      <w:r>
        <w:t>62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_Toc32417534 \h </w:instrText>
      </w:r>
      <w:r>
        <w:fldChar w:fldCharType="separate"/>
      </w:r>
      <w:r>
        <w:t>63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_Toc32417535 \h </w:instrText>
      </w:r>
      <w:r>
        <w:fldChar w:fldCharType="separate"/>
      </w:r>
      <w:r>
        <w:t>63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_Toc32417536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_Toc32417538 \h </w:instrText>
      </w:r>
      <w:r>
        <w:fldChar w:fldCharType="separate"/>
      </w:r>
      <w:r>
        <w:t>67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 generally</w:t>
      </w:r>
      <w:r>
        <w:tab/>
      </w:r>
      <w:r>
        <w:fldChar w:fldCharType="begin"/>
      </w:r>
      <w:r>
        <w:instrText xml:space="preserve"> PAGEREF _Toc32417539 \h </w:instrText>
      </w:r>
      <w:r>
        <w:fldChar w:fldCharType="separate"/>
      </w:r>
      <w:r>
        <w:t>67</w:t>
      </w:r>
      <w:r>
        <w:fldChar w:fldCharType="end"/>
      </w:r>
    </w:p>
    <w:p>
      <w:pPr>
        <w:pStyle w:val="TOC8"/>
        <w:rPr>
          <w:rFonts w:asciiTheme="minorHAnsi" w:eastAsiaTheme="minorEastAsia" w:hAnsiTheme="minorHAnsi" w:cstheme="minorBidi"/>
          <w:szCs w:val="22"/>
        </w:rPr>
      </w:pPr>
      <w:r>
        <w:t>35A.</w:t>
      </w:r>
      <w:r>
        <w:tab/>
        <w:t>MROs not for persons in family relationship</w:t>
      </w:r>
      <w:r>
        <w:tab/>
      </w:r>
      <w:r>
        <w:fldChar w:fldCharType="begin"/>
      </w:r>
      <w:r>
        <w:instrText xml:space="preserve"> PAGEREF _Toc32417540 \h </w:instrText>
      </w:r>
      <w:r>
        <w:fldChar w:fldCharType="separate"/>
      </w:r>
      <w:r>
        <w:t>69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_Toc32417541 \h </w:instrText>
      </w:r>
      <w:r>
        <w:fldChar w:fldCharType="separate"/>
      </w:r>
      <w:r>
        <w:t>69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MRO</w:t>
      </w:r>
      <w:r>
        <w:tab/>
      </w:r>
      <w:r>
        <w:fldChar w:fldCharType="begin"/>
      </w:r>
      <w:r>
        <w:instrText xml:space="preserve"> PAGEREF _Toc32417542 \h </w:instrText>
      </w:r>
      <w:r>
        <w:fldChar w:fldCharType="separate"/>
      </w:r>
      <w:r>
        <w:t>71</w:t>
      </w:r>
      <w:r>
        <w:fldChar w:fldCharType="end"/>
      </w:r>
    </w:p>
    <w:p>
      <w:pPr>
        <w:pStyle w:val="TOC8"/>
        <w:rPr>
          <w:rFonts w:asciiTheme="minorHAnsi" w:eastAsiaTheme="minorEastAsia" w:hAnsiTheme="minorHAnsi" w:cstheme="minorBidi"/>
          <w:szCs w:val="22"/>
        </w:rPr>
      </w:pPr>
      <w:r>
        <w:t>38.</w:t>
      </w:r>
      <w:r>
        <w:tab/>
        <w:t>Application for MRO</w:t>
      </w:r>
      <w:r>
        <w:tab/>
      </w:r>
      <w:r>
        <w:fldChar w:fldCharType="begin"/>
      </w:r>
      <w:r>
        <w:instrText xml:space="preserve"> PAGEREF _Toc32417543 \h </w:instrText>
      </w:r>
      <w:r>
        <w:fldChar w:fldCharType="separate"/>
      </w:r>
      <w:r>
        <w:t>71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_Toc32417544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_Toc32417547 \h </w:instrText>
      </w:r>
      <w:r>
        <w:fldChar w:fldCharType="separate"/>
      </w:r>
      <w:r>
        <w:t>73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_Toc32417548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_Toc32417550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_Toc32417551 \h </w:instrText>
      </w:r>
      <w:r>
        <w:fldChar w:fldCharType="separate"/>
      </w:r>
      <w:r>
        <w:t>75</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_Toc32417552 \h </w:instrText>
      </w:r>
      <w:r>
        <w:fldChar w:fldCharType="separate"/>
      </w:r>
      <w:r>
        <w:t>76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_Toc32417553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44A.</w:t>
      </w:r>
      <w:r>
        <w:tab/>
        <w:t>Rules of evidence not to apply in certain circumstances</w:t>
      </w:r>
      <w:r>
        <w:tab/>
      </w:r>
      <w:r>
        <w:fldChar w:fldCharType="begin"/>
      </w:r>
      <w:r>
        <w:instrText xml:space="preserve"> PAGEREF _Toc32417555 \h </w:instrText>
      </w:r>
      <w:r>
        <w:fldChar w:fldCharType="separate"/>
      </w:r>
      <w:r>
        <w:t>79</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_Toc32417556 \h </w:instrText>
      </w:r>
      <w:r>
        <w:fldChar w:fldCharType="separate"/>
      </w:r>
      <w:r>
        <w:t>80</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_Toc32417557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_Toc32417559 \h </w:instrText>
      </w:r>
      <w:r>
        <w:fldChar w:fldCharType="separate"/>
      </w:r>
      <w:r>
        <w:t>82</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_Toc32417560 \h </w:instrText>
      </w:r>
      <w:r>
        <w:fldChar w:fldCharType="separate"/>
      </w:r>
      <w:r>
        <w:t>83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_Toc32417561 \h </w:instrText>
      </w:r>
      <w:r>
        <w:fldChar w:fldCharType="separate"/>
      </w:r>
      <w:r>
        <w:t>83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_Toc32417562 \h </w:instrText>
      </w:r>
      <w:r>
        <w:fldChar w:fldCharType="separate"/>
      </w:r>
      <w:r>
        <w:t>84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_Toc32417563 \h </w:instrText>
      </w:r>
      <w:r>
        <w:fldChar w:fldCharType="separate"/>
      </w:r>
      <w:r>
        <w:t>85</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_Toc32417564 \h </w:instrText>
      </w:r>
      <w:r>
        <w:fldChar w:fldCharType="separate"/>
      </w:r>
      <w:r>
        <w:t>87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_Toc32417565 \h </w:instrText>
      </w:r>
      <w:r>
        <w:fldChar w:fldCharType="separate"/>
      </w:r>
      <w:r>
        <w:t>87</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_Toc32417566 \h </w:instrText>
      </w:r>
      <w:r>
        <w:fldChar w:fldCharType="separate"/>
      </w:r>
      <w:r>
        <w:t>88</w:t>
      </w:r>
      <w:r>
        <w:fldChar w:fldCharType="end"/>
      </w:r>
    </w:p>
    <w:p>
      <w:pPr>
        <w:pStyle w:val="TOC8"/>
        <w:rPr>
          <w:rFonts w:asciiTheme="minorHAnsi" w:eastAsiaTheme="minorEastAsia" w:hAnsiTheme="minorHAnsi" w:cstheme="minorBidi"/>
          <w:szCs w:val="22"/>
        </w:rPr>
      </w:pPr>
      <w:r>
        <w:t>49B.</w:t>
      </w:r>
      <w:r>
        <w:tab/>
        <w:t>Matters to be considered by court generally</w:t>
      </w:r>
      <w:r>
        <w:tab/>
      </w:r>
      <w:r>
        <w:fldChar w:fldCharType="begin"/>
      </w:r>
      <w:r>
        <w:instrText xml:space="preserve"> PAGEREF _Toc32417567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_Toc32417570 \h </w:instrText>
      </w:r>
      <w:r>
        <w:fldChar w:fldCharType="separate"/>
      </w:r>
      <w:r>
        <w:t>90</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_Toc32417571 \h </w:instrText>
      </w:r>
      <w:r>
        <w:fldChar w:fldCharType="separate"/>
      </w:r>
      <w:r>
        <w:t>90</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_Toc32417572 \h </w:instrText>
      </w:r>
      <w:r>
        <w:fldChar w:fldCharType="separate"/>
      </w:r>
      <w:r>
        <w:t>90</w:t>
      </w:r>
      <w:r>
        <w:fldChar w:fldCharType="end"/>
      </w:r>
    </w:p>
    <w:p>
      <w:pPr>
        <w:pStyle w:val="TOC8"/>
        <w:rPr>
          <w:rFonts w:asciiTheme="minorHAnsi" w:eastAsiaTheme="minorEastAsia" w:hAnsiTheme="minorHAnsi" w:cstheme="minorBidi"/>
          <w:szCs w:val="22"/>
        </w:rPr>
      </w:pPr>
      <w:r>
        <w:t>50C.</w:t>
      </w:r>
      <w:r>
        <w:tab/>
        <w:t>CEO (child welfare) to be notified before certain FVROs or VROs are made</w:t>
      </w:r>
      <w:r>
        <w:tab/>
      </w:r>
      <w:r>
        <w:fldChar w:fldCharType="begin"/>
      </w:r>
      <w:r>
        <w:instrText xml:space="preserve"> PAGEREF _Toc32417573 \h </w:instrText>
      </w:r>
      <w:r>
        <w:fldChar w:fldCharType="separate"/>
      </w:r>
      <w:r>
        <w:t>91</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_Toc32417574 \h </w:instrText>
      </w:r>
      <w:r>
        <w:fldChar w:fldCharType="separate"/>
      </w:r>
      <w:r>
        <w:t>92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_Toc32417575 \h </w:instrText>
      </w:r>
      <w:r>
        <w:fldChar w:fldCharType="separate"/>
      </w:r>
      <w:r>
        <w:t>92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_Toc32417576 \h </w:instrText>
      </w:r>
      <w:r>
        <w:fldChar w:fldCharType="separate"/>
      </w:r>
      <w:r>
        <w:t>92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Telephone order made against child</w:t>
      </w:r>
      <w:r>
        <w:tab/>
      </w:r>
      <w:r>
        <w:fldChar w:fldCharType="begin"/>
      </w:r>
      <w:r>
        <w:instrText xml:space="preserve"> PAGEREF _Toc32417577 \h </w:instrText>
      </w:r>
      <w:r>
        <w:fldChar w:fldCharType="separate"/>
      </w:r>
      <w:r>
        <w:t>93</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_Toc32417578 \h </w:instrText>
      </w:r>
      <w:r>
        <w:fldChar w:fldCharType="separate"/>
      </w:r>
      <w:r>
        <w:t>94</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_Toc32417579 \h </w:instrText>
      </w:r>
      <w:r>
        <w:fldChar w:fldCharType="separate"/>
      </w:r>
      <w:r>
        <w:t>94</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_Toc32417580 \h </w:instrText>
      </w:r>
      <w:r>
        <w:fldChar w:fldCharType="separate"/>
      </w:r>
      <w:r>
        <w:t>95</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_Toc32417581 \h </w:instrText>
      </w:r>
      <w:r>
        <w:fldChar w:fldCharType="separate"/>
      </w:r>
      <w:r>
        <w:t>95</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_Toc32417582 \h </w:instrText>
      </w:r>
      <w:r>
        <w:fldChar w:fldCharType="separate"/>
      </w:r>
      <w:r>
        <w:t>95</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_Toc32417583 \h </w:instrText>
      </w:r>
      <w:r>
        <w:fldChar w:fldCharType="separate"/>
      </w:r>
      <w:r>
        <w:t>96</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_Toc32417584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_Toc32417586 \h </w:instrText>
      </w:r>
      <w:r>
        <w:fldChar w:fldCharType="separate"/>
      </w:r>
      <w:r>
        <w:t>97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_Toc32417587 \h </w:instrText>
      </w:r>
      <w:r>
        <w:fldChar w:fldCharType="separate"/>
      </w:r>
      <w:r>
        <w:t>97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_Toc32417588 \h </w:instrText>
      </w:r>
      <w:r>
        <w:fldChar w:fldCharType="separate"/>
      </w:r>
      <w:r>
        <w:t>99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_Toc32417589 \h </w:instrText>
      </w:r>
      <w:r>
        <w:fldChar w:fldCharType="separate"/>
      </w:r>
      <w:r>
        <w:t>99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_Toc32417590 \h </w:instrText>
      </w:r>
      <w:r>
        <w:fldChar w:fldCharType="separate"/>
      </w:r>
      <w:r>
        <w:t>99</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_Toc32417591 \h </w:instrText>
      </w:r>
      <w:r>
        <w:fldChar w:fldCharType="separate"/>
      </w:r>
      <w:r>
        <w:t>100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Substituted service</w:t>
      </w:r>
      <w:r>
        <w:tab/>
      </w:r>
      <w:r>
        <w:fldChar w:fldCharType="begin"/>
      </w:r>
      <w:r>
        <w:instrText xml:space="preserve"> PAGEREF _Toc32417592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_Toc32417594 \h </w:instrText>
      </w:r>
      <w:r>
        <w:fldChar w:fldCharType="separate"/>
      </w:r>
      <w:r>
        <w:t>102</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_Toc32417595 \h </w:instrText>
      </w:r>
      <w:r>
        <w:fldChar w:fldCharType="separate"/>
      </w:r>
      <w:r>
        <w:t>103</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_Toc32417596 \h </w:instrText>
      </w:r>
      <w:r>
        <w:fldChar w:fldCharType="separate"/>
      </w:r>
      <w:r>
        <w:t>105</w:t>
      </w:r>
      <w:r>
        <w:fldChar w:fldCharType="end"/>
      </w:r>
    </w:p>
    <w:p>
      <w:pPr>
        <w:pStyle w:val="TOC8"/>
        <w:rPr>
          <w:rFonts w:asciiTheme="minorHAnsi" w:eastAsiaTheme="minorEastAsia" w:hAnsiTheme="minorHAnsi" w:cstheme="minorBidi"/>
          <w:szCs w:val="22"/>
        </w:rPr>
      </w:pPr>
      <w:r>
        <w:t>61C.</w:t>
      </w:r>
      <w:r>
        <w:tab/>
        <w:t>Report under s. 10V to be considered in sentencing for breach of FVRO</w:t>
      </w:r>
      <w:r>
        <w:tab/>
      </w:r>
      <w:r>
        <w:fldChar w:fldCharType="begin"/>
      </w:r>
      <w:r>
        <w:instrText xml:space="preserve"> PAGEREF _Toc32417597 \h </w:instrText>
      </w:r>
      <w:r>
        <w:fldChar w:fldCharType="separate"/>
      </w:r>
      <w:r>
        <w:t>106</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_Toc32417598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violence</w:t>
      </w:r>
      <w:r>
        <w:tab/>
      </w:r>
      <w:r>
        <w:fldChar w:fldCharType="begin"/>
      </w:r>
      <w:r>
        <w:instrText xml:space="preserve"> PAGEREF _Toc32417600 \h </w:instrText>
      </w:r>
      <w:r>
        <w:fldChar w:fldCharType="separate"/>
      </w:r>
      <w:r>
        <w:t>107</w:t>
      </w:r>
      <w:r>
        <w:fldChar w:fldCharType="end"/>
      </w:r>
    </w:p>
    <w:p>
      <w:pPr>
        <w:pStyle w:val="TOC8"/>
        <w:rPr>
          <w:rFonts w:asciiTheme="minorHAnsi" w:eastAsiaTheme="minorEastAsia" w:hAnsiTheme="minorHAnsi" w:cstheme="minorBidi"/>
          <w:szCs w:val="22"/>
        </w:rPr>
      </w:pPr>
      <w:r>
        <w:t>62B.</w:t>
      </w:r>
      <w:r>
        <w:tab/>
        <w:t>Entry and search of premises if family violence suspected</w:t>
      </w:r>
      <w:r>
        <w:tab/>
      </w:r>
      <w:r>
        <w:fldChar w:fldCharType="begin"/>
      </w:r>
      <w:r>
        <w:instrText xml:space="preserve"> PAGEREF _Toc32417601 \h </w:instrText>
      </w:r>
      <w:r>
        <w:fldChar w:fldCharType="separate"/>
      </w:r>
      <w:r>
        <w:t>107</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violence</w:t>
      </w:r>
      <w:r>
        <w:tab/>
      </w:r>
      <w:r>
        <w:fldChar w:fldCharType="begin"/>
      </w:r>
      <w:r>
        <w:instrText xml:space="preserve"> PAGEREF _Toc32417602 \h </w:instrText>
      </w:r>
      <w:r>
        <w:fldChar w:fldCharType="separate"/>
      </w:r>
      <w:r>
        <w:t>109</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_Toc32417603 \h </w:instrText>
      </w:r>
      <w:r>
        <w:fldChar w:fldCharType="separate"/>
      </w:r>
      <w:r>
        <w:t>109</w:t>
      </w:r>
      <w:r>
        <w:fldChar w:fldCharType="end"/>
      </w:r>
    </w:p>
    <w:p>
      <w:pPr>
        <w:pStyle w:val="TOC8"/>
        <w:rPr>
          <w:rFonts w:asciiTheme="minorHAnsi" w:eastAsiaTheme="minorEastAsia" w:hAnsiTheme="minorHAnsi" w:cstheme="minorBidi"/>
          <w:szCs w:val="22"/>
        </w:rPr>
      </w:pPr>
      <w:r>
        <w:t>62E.</w:t>
      </w:r>
      <w:r>
        <w:tab/>
        <w:t>Seizure of firearms</w:t>
      </w:r>
      <w:r>
        <w:tab/>
      </w:r>
      <w:r>
        <w:fldChar w:fldCharType="begin"/>
      </w:r>
      <w:r>
        <w:instrText xml:space="preserve"> PAGEREF _Toc32417604 \h </w:instrText>
      </w:r>
      <w:r>
        <w:fldChar w:fldCharType="separate"/>
      </w:r>
      <w:r>
        <w:t>111</w:t>
      </w:r>
      <w:r>
        <w:fldChar w:fldCharType="end"/>
      </w:r>
    </w:p>
    <w:p>
      <w:pPr>
        <w:pStyle w:val="TOC8"/>
        <w:rPr>
          <w:rFonts w:asciiTheme="minorHAnsi" w:eastAsiaTheme="minorEastAsia" w:hAnsiTheme="minorHAnsi" w:cstheme="minorBidi"/>
          <w:szCs w:val="22"/>
        </w:rPr>
      </w:pPr>
      <w:r>
        <w:t>62F.</w:t>
      </w:r>
      <w:r>
        <w:tab/>
        <w:t>Detention of respondent during telephone hearing or while police order is being made</w:t>
      </w:r>
      <w:r>
        <w:tab/>
      </w:r>
      <w:r>
        <w:fldChar w:fldCharType="begin"/>
      </w:r>
      <w:r>
        <w:instrText xml:space="preserve"> PAGEREF _Toc32417605 \h </w:instrText>
      </w:r>
      <w:r>
        <w:fldChar w:fldCharType="separate"/>
      </w:r>
      <w:r>
        <w:t>112</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_Toc32417606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_Toc32417608 \h </w:instrText>
      </w:r>
      <w:r>
        <w:fldChar w:fldCharType="separate"/>
      </w:r>
      <w:r>
        <w:t>113</w:t>
      </w:r>
      <w:r>
        <w:fldChar w:fldCharType="end"/>
      </w:r>
    </w:p>
    <w:p>
      <w:pPr>
        <w:pStyle w:val="TOC8"/>
        <w:rPr>
          <w:rFonts w:asciiTheme="minorHAnsi" w:eastAsiaTheme="minorEastAsia" w:hAnsiTheme="minorHAnsi" w:cstheme="minorBidi"/>
          <w:szCs w:val="22"/>
        </w:rPr>
      </w:pPr>
      <w:r>
        <w:t>63A.</w:t>
      </w:r>
      <w:r>
        <w:tab/>
        <w:t>FVRO or VRO made if certain violent personal offences committed</w:t>
      </w:r>
      <w:r>
        <w:tab/>
      </w:r>
      <w:r>
        <w:fldChar w:fldCharType="begin"/>
      </w:r>
      <w:r>
        <w:instrText xml:space="preserve"> PAGEREF _Toc32417609 \h </w:instrText>
      </w:r>
      <w:r>
        <w:fldChar w:fldCharType="separate"/>
      </w:r>
      <w:r>
        <w:t>117</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_Toc32417610 \h </w:instrText>
      </w:r>
      <w:r>
        <w:fldChar w:fldCharType="separate"/>
      </w:r>
      <w:r>
        <w:t>118</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_Toc32417611 \h </w:instrText>
      </w:r>
      <w:r>
        <w:fldChar w:fldCharType="separate"/>
      </w:r>
      <w:r>
        <w:t>118</w:t>
      </w:r>
      <w:r>
        <w:fldChar w:fldCharType="end"/>
      </w:r>
    </w:p>
    <w:p>
      <w:pPr>
        <w:pStyle w:val="TOC8"/>
        <w:rPr>
          <w:rFonts w:asciiTheme="minorHAnsi" w:eastAsiaTheme="minorEastAsia" w:hAnsiTheme="minorHAnsi" w:cstheme="minorBidi"/>
          <w:szCs w:val="22"/>
        </w:rPr>
      </w:pPr>
      <w:r>
        <w:t>63D.</w:t>
      </w:r>
      <w:r>
        <w:tab/>
        <w:t>Court to give reasons for certain decisions</w:t>
      </w:r>
      <w:r>
        <w:tab/>
      </w:r>
      <w:r>
        <w:fldChar w:fldCharType="begin"/>
      </w:r>
      <w:r>
        <w:instrText xml:space="preserve"> PAGEREF _Toc32417612 \h </w:instrText>
      </w:r>
      <w:r>
        <w:fldChar w:fldCharType="separate"/>
      </w:r>
      <w:r>
        <w:t>119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_Toc32417613 \h </w:instrText>
      </w:r>
      <w:r>
        <w:fldChar w:fldCharType="separate"/>
      </w:r>
      <w:r>
        <w:t>119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_Toc32417614 \h </w:instrText>
      </w:r>
      <w:r>
        <w:fldChar w:fldCharType="separate"/>
      </w:r>
      <w:r>
        <w:t>121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Notification of family orders</w:t>
      </w:r>
      <w:r>
        <w:tab/>
      </w:r>
      <w:r>
        <w:fldChar w:fldCharType="begin"/>
      </w:r>
      <w:r>
        <w:instrText xml:space="preserve"> PAGEREF _Toc32417615 \h </w:instrText>
      </w:r>
      <w:r>
        <w:fldChar w:fldCharType="separate"/>
      </w:r>
      <w:r>
        <w:t>121</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_Toc32417616 \h </w:instrText>
      </w:r>
      <w:r>
        <w:fldChar w:fldCharType="separate"/>
      </w:r>
      <w:r>
        <w:t>122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_Toc32417617 \h </w:instrText>
      </w:r>
      <w:r>
        <w:fldChar w:fldCharType="separate"/>
      </w:r>
      <w:r>
        <w:t>123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_Toc32417618 \h </w:instrText>
      </w:r>
      <w:r>
        <w:fldChar w:fldCharType="separate"/>
      </w:r>
      <w:r>
        <w:t>123</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_Toc32417619 \h </w:instrText>
      </w:r>
      <w:r>
        <w:fldChar w:fldCharType="separate"/>
      </w:r>
      <w:r>
        <w:t>124</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_Toc32417620 \h </w:instrText>
      </w:r>
      <w:r>
        <w:fldChar w:fldCharType="separate"/>
      </w:r>
      <w:r>
        <w:t>126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_Toc32417621 \h </w:instrText>
      </w:r>
      <w:r>
        <w:fldChar w:fldCharType="separate"/>
      </w:r>
      <w:r>
        <w:t>127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_Toc32417622 \h </w:instrText>
      </w:r>
      <w:r>
        <w:fldChar w:fldCharType="separate"/>
      </w:r>
      <w:r>
        <w:t>130</w:t>
      </w:r>
      <w:r>
        <w:fldChar w:fldCharType="end"/>
      </w:r>
    </w:p>
    <w:p>
      <w:pPr>
        <w:pStyle w:val="TOC8"/>
        <w:rPr>
          <w:rFonts w:asciiTheme="minorHAnsi" w:eastAsiaTheme="minorEastAsia" w:hAnsiTheme="minorHAnsi" w:cstheme="minorBidi"/>
          <w:szCs w:val="22"/>
        </w:rPr>
      </w:pPr>
      <w:r>
        <w:t>72A.</w:t>
      </w:r>
      <w:r>
        <w:tab/>
        <w:t>Forms</w:t>
      </w:r>
      <w:r>
        <w:tab/>
      </w:r>
      <w:r>
        <w:fldChar w:fldCharType="begin"/>
      </w:r>
      <w:r>
        <w:instrText xml:space="preserve"> PAGEREF _Toc32417623 \h </w:instrText>
      </w:r>
      <w:r>
        <w:fldChar w:fldCharType="separate"/>
      </w:r>
      <w:r>
        <w:t>130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_Toc32417624 \h </w:instrText>
      </w:r>
      <w:r>
        <w:fldChar w:fldCharType="separate"/>
      </w:r>
      <w:r>
        <w:t>130</w:t>
      </w:r>
      <w:r>
        <w:fldChar w:fldCharType="end"/>
      </w:r>
    </w:p>
    <w:p>
      <w:pPr>
        <w:pStyle w:val="TOC8"/>
        <w:rPr>
          <w:rFonts w:asciiTheme="minorHAnsi" w:eastAsiaTheme="minorEastAsia" w:hAnsiTheme="minorHAnsi" w:cstheme="minorBidi"/>
          <w:szCs w:val="22"/>
        </w:rPr>
      </w:pPr>
      <w:r>
        <w:t>73A.</w:t>
      </w:r>
      <w:r>
        <w:tab/>
        <w:t>Review of certain amendments relating to FVROs</w:t>
      </w:r>
      <w:r>
        <w:tab/>
      </w:r>
      <w:r>
        <w:fldChar w:fldCharType="begin"/>
      </w:r>
      <w:r>
        <w:instrText xml:space="preserve"> PAGEREF _Toc32417625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_Toc32417627 \h </w:instrText>
      </w:r>
      <w:r>
        <w:fldChar w:fldCharType="separate"/>
      </w:r>
      <w:r>
        <w:t>132</w:t>
      </w:r>
      <w:r>
        <w:fldChar w:fldCharType="end"/>
      </w:r>
    </w:p>
    <w:p>
      <w:pPr>
        <w:pStyle w:val="TOC8"/>
        <w:rPr>
          <w:rFonts w:asciiTheme="minorHAnsi" w:eastAsiaTheme="minorEastAsia" w:hAnsiTheme="minorHAnsi" w:cstheme="minorBidi"/>
          <w:szCs w:val="22"/>
        </w:rPr>
      </w:pPr>
      <w:r>
        <w:t>74A.</w:t>
      </w:r>
      <w:r>
        <w:tab/>
        <w:t xml:space="preserve">Interstate DVOs under </w:t>
      </w:r>
      <w:r>
        <w:rPr>
          <w:i/>
        </w:rPr>
        <w:t xml:space="preserve">Domestic Violence Orders (National Recognition) Act 2017 </w:t>
      </w:r>
      <w:r>
        <w:t>cannot be registered</w:t>
      </w:r>
      <w:r>
        <w:tab/>
      </w:r>
      <w:r>
        <w:fldChar w:fldCharType="begin"/>
      </w:r>
      <w:r>
        <w:instrText xml:space="preserve"> PAGEREF _Toc32417628 \h </w:instrText>
      </w:r>
      <w:r>
        <w:fldChar w:fldCharType="separate"/>
      </w:r>
      <w:r>
        <w:t>132</w:t>
      </w:r>
      <w:r>
        <w:fldChar w:fldCharType="end"/>
      </w:r>
    </w:p>
    <w:p>
      <w:pPr>
        <w:pStyle w:val="TOC8"/>
        <w:rPr>
          <w:rFonts w:asciiTheme="minorHAnsi" w:eastAsiaTheme="minorEastAsia" w:hAnsiTheme="minorHAnsi" w:cstheme="minorBidi"/>
          <w:szCs w:val="22"/>
        </w:rPr>
      </w:pPr>
      <w:r>
        <w:t>74B.</w:t>
      </w:r>
      <w:r>
        <w:tab/>
        <w:t xml:space="preserve">Interstate orders registered before commencement of </w:t>
      </w:r>
      <w:r>
        <w:rPr>
          <w:i/>
        </w:rPr>
        <w:t>Domestic Violence Orders (National Recognition) Act 2017</w:t>
      </w:r>
      <w:r>
        <w:tab/>
      </w:r>
      <w:r>
        <w:fldChar w:fldCharType="begin"/>
      </w:r>
      <w:r>
        <w:instrText xml:space="preserve"> PAGEREF _Toc32417629 \h </w:instrText>
      </w:r>
      <w:r>
        <w:fldChar w:fldCharType="separate"/>
      </w:r>
      <w:r>
        <w:t>132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_Toc32417630 \h </w:instrText>
      </w:r>
      <w:r>
        <w:fldChar w:fldCharType="separate"/>
      </w:r>
      <w:r>
        <w:t>133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_Toc32417631 \h </w:instrText>
      </w:r>
      <w:r>
        <w:fldChar w:fldCharType="separate"/>
      </w:r>
      <w:r>
        <w:t>134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_Toc32417632 \h </w:instrText>
      </w:r>
      <w:r>
        <w:fldChar w:fldCharType="separate"/>
      </w:r>
      <w:r>
        <w:t>135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Variation or cancellation in another State or Territory</w:t>
      </w:r>
      <w:r>
        <w:tab/>
      </w:r>
      <w:r>
        <w:fldChar w:fldCharType="begin"/>
      </w:r>
      <w:r>
        <w:instrText xml:space="preserve"> PAGEREF _Toc32417633 \h </w:instrText>
      </w:r>
      <w:r>
        <w:fldChar w:fldCharType="separate"/>
      </w:r>
      <w:r>
        <w:t>135</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_Toc32417634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_Toc32417636 \h </w:instrText>
      </w:r>
      <w:r>
        <w:fldChar w:fldCharType="separate"/>
      </w:r>
      <w:r>
        <w:t>138</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_Toc32417637 \h </w:instrText>
      </w:r>
      <w:r>
        <w:fldChar w:fldCharType="separate"/>
      </w:r>
      <w:r>
        <w:t>138</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_Toc32417638 \h </w:instrText>
      </w:r>
      <w:r>
        <w:fldChar w:fldCharType="separate"/>
      </w:r>
      <w:r>
        <w:t>139</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_Toc32417639 \h </w:instrText>
      </w:r>
      <w:r>
        <w:fldChar w:fldCharType="separate"/>
      </w:r>
      <w:r>
        <w:t>139</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_Toc32417640 \h </w:instrText>
      </w:r>
      <w:r>
        <w:fldChar w:fldCharType="separate"/>
      </w:r>
      <w:r>
        <w:t>140</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_Toc32417641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_Toc32417643 \h </w:instrText>
      </w:r>
      <w:r>
        <w:fldChar w:fldCharType="separate"/>
      </w:r>
      <w:r>
        <w:t>142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_Toc32417644 \h </w:instrText>
      </w:r>
      <w:r>
        <w:fldChar w:fldCharType="separate"/>
      </w:r>
      <w:r>
        <w:t>144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_Toc32417645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400" w:after="880"/>
      </w:pPr>
      <w:r>
        <w:t>Restraining Orders Act 1997</w:t>
      </w:r>
    </w:p>
    <w:p>
      <w:pPr>
        <w:pStyle w:val="LongTitle"/>
        <w:spacing w:before="400"/>
        <w:rPr>
          <w:snapToGrid w:val="0"/>
        </w:rPr>
      </w:pPr>
      <w:r>
        <w:rPr>
          <w:snapToGrid w:val="0"/>
        </w:rPr>
        <w:t>An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3" w:name="_Toc32417245"/>
      <w:bookmarkStart w:id="4" w:name="_Toc32417446"/>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2417447"/>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6" w:name="_Toc32417448"/>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7" w:name="_Toc32417449"/>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w:t>
      </w:r>
    </w:p>
    <w:p>
      <w:pPr>
        <w:pStyle w:val="Heading5"/>
      </w:pPr>
      <w:bookmarkStart w:id="8" w:name="_Toc32417450"/>
      <w:r>
        <w:rPr>
          <w:rStyle w:val="CharSectno"/>
        </w:rPr>
        <w:t>4</w:t>
      </w:r>
      <w:r>
        <w:t>.</w:t>
      </w:r>
      <w:r>
        <w:tab/>
        <w:t>Terms used: family relationship and family member</w:t>
      </w:r>
      <w:bookmarkEnd w:id="8"/>
    </w:p>
    <w:p>
      <w:pPr>
        <w:pStyle w:val="Subsection"/>
      </w:pPr>
      <w:r>
        <w:tab/>
        <w:t>(1)</w:t>
      </w:r>
      <w:r>
        <w:tab/>
        <w:t xml:space="preserve">In this Act — </w:t>
      </w:r>
    </w:p>
    <w:p>
      <w:pPr>
        <w:pStyle w:val="Defstart"/>
      </w:pPr>
      <w:r>
        <w:rPr>
          <w:b/>
        </w:rPr>
        <w:tab/>
      </w:r>
      <w:r>
        <w:rPr>
          <w:rStyle w:val="CharDefText"/>
        </w:rPr>
        <w:t>family relationship</w:t>
      </w:r>
      <w:r>
        <w:t xml:space="preserve"> means a relationship between 2 persons —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w:t>
      </w:r>
    </w:p>
    <w:p>
      <w:pPr>
        <w:pStyle w:val="Heading5"/>
      </w:pPr>
      <w:bookmarkStart w:id="9" w:name="_Toc32417451"/>
      <w:r>
        <w:rPr>
          <w:rStyle w:val="CharSectno"/>
        </w:rPr>
        <w:t>5</w:t>
      </w:r>
      <w:r>
        <w:t>.</w:t>
      </w:r>
      <w:r>
        <w:tab/>
        <w:t>Term used: family order</w:t>
      </w:r>
      <w:bookmarkEnd w:id="9"/>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10" w:name="_Toc32417452"/>
      <w:r>
        <w:rPr>
          <w:rStyle w:val="CharSectno"/>
        </w:rPr>
        <w:t>5A</w:t>
      </w:r>
      <w:r>
        <w:t>.</w:t>
      </w:r>
      <w:r>
        <w:tab/>
        <w:t>Term used: family violence</w:t>
      </w:r>
      <w:bookmarkEnd w:id="10"/>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w:t>
      </w:r>
    </w:p>
    <w:p>
      <w:pPr>
        <w:pStyle w:val="Heading5"/>
      </w:pPr>
      <w:bookmarkStart w:id="11" w:name="_Toc32417453"/>
      <w:r>
        <w:rPr>
          <w:rStyle w:val="CharSectno"/>
        </w:rPr>
        <w:t>6</w:t>
      </w:r>
      <w:r>
        <w:t>.</w:t>
      </w:r>
      <w:r>
        <w:tab/>
        <w:t>Term used: personal violence</w:t>
      </w:r>
      <w:bookmarkEnd w:id="11"/>
    </w:p>
    <w:p>
      <w:pPr>
        <w:pStyle w:val="Ednotesubsection"/>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12" w:name="_Toc32417454"/>
      <w:r>
        <w:rPr>
          <w:rStyle w:val="CharSectno"/>
        </w:rPr>
        <w:t>6A</w:t>
      </w:r>
      <w:r>
        <w:t>.</w:t>
      </w:r>
      <w:r>
        <w:tab/>
        <w:t>Term used: exposed</w:t>
      </w:r>
      <w:bookmarkEnd w:id="12"/>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13" w:name="_Toc32417455"/>
      <w:r>
        <w:rPr>
          <w:rStyle w:val="CharSectno"/>
        </w:rPr>
        <w:t>7</w:t>
      </w:r>
      <w:r>
        <w:t>.</w:t>
      </w:r>
      <w:r>
        <w:tab/>
        <w:t>Persons protected, and bound, by order to be natural persons</w:t>
      </w:r>
      <w:bookmarkEnd w:id="13"/>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14" w:name="_Toc32417456"/>
      <w:r>
        <w:rPr>
          <w:rStyle w:val="CharSectno"/>
        </w:rPr>
        <w:t>7A</w:t>
      </w:r>
      <w:r>
        <w:t>.</w:t>
      </w:r>
      <w:r>
        <w:tab/>
        <w:t>Orders under this Act imposing restraints</w:t>
      </w:r>
      <w:bookmarkEnd w:id="14"/>
    </w:p>
    <w:p>
      <w:pPr>
        <w:pStyle w:val="Subsection"/>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No. 38 of 2004 s. 8; amended: No. 59 of 2004 s. 124; No. 49 of 2016 s. 11.]</w:t>
      </w:r>
    </w:p>
    <w:p>
      <w:pPr>
        <w:pStyle w:val="Heading5"/>
      </w:pPr>
      <w:bookmarkStart w:id="15" w:name="_Toc32417457"/>
      <w:r>
        <w:rPr>
          <w:rStyle w:val="CharSectno"/>
        </w:rPr>
        <w:t>8A</w:t>
      </w:r>
      <w:r>
        <w:t>.</w:t>
      </w:r>
      <w:r>
        <w:tab/>
      </w:r>
      <w:r>
        <w:rPr>
          <w:i/>
        </w:rPr>
        <w:t>Courts and Tribunals (Electronic Processes Facilitation) Act 2013</w:t>
      </w:r>
      <w:r>
        <w:t xml:space="preserve"> Part 2 applies</w:t>
      </w:r>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16" w:name="_Toc32417257"/>
      <w:bookmarkStart w:id="17" w:name="_Toc32417458"/>
      <w:r>
        <w:rPr>
          <w:rStyle w:val="CharPartNo"/>
        </w:rPr>
        <w:t>Part 1A</w:t>
      </w:r>
      <w:r>
        <w:rPr>
          <w:b w:val="0"/>
        </w:rPr>
        <w:t> </w:t>
      </w:r>
      <w:r>
        <w:t>—</w:t>
      </w:r>
      <w:r>
        <w:rPr>
          <w:b w:val="0"/>
        </w:rPr>
        <w:t> </w:t>
      </w:r>
      <w:r>
        <w:rPr>
          <w:rStyle w:val="CharPartText"/>
        </w:rPr>
        <w:t>Restraining orders generally</w:t>
      </w:r>
      <w:bookmarkEnd w:id="16"/>
      <w:bookmarkEnd w:id="17"/>
    </w:p>
    <w:p>
      <w:pPr>
        <w:pStyle w:val="Footnoteheading"/>
        <w:tabs>
          <w:tab w:val="left" w:pos="851"/>
        </w:tabs>
      </w:pPr>
      <w:r>
        <w:tab/>
        <w:t>[Heading inserted: No. 38 of 2004 s. 9.]</w:t>
      </w:r>
    </w:p>
    <w:p>
      <w:pPr>
        <w:pStyle w:val="Heading5"/>
      </w:pPr>
      <w:bookmarkStart w:id="18" w:name="_Toc32417459"/>
      <w:r>
        <w:rPr>
          <w:rStyle w:val="CharSectno"/>
        </w:rPr>
        <w:t>8</w:t>
      </w:r>
      <w:r>
        <w:t>.</w:t>
      </w:r>
      <w:r>
        <w:tab/>
        <w:t>Explanation about orders to be given</w:t>
      </w:r>
      <w:bookmarkEnd w:id="18"/>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w:t>
      </w:r>
    </w:p>
    <w:p>
      <w:pPr>
        <w:pStyle w:val="Heading5"/>
        <w:pageBreakBefore/>
        <w:spacing w:before="0"/>
        <w:rPr>
          <w:snapToGrid w:val="0"/>
        </w:rPr>
      </w:pPr>
      <w:bookmarkStart w:id="19" w:name="_Toc32417460"/>
      <w:r>
        <w:rPr>
          <w:rStyle w:val="CharSectno"/>
        </w:rPr>
        <w:t>9</w:t>
      </w:r>
      <w:r>
        <w:rPr>
          <w:snapToGrid w:val="0"/>
        </w:rPr>
        <w:t>.</w:t>
      </w:r>
      <w:r>
        <w:rPr>
          <w:snapToGrid w:val="0"/>
        </w:rPr>
        <w:tab/>
        <w:t>Fixing a hearing</w:t>
      </w:r>
      <w:bookmarkEnd w:id="19"/>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prepare a summons in the prescribed form; and</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 xml:space="preserve">[Section 9 amended: No. 59 of 2004 s. 123.] </w:t>
      </w:r>
    </w:p>
    <w:p>
      <w:pPr>
        <w:pStyle w:val="Heading5"/>
        <w:spacing w:before="200"/>
        <w:rPr>
          <w:snapToGrid w:val="0"/>
        </w:rPr>
      </w:pPr>
      <w:bookmarkStart w:id="20" w:name="_Toc32417461"/>
      <w:r>
        <w:rPr>
          <w:rStyle w:val="CharSectno"/>
        </w:rPr>
        <w:t>10</w:t>
      </w:r>
      <w:r>
        <w:rPr>
          <w:snapToGrid w:val="0"/>
        </w:rPr>
        <w:t>.</w:t>
      </w:r>
      <w:r>
        <w:rPr>
          <w:snapToGrid w:val="0"/>
        </w:rPr>
        <w:tab/>
        <w:t>Preparation and service of orders</w:t>
      </w:r>
      <w:bookmarkEnd w:id="20"/>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 and</w:t>
      </w:r>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w:t>
      </w:r>
    </w:p>
    <w:p>
      <w:pPr>
        <w:pStyle w:val="Heading2"/>
      </w:pPr>
      <w:bookmarkStart w:id="21" w:name="_Toc32417261"/>
      <w:bookmarkStart w:id="22" w:name="_Toc32417462"/>
      <w:r>
        <w:rPr>
          <w:rStyle w:val="CharPartNo"/>
        </w:rPr>
        <w:t>Part 1B</w:t>
      </w:r>
      <w:r>
        <w:rPr>
          <w:rStyle w:val="CharDivNo"/>
        </w:rPr>
        <w:t> </w:t>
      </w:r>
      <w:r>
        <w:t>—</w:t>
      </w:r>
      <w:r>
        <w:rPr>
          <w:rStyle w:val="CharDivText"/>
        </w:rPr>
        <w:t> </w:t>
      </w:r>
      <w:r>
        <w:rPr>
          <w:rStyle w:val="CharPartText"/>
        </w:rPr>
        <w:t>Family violence restraining order</w:t>
      </w:r>
      <w:bookmarkEnd w:id="21"/>
      <w:bookmarkEnd w:id="22"/>
      <w:r>
        <w:t xml:space="preserve"> </w:t>
      </w:r>
    </w:p>
    <w:p>
      <w:pPr>
        <w:pStyle w:val="Footnoteheading"/>
      </w:pPr>
      <w:r>
        <w:tab/>
        <w:t>[Heading inserted: No. 49 of 2016 s. 14.]</w:t>
      </w:r>
    </w:p>
    <w:p>
      <w:pPr>
        <w:pStyle w:val="Heading5"/>
      </w:pPr>
      <w:bookmarkStart w:id="23" w:name="_Toc32417463"/>
      <w:r>
        <w:rPr>
          <w:rStyle w:val="CharSectno"/>
        </w:rPr>
        <w:t>10A</w:t>
      </w:r>
      <w:r>
        <w:t>.</w:t>
      </w:r>
      <w:r>
        <w:tab/>
        <w:t>Objects</w:t>
      </w:r>
      <w:bookmarkEnd w:id="23"/>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24" w:name="_Toc32417464"/>
      <w:r>
        <w:rPr>
          <w:rStyle w:val="CharSectno"/>
        </w:rPr>
        <w:t>10B</w:t>
      </w:r>
      <w:r>
        <w:t>.</w:t>
      </w:r>
      <w:r>
        <w:tab/>
        <w:t>Principles to be observed in performing functions in relation to FVROs</w:t>
      </w:r>
      <w:bookmarkEnd w:id="24"/>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25" w:name="_Toc32417465"/>
      <w:r>
        <w:rPr>
          <w:rStyle w:val="CharSectno"/>
        </w:rPr>
        <w:t>10C</w:t>
      </w:r>
      <w:r>
        <w:t>.</w:t>
      </w:r>
      <w:r>
        <w:tab/>
        <w:t>FVRO to specify names of person bound, and person protected, by order</w:t>
      </w:r>
      <w:bookmarkEnd w:id="25"/>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26" w:name="_Toc32417466"/>
      <w:r>
        <w:rPr>
          <w:rStyle w:val="CharSectno"/>
        </w:rPr>
        <w:t>10D</w:t>
      </w:r>
      <w:r>
        <w:t>.</w:t>
      </w:r>
      <w:r>
        <w:tab/>
        <w:t>When FVROs may be made</w:t>
      </w:r>
      <w:bookmarkEnd w:id="26"/>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27" w:name="_Toc32417467"/>
      <w:r>
        <w:rPr>
          <w:rStyle w:val="CharSectno"/>
        </w:rPr>
        <w:t>10E</w:t>
      </w:r>
      <w:r>
        <w:t>.</w:t>
      </w:r>
      <w:r>
        <w:tab/>
        <w:t>FVRO may be made for child in circumstances of family violence</w:t>
      </w:r>
      <w:bookmarkEnd w:id="27"/>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28" w:name="_Toc32417468"/>
      <w:r>
        <w:rPr>
          <w:rStyle w:val="CharSectno"/>
        </w:rPr>
        <w:t>10F</w:t>
      </w:r>
      <w:r>
        <w:t>.</w:t>
      </w:r>
      <w:r>
        <w:tab/>
        <w:t>Matters to be considered by court generally</w:t>
      </w:r>
      <w:bookmarkEnd w:id="28"/>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29" w:name="_Toc32417469"/>
      <w:r>
        <w:rPr>
          <w:rStyle w:val="CharSectno"/>
        </w:rPr>
        <w:t>10G</w:t>
      </w:r>
      <w:r>
        <w:t>.</w:t>
      </w:r>
      <w:r>
        <w:tab/>
        <w:t>Restraints on respondent</w:t>
      </w:r>
      <w:bookmarkEnd w:id="29"/>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30" w:name="_Toc32417470"/>
      <w:r>
        <w:rPr>
          <w:rStyle w:val="CharSectno"/>
        </w:rPr>
        <w:t>10H</w:t>
      </w:r>
      <w:r>
        <w:t>.</w:t>
      </w:r>
      <w:r>
        <w:tab/>
        <w:t>Conduct agreement</w:t>
      </w:r>
      <w:bookmarkEnd w:id="30"/>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31" w:name="_Toc32417270"/>
      <w:bookmarkStart w:id="32" w:name="_Toc32417471"/>
      <w:r>
        <w:rPr>
          <w:rStyle w:val="CharPartNo"/>
        </w:rPr>
        <w:t>Part 1C</w:t>
      </w:r>
      <w:r>
        <w:t> — </w:t>
      </w:r>
      <w:r>
        <w:rPr>
          <w:rStyle w:val="CharPartText"/>
        </w:rPr>
        <w:t>Behaviour management order</w:t>
      </w:r>
      <w:bookmarkEnd w:id="31"/>
      <w:bookmarkEnd w:id="32"/>
    </w:p>
    <w:p>
      <w:pPr>
        <w:pStyle w:val="Footnoteheading"/>
      </w:pPr>
      <w:r>
        <w:tab/>
        <w:t>[Heading inserted: No. 49 of 2016 s. 14.]</w:t>
      </w:r>
    </w:p>
    <w:p>
      <w:pPr>
        <w:pStyle w:val="Heading3"/>
      </w:pPr>
      <w:bookmarkStart w:id="33" w:name="_Toc32417271"/>
      <w:bookmarkStart w:id="34" w:name="_Toc32417472"/>
      <w:r>
        <w:rPr>
          <w:rStyle w:val="CharDivNo"/>
        </w:rPr>
        <w:t>Division 1</w:t>
      </w:r>
      <w:r>
        <w:t> — </w:t>
      </w:r>
      <w:r>
        <w:rPr>
          <w:rStyle w:val="CharDivText"/>
        </w:rPr>
        <w:t>Preliminary</w:t>
      </w:r>
      <w:bookmarkEnd w:id="33"/>
      <w:bookmarkEnd w:id="34"/>
    </w:p>
    <w:p>
      <w:pPr>
        <w:pStyle w:val="Footnoteheading"/>
      </w:pPr>
      <w:r>
        <w:tab/>
        <w:t>[Heading inserted: No. 49 of 2016 s. 14.]</w:t>
      </w:r>
    </w:p>
    <w:p>
      <w:pPr>
        <w:pStyle w:val="Heading5"/>
      </w:pPr>
      <w:bookmarkStart w:id="35" w:name="_Toc32417473"/>
      <w:r>
        <w:rPr>
          <w:rStyle w:val="CharSectno"/>
        </w:rPr>
        <w:t>10I</w:t>
      </w:r>
      <w:r>
        <w:t>.</w:t>
      </w:r>
      <w:r>
        <w:tab/>
        <w:t>Terms used</w:t>
      </w:r>
      <w:bookmarkEnd w:id="35"/>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36" w:name="_Toc32417474"/>
      <w:r>
        <w:rPr>
          <w:rStyle w:val="CharSectno"/>
        </w:rPr>
        <w:t>10J</w:t>
      </w:r>
      <w:r>
        <w:t>.</w:t>
      </w:r>
      <w:r>
        <w:tab/>
        <w:t>Objects</w:t>
      </w:r>
      <w:bookmarkEnd w:id="36"/>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37" w:name="_Toc32417475"/>
      <w:r>
        <w:rPr>
          <w:rStyle w:val="CharSectno"/>
        </w:rPr>
        <w:t>10K</w:t>
      </w:r>
      <w:r>
        <w:t>.</w:t>
      </w:r>
      <w:r>
        <w:tab/>
        <w:t>Application of Part</w:t>
      </w:r>
      <w:bookmarkEnd w:id="37"/>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38" w:name="_Toc32417275"/>
      <w:bookmarkStart w:id="39" w:name="_Toc32417476"/>
      <w:r>
        <w:rPr>
          <w:rStyle w:val="CharDivNo"/>
        </w:rPr>
        <w:t>Division 2</w:t>
      </w:r>
      <w:r>
        <w:t> — </w:t>
      </w:r>
      <w:r>
        <w:rPr>
          <w:rStyle w:val="CharDivText"/>
        </w:rPr>
        <w:t>Eligibility assessment order</w:t>
      </w:r>
      <w:bookmarkEnd w:id="38"/>
      <w:bookmarkEnd w:id="39"/>
    </w:p>
    <w:p>
      <w:pPr>
        <w:pStyle w:val="Footnoteheading"/>
      </w:pPr>
      <w:r>
        <w:tab/>
        <w:t>[Heading inserted: No. 49 of 2016 s. 14.]</w:t>
      </w:r>
    </w:p>
    <w:p>
      <w:pPr>
        <w:pStyle w:val="Heading5"/>
      </w:pPr>
      <w:bookmarkStart w:id="40" w:name="_Toc32417477"/>
      <w:r>
        <w:rPr>
          <w:rStyle w:val="CharSectno"/>
        </w:rPr>
        <w:t>10L</w:t>
      </w:r>
      <w:r>
        <w:t>.</w:t>
      </w:r>
      <w:r>
        <w:tab/>
        <w:t>Making an eligibility assessment order</w:t>
      </w:r>
      <w:bookmarkEnd w:id="40"/>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41" w:name="_Toc32417478"/>
      <w:r>
        <w:rPr>
          <w:rStyle w:val="CharSectno"/>
        </w:rPr>
        <w:t>10M</w:t>
      </w:r>
      <w:r>
        <w:t>.</w:t>
      </w:r>
      <w:r>
        <w:tab/>
        <w:t>Order to attend behaviour change programme</w:t>
      </w:r>
      <w:bookmarkEnd w:id="41"/>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42" w:name="_Toc32417479"/>
      <w:r>
        <w:rPr>
          <w:rStyle w:val="CharSectno"/>
        </w:rPr>
        <w:t>10N</w:t>
      </w:r>
      <w:r>
        <w:t>.</w:t>
      </w:r>
      <w:r>
        <w:tab/>
        <w:t>Effect of appeal against final order</w:t>
      </w:r>
      <w:bookmarkEnd w:id="42"/>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43" w:name="_Toc32417279"/>
      <w:bookmarkStart w:id="44" w:name="_Toc32417480"/>
      <w:r>
        <w:rPr>
          <w:rStyle w:val="CharDivNo"/>
        </w:rPr>
        <w:t>Division 3</w:t>
      </w:r>
      <w:r>
        <w:t> — </w:t>
      </w:r>
      <w:r>
        <w:rPr>
          <w:rStyle w:val="CharDivText"/>
        </w:rPr>
        <w:t>Procedures relating to behaviour management order</w:t>
      </w:r>
      <w:bookmarkEnd w:id="43"/>
      <w:bookmarkEnd w:id="44"/>
    </w:p>
    <w:p>
      <w:pPr>
        <w:pStyle w:val="Footnoteheading"/>
      </w:pPr>
      <w:r>
        <w:tab/>
        <w:t>[Heading inserted: No. 49 of 2016 s. 14.]</w:t>
      </w:r>
    </w:p>
    <w:p>
      <w:pPr>
        <w:pStyle w:val="Heading5"/>
      </w:pPr>
      <w:bookmarkStart w:id="45" w:name="_Toc32417481"/>
      <w:r>
        <w:rPr>
          <w:rStyle w:val="CharSectno"/>
        </w:rPr>
        <w:t>10O</w:t>
      </w:r>
      <w:r>
        <w:t>.</w:t>
      </w:r>
      <w:r>
        <w:tab/>
        <w:t>Notice of hearings</w:t>
      </w:r>
      <w:bookmarkEnd w:id="45"/>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46" w:name="_Toc32417482"/>
      <w:r>
        <w:rPr>
          <w:rStyle w:val="CharSectno"/>
        </w:rPr>
        <w:t>10P</w:t>
      </w:r>
      <w:r>
        <w:t>.</w:t>
      </w:r>
      <w:r>
        <w:tab/>
        <w:t>Approval of persons and of behaviour change programme</w:t>
      </w:r>
      <w:bookmarkEnd w:id="46"/>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47" w:name="_Toc32417483"/>
      <w:r>
        <w:rPr>
          <w:rStyle w:val="CharSectno"/>
        </w:rPr>
        <w:t>10Q</w:t>
      </w:r>
      <w:r>
        <w:t>.</w:t>
      </w:r>
      <w:r>
        <w:tab/>
        <w:t>Eligibility assessor may be required to attend hearing</w:t>
      </w:r>
      <w:bookmarkEnd w:id="47"/>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48" w:name="_Toc32417484"/>
      <w:r>
        <w:rPr>
          <w:rStyle w:val="CharSectno"/>
        </w:rPr>
        <w:t>10R</w:t>
      </w:r>
      <w:r>
        <w:t>.</w:t>
      </w:r>
      <w:r>
        <w:tab/>
        <w:t>Disputed eligibility assessment report</w:t>
      </w:r>
      <w:bookmarkEnd w:id="48"/>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49" w:name="_Toc32417485"/>
      <w:r>
        <w:rPr>
          <w:rStyle w:val="CharSectno"/>
        </w:rPr>
        <w:t>10S</w:t>
      </w:r>
      <w:r>
        <w:t>.</w:t>
      </w:r>
      <w:r>
        <w:tab/>
        <w:t>Explanation of behaviour management orders</w:t>
      </w:r>
      <w:bookmarkEnd w:id="49"/>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50" w:name="_Toc32417486"/>
      <w:r>
        <w:rPr>
          <w:rStyle w:val="CharSectno"/>
        </w:rPr>
        <w:t>10T</w:t>
      </w:r>
      <w:r>
        <w:t>.</w:t>
      </w:r>
      <w:r>
        <w:tab/>
        <w:t>Variation or cancellation of behaviour management orders</w:t>
      </w:r>
      <w:bookmarkEnd w:id="50"/>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51" w:name="_Toc32417487"/>
      <w:r>
        <w:rPr>
          <w:rStyle w:val="CharSectno"/>
        </w:rPr>
        <w:t>10U</w:t>
      </w:r>
      <w:r>
        <w:t>.</w:t>
      </w:r>
      <w:r>
        <w:tab/>
        <w:t>Service of orders</w:t>
      </w:r>
      <w:bookmarkEnd w:id="51"/>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52" w:name="_Toc32417287"/>
      <w:bookmarkStart w:id="53" w:name="_Toc32417488"/>
      <w:r>
        <w:rPr>
          <w:rStyle w:val="CharDivNo"/>
        </w:rPr>
        <w:t>Division 4</w:t>
      </w:r>
      <w:r>
        <w:t> — </w:t>
      </w:r>
      <w:r>
        <w:rPr>
          <w:rStyle w:val="CharDivText"/>
        </w:rPr>
        <w:t>Other matters</w:t>
      </w:r>
      <w:bookmarkEnd w:id="52"/>
      <w:bookmarkEnd w:id="53"/>
    </w:p>
    <w:p>
      <w:pPr>
        <w:pStyle w:val="Footnoteheading"/>
      </w:pPr>
      <w:r>
        <w:tab/>
        <w:t>[Heading inserted: No. 49 of 2016 s. 14.]</w:t>
      </w:r>
    </w:p>
    <w:p>
      <w:pPr>
        <w:pStyle w:val="Heading5"/>
      </w:pPr>
      <w:bookmarkStart w:id="54" w:name="_Toc32417489"/>
      <w:r>
        <w:rPr>
          <w:rStyle w:val="CharSectno"/>
        </w:rPr>
        <w:t>10V</w:t>
      </w:r>
      <w:r>
        <w:t>.</w:t>
      </w:r>
      <w:r>
        <w:tab/>
        <w:t>Respondent’s participation in behaviour change programme</w:t>
      </w:r>
      <w:bookmarkEnd w:id="54"/>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55" w:name="_Toc32417490"/>
      <w:r>
        <w:rPr>
          <w:rStyle w:val="CharSectno"/>
        </w:rPr>
        <w:t>10W</w:t>
      </w:r>
      <w:r>
        <w:t>.</w:t>
      </w:r>
      <w:r>
        <w:tab/>
        <w:t>Respondent’s contravention of behaviour management order</w:t>
      </w:r>
      <w:bookmarkEnd w:id="55"/>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56" w:name="_Toc32417491"/>
      <w:r>
        <w:rPr>
          <w:rStyle w:val="CharSectno"/>
        </w:rPr>
        <w:t>10X</w:t>
      </w:r>
      <w:r>
        <w:t>.</w:t>
      </w:r>
      <w:r>
        <w:tab/>
        <w:t>Confidentiality of interviews and reports</w:t>
      </w:r>
      <w:bookmarkEnd w:id="56"/>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57" w:name="_Toc32417492"/>
      <w:r>
        <w:rPr>
          <w:rStyle w:val="CharSectno"/>
        </w:rPr>
        <w:t>10Y</w:t>
      </w:r>
      <w:r>
        <w:t>.</w:t>
      </w:r>
      <w:r>
        <w:tab/>
        <w:t>Confidentiality of behaviour change programme</w:t>
      </w:r>
      <w:bookmarkEnd w:id="57"/>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58" w:name="_Toc32417493"/>
      <w:r>
        <w:rPr>
          <w:rStyle w:val="CharSectno"/>
        </w:rPr>
        <w:t>10Z</w:t>
      </w:r>
      <w:r>
        <w:t>.</w:t>
      </w:r>
      <w:r>
        <w:tab/>
        <w:t>Delegation</w:t>
      </w:r>
      <w:bookmarkEnd w:id="58"/>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59" w:name="_Toc32417293"/>
      <w:bookmarkStart w:id="60" w:name="_Toc32417494"/>
      <w:r>
        <w:rPr>
          <w:rStyle w:val="CharPartNo"/>
        </w:rPr>
        <w:t>Part 2</w:t>
      </w:r>
      <w:r>
        <w:rPr>
          <w:rStyle w:val="CharDivNo"/>
        </w:rPr>
        <w:t> </w:t>
      </w:r>
      <w:r>
        <w:t>—</w:t>
      </w:r>
      <w:r>
        <w:rPr>
          <w:rStyle w:val="CharDivText"/>
        </w:rPr>
        <w:t> </w:t>
      </w:r>
      <w:r>
        <w:rPr>
          <w:rStyle w:val="CharPartText"/>
        </w:rPr>
        <w:t>Violence restraining order</w:t>
      </w:r>
      <w:bookmarkEnd w:id="59"/>
      <w:bookmarkEnd w:id="60"/>
      <w:r>
        <w:rPr>
          <w:rStyle w:val="CharPartText"/>
        </w:rPr>
        <w:t xml:space="preserve"> </w:t>
      </w:r>
    </w:p>
    <w:p>
      <w:pPr>
        <w:pStyle w:val="Ednotedivision"/>
      </w:pPr>
      <w:r>
        <w:tab/>
        <w:t>[Division heading deleted: No. 49 of 2016 s. 15.]</w:t>
      </w:r>
    </w:p>
    <w:p>
      <w:pPr>
        <w:pStyle w:val="Heading5"/>
      </w:pPr>
      <w:bookmarkStart w:id="61" w:name="_Toc32417495"/>
      <w:r>
        <w:rPr>
          <w:rStyle w:val="CharSectno"/>
        </w:rPr>
        <w:t>11</w:t>
      </w:r>
      <w:r>
        <w:t>.</w:t>
      </w:r>
      <w:r>
        <w:tab/>
        <w:t>VRO to specify names of person bound, and person protected, by order</w:t>
      </w:r>
      <w:bookmarkEnd w:id="61"/>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62" w:name="_Toc32417496"/>
      <w:r>
        <w:rPr>
          <w:rStyle w:val="CharSectno"/>
        </w:rPr>
        <w:t>11A</w:t>
      </w:r>
      <w:r>
        <w:t>.</w:t>
      </w:r>
      <w:r>
        <w:tab/>
        <w:t>When VROs may be made</w:t>
      </w:r>
      <w:bookmarkEnd w:id="62"/>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an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63" w:name="_Toc32417497"/>
      <w:r>
        <w:rPr>
          <w:rStyle w:val="CharSectno"/>
        </w:rPr>
        <w:t>12</w:t>
      </w:r>
      <w:r>
        <w:rPr>
          <w:snapToGrid w:val="0"/>
        </w:rPr>
        <w:t>.</w:t>
      </w:r>
      <w:r>
        <w:rPr>
          <w:snapToGrid w:val="0"/>
        </w:rPr>
        <w:tab/>
        <w:t>Matters to be considered by court generally</w:t>
      </w:r>
      <w:bookmarkEnd w:id="63"/>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64" w:name="_Toc32417498"/>
      <w:r>
        <w:rPr>
          <w:rStyle w:val="CharSectno"/>
        </w:rPr>
        <w:t>12A</w:t>
      </w:r>
      <w:r>
        <w:t>.</w:t>
      </w:r>
      <w:r>
        <w:tab/>
        <w:t>VROs not for persons in family relationship</w:t>
      </w:r>
      <w:bookmarkEnd w:id="64"/>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65" w:name="_Toc32417499"/>
      <w:r>
        <w:rPr>
          <w:rStyle w:val="CharSectno"/>
        </w:rPr>
        <w:t>13</w:t>
      </w:r>
      <w:r>
        <w:rPr>
          <w:snapToGrid w:val="0"/>
        </w:rPr>
        <w:t>.</w:t>
      </w:r>
      <w:r>
        <w:rPr>
          <w:snapToGrid w:val="0"/>
        </w:rPr>
        <w:tab/>
        <w:t>Restraints on respondent</w:t>
      </w:r>
      <w:bookmarkEnd w:id="65"/>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66" w:name="_Toc32417299"/>
      <w:bookmarkStart w:id="67" w:name="_Toc32417500"/>
      <w:r>
        <w:rPr>
          <w:rStyle w:val="CharPartNo"/>
        </w:rPr>
        <w:t>Part 2A</w:t>
      </w:r>
      <w:r>
        <w:t> — </w:t>
      </w:r>
      <w:r>
        <w:rPr>
          <w:rStyle w:val="CharPartText"/>
        </w:rPr>
        <w:t>Provisions for FVRO and VRO</w:t>
      </w:r>
      <w:bookmarkEnd w:id="66"/>
      <w:bookmarkEnd w:id="67"/>
    </w:p>
    <w:p>
      <w:pPr>
        <w:pStyle w:val="Footnoteheading"/>
      </w:pPr>
      <w:r>
        <w:tab/>
        <w:t>[Heading inserted: No. 49 of 2016 s. 22.]</w:t>
      </w:r>
    </w:p>
    <w:p>
      <w:pPr>
        <w:pStyle w:val="Heading3"/>
      </w:pPr>
      <w:bookmarkStart w:id="68" w:name="_Toc32417300"/>
      <w:bookmarkStart w:id="69" w:name="_Toc32417501"/>
      <w:r>
        <w:rPr>
          <w:rStyle w:val="CharDivNo"/>
        </w:rPr>
        <w:t>Division 1</w:t>
      </w:r>
      <w:r>
        <w:t> — </w:t>
      </w:r>
      <w:r>
        <w:rPr>
          <w:rStyle w:val="CharDivText"/>
        </w:rPr>
        <w:t>Orders relating to firearms</w:t>
      </w:r>
      <w:bookmarkEnd w:id="68"/>
      <w:bookmarkEnd w:id="69"/>
    </w:p>
    <w:p>
      <w:pPr>
        <w:pStyle w:val="Footnoteheading"/>
      </w:pPr>
      <w:r>
        <w:tab/>
        <w:t>[Heading inserted: No. 49 of 2016 s. 22.]</w:t>
      </w:r>
    </w:p>
    <w:p>
      <w:pPr>
        <w:pStyle w:val="Heading5"/>
        <w:spacing w:before="120"/>
        <w:rPr>
          <w:snapToGrid w:val="0"/>
        </w:rPr>
      </w:pPr>
      <w:bookmarkStart w:id="70" w:name="_Toc32417502"/>
      <w:r>
        <w:rPr>
          <w:rStyle w:val="CharSectno"/>
        </w:rPr>
        <w:t>14</w:t>
      </w:r>
      <w:r>
        <w:rPr>
          <w:snapToGrid w:val="0"/>
        </w:rPr>
        <w:t>.</w:t>
      </w:r>
      <w:r>
        <w:rPr>
          <w:snapToGrid w:val="0"/>
        </w:rPr>
        <w:tab/>
        <w:t>Firearms order</w:t>
      </w:r>
      <w:bookmarkEnd w:id="70"/>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No. 38 of 2004 s. 55; No. 49 of 2016 s. 23.]</w:t>
      </w:r>
    </w:p>
    <w:p>
      <w:pPr>
        <w:pStyle w:val="Heading3"/>
      </w:pPr>
      <w:bookmarkStart w:id="71" w:name="_Toc32417302"/>
      <w:bookmarkStart w:id="72" w:name="_Toc32417503"/>
      <w:r>
        <w:rPr>
          <w:rStyle w:val="CharDivNo"/>
        </w:rPr>
        <w:t>Division 1A</w:t>
      </w:r>
      <w:r>
        <w:t> — </w:t>
      </w:r>
      <w:r>
        <w:rPr>
          <w:rStyle w:val="CharDivText"/>
        </w:rPr>
        <w:t>Duration of orders</w:t>
      </w:r>
      <w:bookmarkEnd w:id="71"/>
      <w:bookmarkEnd w:id="72"/>
    </w:p>
    <w:p>
      <w:pPr>
        <w:pStyle w:val="Footnoteheading"/>
      </w:pPr>
      <w:r>
        <w:tab/>
        <w:t>[Heading inserted: No. 49 of 2016 s. 24.]</w:t>
      </w:r>
    </w:p>
    <w:p>
      <w:pPr>
        <w:pStyle w:val="Ednotesection"/>
        <w:spacing w:before="200"/>
      </w:pPr>
      <w:r>
        <w:t>[</w:t>
      </w:r>
      <w:r>
        <w:rPr>
          <w:b/>
        </w:rPr>
        <w:t>15.</w:t>
      </w:r>
      <w:r>
        <w:tab/>
        <w:t>Deleted: No. 38 of 2004 s. 43(2).]</w:t>
      </w:r>
    </w:p>
    <w:p>
      <w:pPr>
        <w:pStyle w:val="Heading5"/>
        <w:spacing w:before="200"/>
        <w:rPr>
          <w:snapToGrid w:val="0"/>
        </w:rPr>
      </w:pPr>
      <w:bookmarkStart w:id="73" w:name="_Toc32417504"/>
      <w:r>
        <w:rPr>
          <w:rStyle w:val="CharSectno"/>
        </w:rPr>
        <w:t>16</w:t>
      </w:r>
      <w:r>
        <w:rPr>
          <w:snapToGrid w:val="0"/>
        </w:rPr>
        <w:t>.</w:t>
      </w:r>
      <w:r>
        <w:rPr>
          <w:snapToGrid w:val="0"/>
        </w:rPr>
        <w:tab/>
        <w:t>Duration of FVRO or VRO generally</w:t>
      </w:r>
      <w:bookmarkEnd w:id="73"/>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w:t>
      </w:r>
    </w:p>
    <w:p>
      <w:pPr>
        <w:pStyle w:val="Heading5"/>
      </w:pPr>
      <w:bookmarkStart w:id="74" w:name="_Toc32417505"/>
      <w:r>
        <w:rPr>
          <w:rStyle w:val="CharSectno"/>
        </w:rPr>
        <w:t>16A</w:t>
      </w:r>
      <w:r>
        <w:t>.</w:t>
      </w:r>
      <w:r>
        <w:tab/>
        <w:t>Duration of FVRO</w:t>
      </w:r>
      <w:bookmarkEnd w:id="74"/>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Next/>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Subsection"/>
      </w:pPr>
      <w:r>
        <w:tab/>
        <w:t>(4)</w:t>
      </w:r>
      <w:r>
        <w:tab/>
        <w:t>For the purposes of subsection (3), the date on which the final order comes into force may be a date on which the respondent is in prison.</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No. 49 of 2016 s. 26.]</w:t>
      </w:r>
    </w:p>
    <w:p>
      <w:pPr>
        <w:pStyle w:val="Heading5"/>
      </w:pPr>
      <w:bookmarkStart w:id="75" w:name="_Toc32417506"/>
      <w:r>
        <w:rPr>
          <w:rStyle w:val="CharSectno"/>
        </w:rPr>
        <w:t>16B</w:t>
      </w:r>
      <w:r>
        <w:t>.</w:t>
      </w:r>
      <w:r>
        <w:tab/>
        <w:t>Duration of VRO</w:t>
      </w:r>
      <w:bookmarkEnd w:id="75"/>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pageBreakBefore/>
        <w:spacing w:before="0"/>
        <w:rPr>
          <w:snapToGrid w:val="0"/>
        </w:rPr>
      </w:pPr>
      <w:bookmarkStart w:id="76" w:name="_Toc32417306"/>
      <w:bookmarkStart w:id="77" w:name="_Toc32417507"/>
      <w:r>
        <w:rPr>
          <w:rStyle w:val="CharDivNo"/>
        </w:rPr>
        <w:t>Division 2</w:t>
      </w:r>
      <w:r>
        <w:rPr>
          <w:snapToGrid w:val="0"/>
        </w:rPr>
        <w:t> — </w:t>
      </w:r>
      <w:r>
        <w:rPr>
          <w:rStyle w:val="CharDivText"/>
        </w:rPr>
        <w:t>Telephone applications</w:t>
      </w:r>
      <w:bookmarkEnd w:id="76"/>
      <w:bookmarkEnd w:id="77"/>
      <w:r>
        <w:rPr>
          <w:rStyle w:val="CharDivText"/>
        </w:rPr>
        <w:t xml:space="preserve"> </w:t>
      </w:r>
    </w:p>
    <w:p>
      <w:pPr>
        <w:pStyle w:val="Heading5"/>
        <w:rPr>
          <w:snapToGrid w:val="0"/>
        </w:rPr>
      </w:pPr>
      <w:bookmarkStart w:id="78" w:name="_Toc32417508"/>
      <w:r>
        <w:rPr>
          <w:rStyle w:val="CharSectno"/>
        </w:rPr>
        <w:t>17</w:t>
      </w:r>
      <w:r>
        <w:rPr>
          <w:snapToGrid w:val="0"/>
        </w:rPr>
        <w:t>.</w:t>
      </w:r>
      <w:r>
        <w:rPr>
          <w:snapToGrid w:val="0"/>
        </w:rPr>
        <w:tab/>
        <w:t>Authorised magistrates</w:t>
      </w:r>
      <w:bookmarkEnd w:id="78"/>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No. 59 of 2004 s. 124.]</w:t>
      </w:r>
    </w:p>
    <w:p>
      <w:pPr>
        <w:pStyle w:val="Heading5"/>
      </w:pPr>
      <w:bookmarkStart w:id="79" w:name="_Toc32417509"/>
      <w:r>
        <w:rPr>
          <w:rStyle w:val="CharSectno"/>
        </w:rPr>
        <w:t>18</w:t>
      </w:r>
      <w:r>
        <w:t>.</w:t>
      </w:r>
      <w:r>
        <w:tab/>
        <w:t>Who can apply</w:t>
      </w:r>
      <w:bookmarkEnd w:id="79"/>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80" w:name="_Toc32417510"/>
      <w:r>
        <w:rPr>
          <w:rStyle w:val="CharSectno"/>
        </w:rPr>
        <w:t>19</w:t>
      </w:r>
      <w:r>
        <w:rPr>
          <w:snapToGrid w:val="0"/>
        </w:rPr>
        <w:t>.</w:t>
      </w:r>
      <w:r>
        <w:rPr>
          <w:snapToGrid w:val="0"/>
        </w:rPr>
        <w:tab/>
        <w:t>How to make telephone application</w:t>
      </w:r>
      <w:bookmarkEnd w:id="80"/>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81" w:name="_Toc32417511"/>
      <w:r>
        <w:rPr>
          <w:rStyle w:val="CharSectno"/>
        </w:rPr>
        <w:t>20</w:t>
      </w:r>
      <w:r>
        <w:rPr>
          <w:snapToGrid w:val="0"/>
        </w:rPr>
        <w:t>.</w:t>
      </w:r>
      <w:r>
        <w:rPr>
          <w:snapToGrid w:val="0"/>
        </w:rPr>
        <w:tab/>
        <w:t>When telephone application may be heard</w:t>
      </w:r>
      <w:bookmarkEnd w:id="81"/>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82" w:name="_Toc32417512"/>
      <w:r>
        <w:rPr>
          <w:rStyle w:val="CharSectno"/>
        </w:rPr>
        <w:t>21</w:t>
      </w:r>
      <w:r>
        <w:rPr>
          <w:snapToGrid w:val="0"/>
        </w:rPr>
        <w:t>.</w:t>
      </w:r>
      <w:r>
        <w:rPr>
          <w:snapToGrid w:val="0"/>
        </w:rPr>
        <w:tab/>
        <w:t>How hearing to be conducted</w:t>
      </w:r>
      <w:bookmarkEnd w:id="82"/>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83" w:name="_Toc32417513"/>
      <w:r>
        <w:rPr>
          <w:rStyle w:val="CharSectno"/>
        </w:rPr>
        <w:t>23</w:t>
      </w:r>
      <w:r>
        <w:rPr>
          <w:snapToGrid w:val="0"/>
        </w:rPr>
        <w:t>.</w:t>
      </w:r>
      <w:r>
        <w:rPr>
          <w:snapToGrid w:val="0"/>
        </w:rPr>
        <w:tab/>
        <w:t>Orders at telephone hearing</w:t>
      </w:r>
      <w:bookmarkEnd w:id="83"/>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84" w:name="_Toc32417514"/>
      <w:r>
        <w:rPr>
          <w:rStyle w:val="CharSectno"/>
        </w:rPr>
        <w:t>24</w:t>
      </w:r>
      <w:r>
        <w:rPr>
          <w:snapToGrid w:val="0"/>
        </w:rPr>
        <w:t>.</w:t>
      </w:r>
      <w:r>
        <w:rPr>
          <w:snapToGrid w:val="0"/>
        </w:rPr>
        <w:tab/>
        <w:t>Telephone order to be prepared and served</w:t>
      </w:r>
      <w:bookmarkEnd w:id="84"/>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85" w:name="_Toc32417314"/>
      <w:bookmarkStart w:id="86" w:name="_Toc32417515"/>
      <w:r>
        <w:rPr>
          <w:rStyle w:val="CharDivNo"/>
        </w:rPr>
        <w:t>Division 3</w:t>
      </w:r>
      <w:r>
        <w:rPr>
          <w:snapToGrid w:val="0"/>
        </w:rPr>
        <w:t> — </w:t>
      </w:r>
      <w:r>
        <w:rPr>
          <w:rStyle w:val="CharDivText"/>
        </w:rPr>
        <w:t>Applications in person to a court</w:t>
      </w:r>
      <w:bookmarkEnd w:id="85"/>
      <w:bookmarkEnd w:id="86"/>
    </w:p>
    <w:p>
      <w:pPr>
        <w:pStyle w:val="Footnoteheading"/>
        <w:tabs>
          <w:tab w:val="left" w:pos="851"/>
        </w:tabs>
      </w:pPr>
      <w:r>
        <w:tab/>
        <w:t>[Heading amended: No. 38 of 2004 s. 18(7).]</w:t>
      </w:r>
    </w:p>
    <w:p>
      <w:pPr>
        <w:pStyle w:val="Heading5"/>
      </w:pPr>
      <w:bookmarkStart w:id="87" w:name="_Toc32417516"/>
      <w:r>
        <w:rPr>
          <w:rStyle w:val="CharSectno"/>
        </w:rPr>
        <w:t>24A</w:t>
      </w:r>
      <w:r>
        <w:t>.</w:t>
      </w:r>
      <w:r>
        <w:tab/>
        <w:t>Application for FVRO</w:t>
      </w:r>
      <w:bookmarkEnd w:id="87"/>
    </w:p>
    <w:p>
      <w:pPr>
        <w:pStyle w:val="Subsection"/>
      </w:pPr>
      <w:r>
        <w:tab/>
        <w:t>(1)</w:t>
      </w:r>
      <w:r>
        <w:tab/>
        <w:t xml:space="preserve">An </w:t>
      </w:r>
      <w:r>
        <w:rPr>
          <w:snapToGrid w:val="0"/>
        </w:rPr>
        <w:t>application</w:t>
      </w:r>
      <w:r>
        <w:t xml:space="preserve"> for an FVRO may be made in person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w:t>
      </w:r>
      <w:r>
        <w:rPr>
          <w:snapToGrid w:val="0"/>
        </w:rPr>
        <w:t>application</w:t>
      </w:r>
      <w:r>
        <w:t xml:space="preserve"> for an FVRO made in person is to be made in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w:t>
      </w:r>
    </w:p>
    <w:p>
      <w:pPr>
        <w:pStyle w:val="Heading5"/>
      </w:pPr>
      <w:bookmarkStart w:id="88" w:name="_Toc32417517"/>
      <w:r>
        <w:rPr>
          <w:rStyle w:val="CharSectno"/>
        </w:rPr>
        <w:t>25</w:t>
      </w:r>
      <w:r>
        <w:t>.</w:t>
      </w:r>
      <w:r>
        <w:tab/>
        <w:t>Application for VRO</w:t>
      </w:r>
      <w:bookmarkEnd w:id="88"/>
    </w:p>
    <w:p>
      <w:pPr>
        <w:pStyle w:val="Subsection"/>
      </w:pPr>
      <w:r>
        <w:tab/>
        <w:t>(1)</w:t>
      </w:r>
      <w:r>
        <w:tab/>
        <w:t>An application for a VRO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w:t>
      </w:r>
    </w:p>
    <w:p>
      <w:pPr>
        <w:pStyle w:val="Heading5"/>
        <w:rPr>
          <w:snapToGrid w:val="0"/>
        </w:rPr>
      </w:pPr>
      <w:bookmarkStart w:id="89" w:name="_Toc32417518"/>
      <w:r>
        <w:rPr>
          <w:rStyle w:val="CharSectno"/>
        </w:rPr>
        <w:t>26</w:t>
      </w:r>
      <w:r>
        <w:rPr>
          <w:snapToGrid w:val="0"/>
        </w:rPr>
        <w:t>.</w:t>
      </w:r>
      <w:r>
        <w:rPr>
          <w:snapToGrid w:val="0"/>
        </w:rPr>
        <w:tab/>
        <w:t>Applicant to choose whether to have hearing in absence of respondent</w:t>
      </w:r>
      <w:bookmarkEnd w:id="89"/>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No. 59 of 2004 s. 123; No. 49 of 2016 s. 32.] </w:t>
      </w:r>
    </w:p>
    <w:p>
      <w:pPr>
        <w:pStyle w:val="Heading5"/>
        <w:rPr>
          <w:snapToGrid w:val="0"/>
        </w:rPr>
      </w:pPr>
      <w:bookmarkStart w:id="90" w:name="_Toc32417519"/>
      <w:r>
        <w:rPr>
          <w:rStyle w:val="CharSectno"/>
        </w:rPr>
        <w:t>27</w:t>
      </w:r>
      <w:r>
        <w:rPr>
          <w:snapToGrid w:val="0"/>
        </w:rPr>
        <w:t>.</w:t>
      </w:r>
      <w:r>
        <w:rPr>
          <w:snapToGrid w:val="0"/>
        </w:rPr>
        <w:tab/>
        <w:t>Attendance at hearing in absence of respondent</w:t>
      </w:r>
      <w:bookmarkEnd w:id="90"/>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No. 38 of 2004 s. 15; No. 5 of 2008 s. 93.]</w:t>
      </w:r>
    </w:p>
    <w:p>
      <w:pPr>
        <w:pStyle w:val="Heading5"/>
        <w:rPr>
          <w:snapToGrid w:val="0"/>
        </w:rPr>
      </w:pPr>
      <w:bookmarkStart w:id="91" w:name="_Toc32417520"/>
      <w:r>
        <w:rPr>
          <w:rStyle w:val="CharSectno"/>
        </w:rPr>
        <w:t>28</w:t>
      </w:r>
      <w:r>
        <w:rPr>
          <w:snapToGrid w:val="0"/>
        </w:rPr>
        <w:t>.</w:t>
      </w:r>
      <w:r>
        <w:rPr>
          <w:snapToGrid w:val="0"/>
        </w:rPr>
        <w:tab/>
        <w:t>Affidavit evidence</w:t>
      </w:r>
      <w:bookmarkEnd w:id="91"/>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92" w:name="_Toc32417521"/>
      <w:r>
        <w:rPr>
          <w:rStyle w:val="CharSectno"/>
        </w:rPr>
        <w:t>29</w:t>
      </w:r>
      <w:r>
        <w:rPr>
          <w:snapToGrid w:val="0"/>
        </w:rPr>
        <w:t>.</w:t>
      </w:r>
      <w:r>
        <w:rPr>
          <w:snapToGrid w:val="0"/>
        </w:rPr>
        <w:tab/>
        <w:t>Order at hearing in absence of respondent</w:t>
      </w:r>
      <w:bookmarkEnd w:id="92"/>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93" w:name="_Toc32417522"/>
      <w:r>
        <w:rPr>
          <w:rStyle w:val="CharSectno"/>
        </w:rPr>
        <w:t>30</w:t>
      </w:r>
      <w:r>
        <w:rPr>
          <w:snapToGrid w:val="0"/>
        </w:rPr>
        <w:t>.</w:t>
      </w:r>
      <w:r>
        <w:rPr>
          <w:snapToGrid w:val="0"/>
        </w:rPr>
        <w:tab/>
        <w:t>Order to be prepared and served</w:t>
      </w:r>
      <w:bookmarkEnd w:id="93"/>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pPr>
      <w:bookmarkStart w:id="94" w:name="_Toc32417322"/>
      <w:bookmarkStart w:id="95" w:name="_Toc32417523"/>
      <w:r>
        <w:rPr>
          <w:rStyle w:val="CharDivNo"/>
        </w:rPr>
        <w:t>Division 3A</w:t>
      </w:r>
      <w:r>
        <w:t> — </w:t>
      </w:r>
      <w:r>
        <w:rPr>
          <w:rStyle w:val="CharDivText"/>
        </w:rPr>
        <w:t>Police officers may make police orders where family violence</w:t>
      </w:r>
      <w:bookmarkEnd w:id="94"/>
      <w:bookmarkEnd w:id="95"/>
    </w:p>
    <w:p>
      <w:pPr>
        <w:pStyle w:val="Footnoteheading"/>
        <w:tabs>
          <w:tab w:val="left" w:pos="851"/>
        </w:tabs>
      </w:pPr>
      <w:r>
        <w:tab/>
        <w:t>[Heading inserted: No. 38 of 2004 s. 18(1); amended: No. 49 of 2016 s. 34.]</w:t>
      </w:r>
    </w:p>
    <w:p>
      <w:pPr>
        <w:pStyle w:val="Heading5"/>
        <w:spacing w:before="180"/>
      </w:pPr>
      <w:bookmarkStart w:id="96" w:name="_Toc32417524"/>
      <w:r>
        <w:rPr>
          <w:rStyle w:val="CharSectno"/>
        </w:rPr>
        <w:t>30A</w:t>
      </w:r>
      <w:r>
        <w:t>.</w:t>
      </w:r>
      <w:r>
        <w:tab/>
        <w:t>When police order may be made</w:t>
      </w:r>
      <w:bookmarkEnd w:id="96"/>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pPr>
      <w:r>
        <w:tab/>
        <w:t>(a)</w:t>
      </w:r>
      <w:r>
        <w:tab/>
        <w:t xml:space="preserve">if the officer reasonably believes that — </w:t>
      </w:r>
    </w:p>
    <w:p>
      <w:pPr>
        <w:pStyle w:val="Indenti"/>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97" w:name="_Toc32417525"/>
      <w:r>
        <w:rPr>
          <w:rStyle w:val="CharSectno"/>
        </w:rPr>
        <w:t>30B</w:t>
      </w:r>
      <w:r>
        <w:t>.</w:t>
      </w:r>
      <w:r>
        <w:tab/>
        <w:t>Matters to be considered by police officer generally</w:t>
      </w:r>
      <w:bookmarkEnd w:id="97"/>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98" w:name="_Toc32417526"/>
      <w:r>
        <w:rPr>
          <w:rStyle w:val="CharSectno"/>
        </w:rPr>
        <w:t>30C</w:t>
      </w:r>
      <w:r>
        <w:t>.</w:t>
      </w:r>
      <w:r>
        <w:tab/>
        <w:t>Restraints that may be imposed</w:t>
      </w:r>
      <w:bookmarkEnd w:id="98"/>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99" w:name="_Toc32417527"/>
      <w:r>
        <w:rPr>
          <w:rStyle w:val="CharSectno"/>
        </w:rPr>
        <w:t>30D</w:t>
      </w:r>
      <w:r>
        <w:t>.</w:t>
      </w:r>
      <w:r>
        <w:tab/>
        <w:t>Police orders against children</w:t>
      </w:r>
      <w:bookmarkEnd w:id="99"/>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100" w:name="_Toc32417528"/>
      <w:r>
        <w:rPr>
          <w:rStyle w:val="CharSectno"/>
        </w:rPr>
        <w:t>30E</w:t>
      </w:r>
      <w:r>
        <w:t>.</w:t>
      </w:r>
      <w:r>
        <w:tab/>
        <w:t>Police order to be served and explained</w:t>
      </w:r>
      <w:bookmarkEnd w:id="100"/>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16 years of age or older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w:t>
      </w:r>
    </w:p>
    <w:p>
      <w:pPr>
        <w:pStyle w:val="Heading5"/>
      </w:pPr>
      <w:bookmarkStart w:id="101" w:name="_Toc32417529"/>
      <w:r>
        <w:rPr>
          <w:rStyle w:val="CharSectno"/>
        </w:rPr>
        <w:t>30F</w:t>
      </w:r>
      <w:r>
        <w:t>.</w:t>
      </w:r>
      <w:r>
        <w:tab/>
        <w:t>Duration of police orders</w:t>
      </w:r>
      <w:bookmarkEnd w:id="101"/>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102" w:name="_Toc32417530"/>
      <w:r>
        <w:rPr>
          <w:rStyle w:val="CharSectno"/>
        </w:rPr>
        <w:t>30H</w:t>
      </w:r>
      <w:r>
        <w:t>.</w:t>
      </w:r>
      <w:r>
        <w:tab/>
        <w:t>Order not to be renewed by police officer</w:t>
      </w:r>
      <w:bookmarkEnd w:id="102"/>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103" w:name="_Toc32417531"/>
      <w:r>
        <w:rPr>
          <w:rStyle w:val="CharSectno"/>
        </w:rPr>
        <w:t>30I</w:t>
      </w:r>
      <w:r>
        <w:t>.</w:t>
      </w:r>
      <w:r>
        <w:tab/>
        <w:t>Review of Division</w:t>
      </w:r>
      <w:bookmarkEnd w:id="103"/>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104" w:name="_Toc32417331"/>
      <w:bookmarkStart w:id="105" w:name="_Toc32417532"/>
      <w:r>
        <w:rPr>
          <w:rStyle w:val="CharDivNo"/>
        </w:rPr>
        <w:t>Division 4</w:t>
      </w:r>
      <w:r>
        <w:rPr>
          <w:snapToGrid w:val="0"/>
        </w:rPr>
        <w:t> — </w:t>
      </w:r>
      <w:r>
        <w:rPr>
          <w:rStyle w:val="CharDivText"/>
        </w:rPr>
        <w:t>Procedure when interim order made</w:t>
      </w:r>
      <w:bookmarkEnd w:id="104"/>
      <w:bookmarkEnd w:id="105"/>
      <w:r>
        <w:rPr>
          <w:rStyle w:val="CharDivText"/>
        </w:rPr>
        <w:t xml:space="preserve"> </w:t>
      </w:r>
    </w:p>
    <w:p>
      <w:pPr>
        <w:pStyle w:val="Heading5"/>
      </w:pPr>
      <w:bookmarkStart w:id="106" w:name="_Toc32417533"/>
      <w:r>
        <w:rPr>
          <w:rStyle w:val="CharSectno"/>
        </w:rPr>
        <w:t>31A</w:t>
      </w:r>
      <w:r>
        <w:t>.</w:t>
      </w:r>
      <w:r>
        <w:tab/>
        <w:t>Term used: respondent</w:t>
      </w:r>
      <w:bookmarkEnd w:id="106"/>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107" w:name="_Toc32417534"/>
      <w:r>
        <w:rPr>
          <w:rStyle w:val="CharSectno"/>
        </w:rPr>
        <w:t>31</w:t>
      </w:r>
      <w:r>
        <w:rPr>
          <w:snapToGrid w:val="0"/>
        </w:rPr>
        <w:t>.</w:t>
      </w:r>
      <w:r>
        <w:rPr>
          <w:snapToGrid w:val="0"/>
        </w:rPr>
        <w:tab/>
        <w:t>21 days for respondent to object</w:t>
      </w:r>
      <w:bookmarkEnd w:id="107"/>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108" w:name="_Toc32417535"/>
      <w:r>
        <w:rPr>
          <w:rStyle w:val="CharSectno"/>
        </w:rPr>
        <w:t>32</w:t>
      </w:r>
      <w:r>
        <w:rPr>
          <w:snapToGrid w:val="0"/>
        </w:rPr>
        <w:t>.</w:t>
      </w:r>
      <w:r>
        <w:rPr>
          <w:snapToGrid w:val="0"/>
        </w:rPr>
        <w:tab/>
        <w:t>Respondent does not object to final order being made</w:t>
      </w:r>
      <w:bookmarkEnd w:id="108"/>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No. 59 of 2004 s. 123; No. 32 of 2011 s. 12.] </w:t>
      </w:r>
    </w:p>
    <w:p>
      <w:pPr>
        <w:pStyle w:val="Heading5"/>
        <w:rPr>
          <w:snapToGrid w:val="0"/>
        </w:rPr>
      </w:pPr>
      <w:bookmarkStart w:id="109" w:name="_Toc32417536"/>
      <w:r>
        <w:rPr>
          <w:rStyle w:val="CharSectno"/>
        </w:rPr>
        <w:t>33</w:t>
      </w:r>
      <w:r>
        <w:rPr>
          <w:snapToGrid w:val="0"/>
        </w:rPr>
        <w:t>.</w:t>
      </w:r>
      <w:r>
        <w:rPr>
          <w:snapToGrid w:val="0"/>
        </w:rPr>
        <w:tab/>
        <w:t>Respondent objects to final order being made</w:t>
      </w:r>
      <w:bookmarkEnd w:id="109"/>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No. 59 of 2004 s. 123.] </w:t>
      </w:r>
    </w:p>
    <w:p>
      <w:pPr>
        <w:pStyle w:val="Heading2"/>
      </w:pPr>
      <w:bookmarkStart w:id="110" w:name="_Toc32417336"/>
      <w:bookmarkStart w:id="111" w:name="_Toc32417537"/>
      <w:r>
        <w:rPr>
          <w:rStyle w:val="CharPartNo"/>
        </w:rPr>
        <w:t>Part 3</w:t>
      </w:r>
      <w:r>
        <w:rPr>
          <w:rStyle w:val="CharDivNo"/>
        </w:rPr>
        <w:t> </w:t>
      </w:r>
      <w:r>
        <w:t>—</w:t>
      </w:r>
      <w:r>
        <w:rPr>
          <w:rStyle w:val="CharDivText"/>
        </w:rPr>
        <w:t> </w:t>
      </w:r>
      <w:r>
        <w:rPr>
          <w:rStyle w:val="CharPartText"/>
        </w:rPr>
        <w:t>Misconduct restraining order</w:t>
      </w:r>
      <w:bookmarkEnd w:id="110"/>
      <w:bookmarkEnd w:id="111"/>
      <w:r>
        <w:rPr>
          <w:rStyle w:val="CharPartText"/>
        </w:rPr>
        <w:t xml:space="preserve"> </w:t>
      </w:r>
    </w:p>
    <w:p>
      <w:pPr>
        <w:pStyle w:val="Heading5"/>
        <w:rPr>
          <w:snapToGrid w:val="0"/>
        </w:rPr>
      </w:pPr>
      <w:bookmarkStart w:id="112" w:name="_Toc32417538"/>
      <w:r>
        <w:rPr>
          <w:rStyle w:val="CharSectno"/>
        </w:rPr>
        <w:t>34</w:t>
      </w:r>
      <w:r>
        <w:rPr>
          <w:snapToGrid w:val="0"/>
        </w:rPr>
        <w:t>.</w:t>
      </w:r>
      <w:r>
        <w:rPr>
          <w:snapToGrid w:val="0"/>
        </w:rPr>
        <w:tab/>
        <w:t>Grounds for misconduct restraining order</w:t>
      </w:r>
      <w:bookmarkEnd w:id="112"/>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113" w:name="_Toc32417539"/>
      <w:r>
        <w:rPr>
          <w:rStyle w:val="CharSectno"/>
        </w:rPr>
        <w:t>35</w:t>
      </w:r>
      <w:r>
        <w:rPr>
          <w:snapToGrid w:val="0"/>
        </w:rPr>
        <w:t>.</w:t>
      </w:r>
      <w:r>
        <w:rPr>
          <w:snapToGrid w:val="0"/>
        </w:rPr>
        <w:tab/>
        <w:t>Matters to be considered by court generally</w:t>
      </w:r>
      <w:bookmarkEnd w:id="113"/>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114" w:name="_Toc32417540"/>
      <w:r>
        <w:rPr>
          <w:rStyle w:val="CharSectno"/>
        </w:rPr>
        <w:t>35A</w:t>
      </w:r>
      <w:r>
        <w:t>.</w:t>
      </w:r>
      <w:r>
        <w:tab/>
        <w:t>MROs not for persons in family relationship</w:t>
      </w:r>
      <w:bookmarkEnd w:id="114"/>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115" w:name="_Toc32417541"/>
      <w:r>
        <w:rPr>
          <w:rStyle w:val="CharSectno"/>
        </w:rPr>
        <w:t>36</w:t>
      </w:r>
      <w:r>
        <w:rPr>
          <w:snapToGrid w:val="0"/>
        </w:rPr>
        <w:t>.</w:t>
      </w:r>
      <w:r>
        <w:rPr>
          <w:snapToGrid w:val="0"/>
        </w:rPr>
        <w:tab/>
        <w:t>Restraints on respondent</w:t>
      </w:r>
      <w:bookmarkEnd w:id="115"/>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 No. 38 of 2004 s. 21, 43(4), 54 and 56; No. 49 of 2016 s. 43.]</w:t>
      </w:r>
    </w:p>
    <w:p>
      <w:pPr>
        <w:pStyle w:val="Heading5"/>
        <w:rPr>
          <w:snapToGrid w:val="0"/>
        </w:rPr>
      </w:pPr>
      <w:bookmarkStart w:id="116" w:name="_Toc32417542"/>
      <w:r>
        <w:rPr>
          <w:rStyle w:val="CharSectno"/>
        </w:rPr>
        <w:t>37</w:t>
      </w:r>
      <w:r>
        <w:rPr>
          <w:snapToGrid w:val="0"/>
        </w:rPr>
        <w:t>.</w:t>
      </w:r>
      <w:r>
        <w:rPr>
          <w:snapToGrid w:val="0"/>
        </w:rPr>
        <w:tab/>
        <w:t>Duration of MRO</w:t>
      </w:r>
      <w:bookmarkEnd w:id="116"/>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117" w:name="_Toc32417543"/>
      <w:r>
        <w:rPr>
          <w:rStyle w:val="CharSectno"/>
        </w:rPr>
        <w:t>38</w:t>
      </w:r>
      <w:r>
        <w:t>.</w:t>
      </w:r>
      <w:r>
        <w:tab/>
        <w:t>Application for MRO</w:t>
      </w:r>
      <w:bookmarkEnd w:id="117"/>
    </w:p>
    <w:p>
      <w:pPr>
        <w:pStyle w:val="Subsection"/>
      </w:pPr>
      <w:r>
        <w:tab/>
        <w:t>(1)</w:t>
      </w:r>
      <w:r>
        <w:tab/>
        <w:t>An application for an MRO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w:t>
      </w:r>
    </w:p>
    <w:p>
      <w:pPr>
        <w:pStyle w:val="Heading5"/>
        <w:rPr>
          <w:snapToGrid w:val="0"/>
        </w:rPr>
      </w:pPr>
      <w:bookmarkStart w:id="118" w:name="_Toc32417544"/>
      <w:r>
        <w:rPr>
          <w:rStyle w:val="CharSectno"/>
        </w:rPr>
        <w:t>39</w:t>
      </w:r>
      <w:r>
        <w:rPr>
          <w:snapToGrid w:val="0"/>
        </w:rPr>
        <w:t>.</w:t>
      </w:r>
      <w:r>
        <w:rPr>
          <w:snapToGrid w:val="0"/>
        </w:rPr>
        <w:tab/>
      </w:r>
      <w:r>
        <w:t xml:space="preserve">Registrar </w:t>
      </w:r>
      <w:r>
        <w:rPr>
          <w:snapToGrid w:val="0"/>
        </w:rPr>
        <w:t>to fix hearing and issue summons</w:t>
      </w:r>
      <w:bookmarkEnd w:id="118"/>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119" w:name="_Toc32417344"/>
      <w:bookmarkStart w:id="120" w:name="_Toc32417545"/>
      <w:r>
        <w:rPr>
          <w:rStyle w:val="CharPartNo"/>
        </w:rPr>
        <w:t>Part 4</w:t>
      </w:r>
      <w:r>
        <w:t> — </w:t>
      </w:r>
      <w:r>
        <w:rPr>
          <w:rStyle w:val="CharPartText"/>
        </w:rPr>
        <w:t>Hearings and evidence</w:t>
      </w:r>
      <w:bookmarkEnd w:id="119"/>
      <w:bookmarkEnd w:id="120"/>
    </w:p>
    <w:p>
      <w:pPr>
        <w:pStyle w:val="Footnoteheading"/>
        <w:tabs>
          <w:tab w:val="left" w:pos="851"/>
        </w:tabs>
      </w:pPr>
      <w:r>
        <w:tab/>
        <w:t>[Heading amended: No. 38 of 2004 s. 22.]</w:t>
      </w:r>
    </w:p>
    <w:p>
      <w:pPr>
        <w:pStyle w:val="Heading3"/>
        <w:rPr>
          <w:snapToGrid w:val="0"/>
        </w:rPr>
      </w:pPr>
      <w:bookmarkStart w:id="121" w:name="_Toc32417345"/>
      <w:bookmarkStart w:id="122" w:name="_Toc32417546"/>
      <w:r>
        <w:rPr>
          <w:rStyle w:val="CharDivNo"/>
        </w:rPr>
        <w:t>Division 1</w:t>
      </w:r>
      <w:r>
        <w:rPr>
          <w:snapToGrid w:val="0"/>
        </w:rPr>
        <w:t> — </w:t>
      </w:r>
      <w:r>
        <w:rPr>
          <w:rStyle w:val="CharDivText"/>
        </w:rPr>
        <w:t>Mention hearings</w:t>
      </w:r>
      <w:bookmarkEnd w:id="121"/>
      <w:bookmarkEnd w:id="122"/>
      <w:r>
        <w:rPr>
          <w:rStyle w:val="CharDivText"/>
        </w:rPr>
        <w:t xml:space="preserve"> </w:t>
      </w:r>
    </w:p>
    <w:p>
      <w:pPr>
        <w:pStyle w:val="Heading5"/>
        <w:spacing w:before="200"/>
        <w:rPr>
          <w:snapToGrid w:val="0"/>
        </w:rPr>
      </w:pPr>
      <w:bookmarkStart w:id="123" w:name="_Toc32417547"/>
      <w:r>
        <w:rPr>
          <w:rStyle w:val="CharSectno"/>
        </w:rPr>
        <w:t>40</w:t>
      </w:r>
      <w:r>
        <w:rPr>
          <w:snapToGrid w:val="0"/>
        </w:rPr>
        <w:t>.</w:t>
      </w:r>
      <w:r>
        <w:rPr>
          <w:snapToGrid w:val="0"/>
        </w:rPr>
        <w:tab/>
        <w:t>Attendance at hearing</w:t>
      </w:r>
      <w:bookmarkEnd w:id="123"/>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124" w:name="_Toc32417548"/>
      <w:r>
        <w:rPr>
          <w:rStyle w:val="CharSectno"/>
        </w:rPr>
        <w:t>41</w:t>
      </w:r>
      <w:r>
        <w:rPr>
          <w:snapToGrid w:val="0"/>
        </w:rPr>
        <w:t>.</w:t>
      </w:r>
      <w:r>
        <w:rPr>
          <w:snapToGrid w:val="0"/>
        </w:rPr>
        <w:tab/>
        <w:t>Consent order or final order hearing to be fixed</w:t>
      </w:r>
      <w:bookmarkEnd w:id="124"/>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125" w:name="_Toc32417348"/>
      <w:bookmarkStart w:id="126" w:name="_Toc32417549"/>
      <w:r>
        <w:rPr>
          <w:rStyle w:val="CharDivNo"/>
        </w:rPr>
        <w:t>Division 2</w:t>
      </w:r>
      <w:r>
        <w:rPr>
          <w:snapToGrid w:val="0"/>
        </w:rPr>
        <w:t> — </w:t>
      </w:r>
      <w:r>
        <w:rPr>
          <w:rStyle w:val="CharDivText"/>
        </w:rPr>
        <w:t>Final order hearings</w:t>
      </w:r>
      <w:bookmarkEnd w:id="125"/>
      <w:bookmarkEnd w:id="126"/>
      <w:r>
        <w:rPr>
          <w:rStyle w:val="CharDivText"/>
        </w:rPr>
        <w:t xml:space="preserve"> </w:t>
      </w:r>
    </w:p>
    <w:p>
      <w:pPr>
        <w:pStyle w:val="Heading5"/>
        <w:rPr>
          <w:snapToGrid w:val="0"/>
        </w:rPr>
      </w:pPr>
      <w:bookmarkStart w:id="127" w:name="_Toc32417550"/>
      <w:r>
        <w:rPr>
          <w:rStyle w:val="CharSectno"/>
        </w:rPr>
        <w:t>42</w:t>
      </w:r>
      <w:r>
        <w:rPr>
          <w:snapToGrid w:val="0"/>
        </w:rPr>
        <w:t>.</w:t>
      </w:r>
      <w:r>
        <w:rPr>
          <w:snapToGrid w:val="0"/>
        </w:rPr>
        <w:tab/>
        <w:t>Attendance at final order hearing</w:t>
      </w:r>
      <w:bookmarkEnd w:id="127"/>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128" w:name="_Toc32417551"/>
      <w:r>
        <w:rPr>
          <w:rStyle w:val="CharSectno"/>
        </w:rPr>
        <w:t>43</w:t>
      </w:r>
      <w:r>
        <w:rPr>
          <w:snapToGrid w:val="0"/>
        </w:rPr>
        <w:t>.</w:t>
      </w:r>
      <w:r>
        <w:rPr>
          <w:snapToGrid w:val="0"/>
        </w:rPr>
        <w:tab/>
        <w:t>Making final order</w:t>
      </w:r>
      <w:bookmarkEnd w:id="128"/>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129" w:name="_Toc32417552"/>
      <w:r>
        <w:rPr>
          <w:rStyle w:val="CharSectno"/>
        </w:rPr>
        <w:t>43A</w:t>
      </w:r>
      <w:r>
        <w:t>.</w:t>
      </w:r>
      <w:r>
        <w:tab/>
        <w:t>Decision under s. 42 in default of appearance may be set aside</w:t>
      </w:r>
      <w:bookmarkEnd w:id="129"/>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130" w:name="_Toc32417553"/>
      <w:r>
        <w:rPr>
          <w:rStyle w:val="CharSectno"/>
        </w:rPr>
        <w:t>44</w:t>
      </w:r>
      <w:r>
        <w:rPr>
          <w:snapToGrid w:val="0"/>
        </w:rPr>
        <w:t>.</w:t>
      </w:r>
      <w:r>
        <w:rPr>
          <w:snapToGrid w:val="0"/>
        </w:rPr>
        <w:tab/>
        <w:t>Order to be prepared and served</w:t>
      </w:r>
      <w:bookmarkEnd w:id="130"/>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131" w:name="_Toc32417353"/>
      <w:bookmarkStart w:id="132" w:name="_Toc32417554"/>
      <w:r>
        <w:rPr>
          <w:rStyle w:val="CharDivNo"/>
        </w:rPr>
        <w:t>Division 3</w:t>
      </w:r>
      <w:r>
        <w:t> — </w:t>
      </w:r>
      <w:r>
        <w:rPr>
          <w:rStyle w:val="CharDivText"/>
        </w:rPr>
        <w:t>Evidence</w:t>
      </w:r>
      <w:bookmarkEnd w:id="131"/>
      <w:bookmarkEnd w:id="132"/>
    </w:p>
    <w:p>
      <w:pPr>
        <w:pStyle w:val="Footnoteheading"/>
        <w:keepNext/>
        <w:keepLines/>
        <w:tabs>
          <w:tab w:val="left" w:pos="851"/>
        </w:tabs>
      </w:pPr>
      <w:r>
        <w:tab/>
        <w:t>[Heading inserted: No. 38 of 2004 s. 26.]</w:t>
      </w:r>
    </w:p>
    <w:p>
      <w:pPr>
        <w:pStyle w:val="Heading5"/>
      </w:pPr>
      <w:bookmarkStart w:id="133" w:name="_Toc32417555"/>
      <w:r>
        <w:rPr>
          <w:rStyle w:val="CharSectno"/>
        </w:rPr>
        <w:t>44A</w:t>
      </w:r>
      <w:r>
        <w:t>.</w:t>
      </w:r>
      <w:r>
        <w:tab/>
        <w:t>Rules of evidence not to apply in certain circumstances</w:t>
      </w:r>
      <w:bookmarkEnd w:id="133"/>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134" w:name="_Toc32417556"/>
      <w:r>
        <w:rPr>
          <w:rStyle w:val="CharSectno"/>
        </w:rPr>
        <w:t>44B</w:t>
      </w:r>
      <w:r>
        <w:t>.</w:t>
      </w:r>
      <w:r>
        <w:tab/>
        <w:t>Access to affidavit evidence</w:t>
      </w:r>
      <w:bookmarkEnd w:id="134"/>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135" w:name="_Toc32417557"/>
      <w:r>
        <w:rPr>
          <w:rStyle w:val="CharSectno"/>
        </w:rPr>
        <w:t>44C</w:t>
      </w:r>
      <w:r>
        <w:t>.</w:t>
      </w:r>
      <w:r>
        <w:tab/>
        <w:t>Cross</w:t>
      </w:r>
      <w:r>
        <w:noBreakHyphen/>
        <w:t>examination of certain persons</w:t>
      </w:r>
      <w:bookmarkEnd w:id="135"/>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Footnotesection"/>
        <w:spacing w:before="100"/>
        <w:ind w:left="890" w:hanging="890"/>
      </w:pPr>
      <w:r>
        <w:tab/>
        <w:t>[Section 44C inserted: No. 38 of 2004 s. 26; amended: No. 49 of 2016 s. 50.]</w:t>
      </w:r>
    </w:p>
    <w:p>
      <w:pPr>
        <w:pStyle w:val="Heading2"/>
      </w:pPr>
      <w:bookmarkStart w:id="136" w:name="_Toc32417357"/>
      <w:bookmarkStart w:id="137" w:name="_Toc32417558"/>
      <w:r>
        <w:rPr>
          <w:rStyle w:val="CharPartNo"/>
        </w:rPr>
        <w:t>Part 5</w:t>
      </w:r>
      <w:r>
        <w:rPr>
          <w:rStyle w:val="CharDivNo"/>
        </w:rPr>
        <w:t> </w:t>
      </w:r>
      <w:r>
        <w:t>—</w:t>
      </w:r>
      <w:r>
        <w:rPr>
          <w:rStyle w:val="CharDivText"/>
        </w:rPr>
        <w:t> </w:t>
      </w:r>
      <w:r>
        <w:rPr>
          <w:rStyle w:val="CharPartText"/>
        </w:rPr>
        <w:t>Variation or cancellation</w:t>
      </w:r>
      <w:bookmarkEnd w:id="136"/>
      <w:bookmarkEnd w:id="137"/>
    </w:p>
    <w:p>
      <w:pPr>
        <w:pStyle w:val="Heading5"/>
      </w:pPr>
      <w:bookmarkStart w:id="138" w:name="_Toc32417559"/>
      <w:r>
        <w:rPr>
          <w:rStyle w:val="CharSectno"/>
        </w:rPr>
        <w:t>45</w:t>
      </w:r>
      <w:r>
        <w:t>.</w:t>
      </w:r>
      <w:r>
        <w:tab/>
        <w:t>Application</w:t>
      </w:r>
      <w:bookmarkEnd w:id="138"/>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No. 22 of 2000 s. 10(1); amended: No. 38 of 2004 s. 27; No. 32 of 2011 s. 13; No. 49 of 2016 s. 51.]</w:t>
      </w:r>
    </w:p>
    <w:p>
      <w:pPr>
        <w:pStyle w:val="Heading5"/>
        <w:spacing w:before="240"/>
      </w:pPr>
      <w:bookmarkStart w:id="139" w:name="_Toc32417560"/>
      <w:r>
        <w:rPr>
          <w:rStyle w:val="CharSectno"/>
        </w:rPr>
        <w:t>45A</w:t>
      </w:r>
      <w:r>
        <w:t>.</w:t>
      </w:r>
      <w:r>
        <w:tab/>
        <w:t>Application by CEO (child welfare)</w:t>
      </w:r>
      <w:bookmarkEnd w:id="139"/>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140" w:name="_Toc32417561"/>
      <w:r>
        <w:rPr>
          <w:rStyle w:val="CharSectno"/>
        </w:rPr>
        <w:t>46</w:t>
      </w:r>
      <w:r>
        <w:rPr>
          <w:snapToGrid w:val="0"/>
        </w:rPr>
        <w:t>.</w:t>
      </w:r>
      <w:r>
        <w:rPr>
          <w:snapToGrid w:val="0"/>
        </w:rPr>
        <w:tab/>
        <w:t>Leave hearing</w:t>
      </w:r>
      <w:bookmarkEnd w:id="140"/>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No. 22 of 2000 s. 10(2); No. 38 of 2004 s. 29; No. 59 of 2004 s. 123.]</w:t>
      </w:r>
    </w:p>
    <w:p>
      <w:pPr>
        <w:pStyle w:val="Heading5"/>
        <w:rPr>
          <w:snapToGrid w:val="0"/>
        </w:rPr>
      </w:pPr>
      <w:bookmarkStart w:id="141" w:name="_Toc32417562"/>
      <w:r>
        <w:rPr>
          <w:rStyle w:val="CharSectno"/>
        </w:rPr>
        <w:t>47</w:t>
      </w:r>
      <w:r>
        <w:rPr>
          <w:snapToGrid w:val="0"/>
        </w:rPr>
        <w:t>.</w:t>
      </w:r>
      <w:r>
        <w:rPr>
          <w:snapToGrid w:val="0"/>
        </w:rPr>
        <w:tab/>
      </w:r>
      <w:r>
        <w:t xml:space="preserve">Registrar </w:t>
      </w:r>
      <w:r>
        <w:rPr>
          <w:snapToGrid w:val="0"/>
        </w:rPr>
        <w:t>to issue summons</w:t>
      </w:r>
      <w:bookmarkEnd w:id="141"/>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142" w:name="_Toc32417563"/>
      <w:r>
        <w:rPr>
          <w:rStyle w:val="CharSectno"/>
        </w:rPr>
        <w:t>48</w:t>
      </w:r>
      <w:r>
        <w:rPr>
          <w:snapToGrid w:val="0"/>
        </w:rPr>
        <w:t>.</w:t>
      </w:r>
      <w:r>
        <w:rPr>
          <w:snapToGrid w:val="0"/>
        </w:rPr>
        <w:tab/>
        <w:t>Attendance at hearing</w:t>
      </w:r>
      <w:bookmarkEnd w:id="142"/>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143" w:name="_Toc32417564"/>
      <w:r>
        <w:rPr>
          <w:rStyle w:val="CharSectno"/>
        </w:rPr>
        <w:t>48A</w:t>
      </w:r>
      <w:r>
        <w:t>.</w:t>
      </w:r>
      <w:r>
        <w:tab/>
        <w:t>Ex parte application to cancel order by person protected by order</w:t>
      </w:r>
      <w:bookmarkEnd w:id="143"/>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144" w:name="_Toc32417565"/>
      <w:r>
        <w:rPr>
          <w:rStyle w:val="CharSectno"/>
        </w:rPr>
        <w:t>49</w:t>
      </w:r>
      <w:r>
        <w:rPr>
          <w:snapToGrid w:val="0"/>
        </w:rPr>
        <w:t>.</w:t>
      </w:r>
      <w:r>
        <w:rPr>
          <w:snapToGrid w:val="0"/>
        </w:rPr>
        <w:tab/>
        <w:t>Variation or cancellation</w:t>
      </w:r>
      <w:bookmarkEnd w:id="144"/>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w:t>
      </w:r>
    </w:p>
    <w:p>
      <w:pPr>
        <w:pStyle w:val="Heading5"/>
      </w:pPr>
      <w:bookmarkStart w:id="145" w:name="_Toc32417566"/>
      <w:r>
        <w:rPr>
          <w:rStyle w:val="CharSectno"/>
        </w:rPr>
        <w:t>49A</w:t>
      </w:r>
      <w:r>
        <w:t>.</w:t>
      </w:r>
      <w:r>
        <w:tab/>
        <w:t>Correcting minor errors in restraining orders</w:t>
      </w:r>
      <w:bookmarkEnd w:id="145"/>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146" w:name="_Toc32417567"/>
      <w:r>
        <w:rPr>
          <w:rStyle w:val="CharSectno"/>
        </w:rPr>
        <w:t>49B</w:t>
      </w:r>
      <w:r>
        <w:t>.</w:t>
      </w:r>
      <w:r>
        <w:tab/>
        <w:t>Matters to be considered by court generally</w:t>
      </w:r>
      <w:bookmarkEnd w:id="146"/>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2"/>
      </w:pPr>
      <w:bookmarkStart w:id="147" w:name="_Toc32417367"/>
      <w:bookmarkStart w:id="148" w:name="_Toc32417568"/>
      <w:r>
        <w:rPr>
          <w:rStyle w:val="CharPartNo"/>
        </w:rPr>
        <w:t>Part 6</w:t>
      </w:r>
      <w:r>
        <w:t> — </w:t>
      </w:r>
      <w:r>
        <w:rPr>
          <w:rStyle w:val="CharPartText"/>
        </w:rPr>
        <w:t>General</w:t>
      </w:r>
      <w:bookmarkEnd w:id="147"/>
      <w:bookmarkEnd w:id="148"/>
      <w:r>
        <w:rPr>
          <w:rStyle w:val="CharPartText"/>
        </w:rPr>
        <w:t xml:space="preserve"> </w:t>
      </w:r>
    </w:p>
    <w:p>
      <w:pPr>
        <w:pStyle w:val="Heading3"/>
      </w:pPr>
      <w:bookmarkStart w:id="149" w:name="_Toc32417368"/>
      <w:bookmarkStart w:id="150" w:name="_Toc32417569"/>
      <w:r>
        <w:rPr>
          <w:rStyle w:val="CharDivNo"/>
        </w:rPr>
        <w:t>Division 1</w:t>
      </w:r>
      <w:r>
        <w:t> — </w:t>
      </w:r>
      <w:r>
        <w:rPr>
          <w:rStyle w:val="CharDivText"/>
        </w:rPr>
        <w:t>Children</w:t>
      </w:r>
      <w:bookmarkEnd w:id="149"/>
      <w:bookmarkEnd w:id="150"/>
    </w:p>
    <w:p>
      <w:pPr>
        <w:pStyle w:val="Footnoteheading"/>
        <w:tabs>
          <w:tab w:val="left" w:pos="851"/>
        </w:tabs>
        <w:spacing w:before="100"/>
      </w:pPr>
      <w:r>
        <w:tab/>
        <w:t>[Heading inserted: No. 38 of 2004 s. 35.]</w:t>
      </w:r>
    </w:p>
    <w:p>
      <w:pPr>
        <w:pStyle w:val="Heading5"/>
        <w:rPr>
          <w:snapToGrid w:val="0"/>
        </w:rPr>
      </w:pPr>
      <w:bookmarkStart w:id="151" w:name="_Toc32417570"/>
      <w:r>
        <w:rPr>
          <w:rStyle w:val="CharSectno"/>
        </w:rPr>
        <w:t>50</w:t>
      </w:r>
      <w:r>
        <w:rPr>
          <w:snapToGrid w:val="0"/>
        </w:rPr>
        <w:t>.</w:t>
      </w:r>
      <w:r>
        <w:rPr>
          <w:snapToGrid w:val="0"/>
        </w:rPr>
        <w:tab/>
        <w:t>No restraining orders against children under 10</w:t>
      </w:r>
      <w:bookmarkEnd w:id="151"/>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152" w:name="_Toc32417571"/>
      <w:r>
        <w:rPr>
          <w:rStyle w:val="CharSectno"/>
        </w:rPr>
        <w:t>50A</w:t>
      </w:r>
      <w:r>
        <w:t>.</w:t>
      </w:r>
      <w:r>
        <w:tab/>
        <w:t>Restraining order against child not to exceed 6 months</w:t>
      </w:r>
      <w:bookmarkEnd w:id="152"/>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153" w:name="_Toc32417572"/>
      <w:r>
        <w:rPr>
          <w:rStyle w:val="CharSectno"/>
        </w:rPr>
        <w:t>50B</w:t>
      </w:r>
      <w:r>
        <w:t>.</w:t>
      </w:r>
      <w:r>
        <w:tab/>
        <w:t>Child welfare laws not affected</w:t>
      </w:r>
      <w:bookmarkEnd w:id="153"/>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154" w:name="_Toc32417573"/>
      <w:r>
        <w:rPr>
          <w:rStyle w:val="CharSectno"/>
        </w:rPr>
        <w:t>50C</w:t>
      </w:r>
      <w:r>
        <w:t>.</w:t>
      </w:r>
      <w:r>
        <w:tab/>
        <w:t>CEO (child welfare) to be notified before certain FVROs or VROs are made</w:t>
      </w:r>
      <w:bookmarkEnd w:id="154"/>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155" w:name="_Toc32417574"/>
      <w:r>
        <w:rPr>
          <w:rStyle w:val="CharSectno"/>
        </w:rPr>
        <w:t>50D</w:t>
      </w:r>
      <w:r>
        <w:t>.</w:t>
      </w:r>
      <w:r>
        <w:tab/>
        <w:t>Intervention by CEO (child welfare)</w:t>
      </w:r>
      <w:bookmarkEnd w:id="155"/>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156" w:name="_Toc32417575"/>
      <w:r>
        <w:rPr>
          <w:rStyle w:val="CharSectno"/>
        </w:rPr>
        <w:t>51</w:t>
      </w:r>
      <w:r>
        <w:rPr>
          <w:snapToGrid w:val="0"/>
        </w:rPr>
        <w:t>.</w:t>
      </w:r>
      <w:r>
        <w:rPr>
          <w:snapToGrid w:val="0"/>
        </w:rPr>
        <w:tab/>
        <w:t>Responsible adult to attend</w:t>
      </w:r>
      <w:bookmarkEnd w:id="156"/>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157" w:name="_Toc32417576"/>
      <w:r>
        <w:rPr>
          <w:rStyle w:val="CharSectno"/>
        </w:rPr>
        <w:t>52</w:t>
      </w:r>
      <w:r>
        <w:rPr>
          <w:snapToGrid w:val="0"/>
        </w:rPr>
        <w:t>.</w:t>
      </w:r>
      <w:r>
        <w:rPr>
          <w:snapToGrid w:val="0"/>
        </w:rPr>
        <w:tab/>
        <w:t>Transfer between courts</w:t>
      </w:r>
      <w:bookmarkEnd w:id="157"/>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158" w:name="_Toc32417577"/>
      <w:r>
        <w:rPr>
          <w:rStyle w:val="CharSectno"/>
        </w:rPr>
        <w:t>53</w:t>
      </w:r>
      <w:r>
        <w:rPr>
          <w:snapToGrid w:val="0"/>
        </w:rPr>
        <w:t>.</w:t>
      </w:r>
      <w:r>
        <w:rPr>
          <w:snapToGrid w:val="0"/>
        </w:rPr>
        <w:tab/>
        <w:t>Telephone order made against child</w:t>
      </w:r>
      <w:bookmarkEnd w:id="158"/>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159" w:name="_Toc32417578"/>
      <w:r>
        <w:rPr>
          <w:rStyle w:val="CharSectno"/>
        </w:rPr>
        <w:t>53A</w:t>
      </w:r>
      <w:r>
        <w:t>.</w:t>
      </w:r>
      <w:r>
        <w:tab/>
        <w:t>Children not to give oral evidence without leave of court, other than in Children’s Court</w:t>
      </w:r>
      <w:bookmarkEnd w:id="159"/>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160" w:name="_Toc32417579"/>
      <w:r>
        <w:rPr>
          <w:rStyle w:val="CharSectno"/>
        </w:rPr>
        <w:t>53B</w:t>
      </w:r>
      <w:r>
        <w:t>.</w:t>
      </w:r>
      <w:r>
        <w:tab/>
        <w:t>Evidence of children</w:t>
      </w:r>
      <w:bookmarkEnd w:id="160"/>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161" w:name="_Toc32417580"/>
      <w:r>
        <w:rPr>
          <w:rStyle w:val="CharSectno"/>
        </w:rPr>
        <w:t>53C</w:t>
      </w:r>
      <w:r>
        <w:t>.</w:t>
      </w:r>
      <w:r>
        <w:tab/>
        <w:t>Child who gives evidence entitled to support</w:t>
      </w:r>
      <w:bookmarkEnd w:id="161"/>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162" w:name="_Toc32417581"/>
      <w:r>
        <w:rPr>
          <w:rStyle w:val="CharSectno"/>
        </w:rPr>
        <w:t>53D</w:t>
      </w:r>
      <w:r>
        <w:t>.</w:t>
      </w:r>
      <w:r>
        <w:tab/>
        <w:t>Cross</w:t>
      </w:r>
      <w:r>
        <w:noBreakHyphen/>
        <w:t>examination of child by unrepresented person</w:t>
      </w:r>
      <w:bookmarkEnd w:id="162"/>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163" w:name="_Toc32417582"/>
      <w:r>
        <w:rPr>
          <w:rStyle w:val="CharSectno"/>
        </w:rPr>
        <w:t>53E</w:t>
      </w:r>
      <w:r>
        <w:t>.</w:t>
      </w:r>
      <w:r>
        <w:tab/>
        <w:t>Admissibility of evidence of representations made by children</w:t>
      </w:r>
      <w:bookmarkEnd w:id="163"/>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164" w:name="_Toc32417583"/>
      <w:r>
        <w:rPr>
          <w:rStyle w:val="CharSectno"/>
        </w:rPr>
        <w:t>53F</w:t>
      </w:r>
      <w:r>
        <w:t>.</w:t>
      </w:r>
      <w:r>
        <w:tab/>
        <w:t>Summonsing of children</w:t>
      </w:r>
      <w:bookmarkEnd w:id="164"/>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165" w:name="_Toc32417584"/>
      <w:r>
        <w:rPr>
          <w:rStyle w:val="CharSectno"/>
        </w:rPr>
        <w:t>53G</w:t>
      </w:r>
      <w:r>
        <w:t>.</w:t>
      </w:r>
      <w:r>
        <w:tab/>
        <w:t>Arrangements for care and wellbeing of children bound by restraining orders</w:t>
      </w:r>
      <w:bookmarkEnd w:id="165"/>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166" w:name="_Toc32417384"/>
      <w:bookmarkStart w:id="167" w:name="_Toc32417585"/>
      <w:r>
        <w:rPr>
          <w:rStyle w:val="CharDivNo"/>
        </w:rPr>
        <w:t>Division 2</w:t>
      </w:r>
      <w:r>
        <w:rPr>
          <w:snapToGrid w:val="0"/>
        </w:rPr>
        <w:t> — </w:t>
      </w:r>
      <w:r>
        <w:rPr>
          <w:rStyle w:val="CharDivText"/>
        </w:rPr>
        <w:t>Service</w:t>
      </w:r>
      <w:bookmarkEnd w:id="166"/>
      <w:bookmarkEnd w:id="167"/>
      <w:r>
        <w:rPr>
          <w:rStyle w:val="CharDivText"/>
        </w:rPr>
        <w:t xml:space="preserve"> </w:t>
      </w:r>
    </w:p>
    <w:p>
      <w:pPr>
        <w:pStyle w:val="Heading5"/>
        <w:rPr>
          <w:snapToGrid w:val="0"/>
        </w:rPr>
      </w:pPr>
      <w:bookmarkStart w:id="168" w:name="_Toc32417586"/>
      <w:r>
        <w:rPr>
          <w:rStyle w:val="CharSectno"/>
        </w:rPr>
        <w:t>54</w:t>
      </w:r>
      <w:r>
        <w:rPr>
          <w:snapToGrid w:val="0"/>
        </w:rPr>
        <w:t>.</w:t>
      </w:r>
      <w:r>
        <w:rPr>
          <w:snapToGrid w:val="0"/>
        </w:rPr>
        <w:tab/>
        <w:t>Service of summons</w:t>
      </w:r>
      <w:bookmarkEnd w:id="168"/>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169" w:name="_Toc32417587"/>
      <w:r>
        <w:rPr>
          <w:rStyle w:val="CharSectno"/>
        </w:rPr>
        <w:t>55</w:t>
      </w:r>
      <w:r>
        <w:rPr>
          <w:snapToGrid w:val="0"/>
        </w:rPr>
        <w:t>.</w:t>
      </w:r>
      <w:r>
        <w:rPr>
          <w:snapToGrid w:val="0"/>
        </w:rPr>
        <w:tab/>
        <w:t>Service of restraining order</w:t>
      </w:r>
      <w:bookmarkEnd w:id="169"/>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rPr>
          <w:snapToGrid w:val="0"/>
        </w:rPr>
      </w:pPr>
      <w:r>
        <w:tab/>
        <w:t>(c)</w:t>
      </w:r>
      <w:r>
        <w:tab/>
        <w:t>the court makes an order for substituted service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w:t>
      </w:r>
    </w:p>
    <w:p>
      <w:pPr>
        <w:pStyle w:val="Heading5"/>
        <w:rPr>
          <w:snapToGrid w:val="0"/>
        </w:rPr>
      </w:pPr>
      <w:bookmarkStart w:id="170" w:name="_Toc32417588"/>
      <w:r>
        <w:rPr>
          <w:rStyle w:val="CharSectno"/>
        </w:rPr>
        <w:t>56</w:t>
      </w:r>
      <w:r>
        <w:rPr>
          <w:snapToGrid w:val="0"/>
        </w:rPr>
        <w:t>.</w:t>
      </w:r>
      <w:r>
        <w:rPr>
          <w:snapToGrid w:val="0"/>
        </w:rPr>
        <w:tab/>
        <w:t>Delivery or notification</w:t>
      </w:r>
      <w:bookmarkEnd w:id="170"/>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171" w:name="_Toc32417589"/>
      <w:r>
        <w:rPr>
          <w:rStyle w:val="CharSectno"/>
        </w:rPr>
        <w:t>57</w:t>
      </w:r>
      <w:r>
        <w:rPr>
          <w:snapToGrid w:val="0"/>
        </w:rPr>
        <w:t>.</w:t>
      </w:r>
      <w:r>
        <w:rPr>
          <w:snapToGrid w:val="0"/>
        </w:rPr>
        <w:tab/>
        <w:t>Copy of document sufficient for service</w:t>
      </w:r>
      <w:bookmarkEnd w:id="171"/>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172" w:name="_Toc32417590"/>
      <w:r>
        <w:rPr>
          <w:rStyle w:val="CharSectno"/>
        </w:rPr>
        <w:t>58</w:t>
      </w:r>
      <w:r>
        <w:rPr>
          <w:snapToGrid w:val="0"/>
        </w:rPr>
        <w:t>.</w:t>
      </w:r>
      <w:r>
        <w:rPr>
          <w:snapToGrid w:val="0"/>
        </w:rPr>
        <w:tab/>
        <w:t>Proof of service</w:t>
      </w:r>
      <w:bookmarkEnd w:id="172"/>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173" w:name="_Toc32417591"/>
      <w:r>
        <w:rPr>
          <w:rStyle w:val="CharSectno"/>
        </w:rPr>
        <w:t>59</w:t>
      </w:r>
      <w:r>
        <w:t>.</w:t>
      </w:r>
      <w:r>
        <w:tab/>
        <w:t>Service of restraining order, certain people to be notified of</w:t>
      </w:r>
      <w:bookmarkEnd w:id="173"/>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No. 5 of 2008 s. 100.]</w:t>
      </w:r>
    </w:p>
    <w:p>
      <w:pPr>
        <w:pStyle w:val="Heading5"/>
        <w:rPr>
          <w:snapToGrid w:val="0"/>
        </w:rPr>
      </w:pPr>
      <w:bookmarkStart w:id="174" w:name="_Toc32417592"/>
      <w:r>
        <w:rPr>
          <w:rStyle w:val="CharSectno"/>
        </w:rPr>
        <w:t>60</w:t>
      </w:r>
      <w:r>
        <w:rPr>
          <w:snapToGrid w:val="0"/>
        </w:rPr>
        <w:t>.</w:t>
      </w:r>
      <w:r>
        <w:rPr>
          <w:snapToGrid w:val="0"/>
        </w:rPr>
        <w:tab/>
        <w:t>Substituted service</w:t>
      </w:r>
      <w:bookmarkEnd w:id="174"/>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pPr>
      <w:r>
        <w:tab/>
        <w:t>(1A)</w:t>
      </w:r>
      <w:r>
        <w:tab/>
        <w:t xml:space="preserve">A court may order substituted service of an FVRO if it is satisfied that — </w:t>
      </w:r>
    </w:p>
    <w:p>
      <w:pPr>
        <w:pStyle w:val="Indenta"/>
      </w:pPr>
      <w:r>
        <w:tab/>
        <w:t>(a)</w:t>
      </w:r>
      <w:r>
        <w:tab/>
        <w:t xml:space="preserve">personal service or service by post is impracticable for any reason, including (but not limited to) the following — </w:t>
      </w:r>
    </w:p>
    <w:p>
      <w:pPr>
        <w:pStyle w:val="Indenti"/>
      </w:pPr>
      <w:r>
        <w:tab/>
        <w:t>(i)</w:t>
      </w:r>
      <w:r>
        <w:tab/>
        <w:t>the person to be served does not have a fixed place of residence or business;</w:t>
      </w:r>
    </w:p>
    <w:p>
      <w:pPr>
        <w:pStyle w:val="Indenti"/>
      </w:pPr>
      <w:r>
        <w:tab/>
        <w:t>(ii)</w:t>
      </w:r>
      <w:r>
        <w:tab/>
        <w:t>the person to be served has a place of residence or business that is too remote to permit personal service or service by post;</w:t>
      </w:r>
    </w:p>
    <w:p>
      <w:pPr>
        <w:pStyle w:val="Indenti"/>
      </w:pPr>
      <w:r>
        <w:tab/>
        <w:t>(iii)</w:t>
      </w:r>
      <w:r>
        <w:tab/>
        <w:t>the person to be served is likely to avoid personal service or service by post;</w:t>
      </w:r>
    </w:p>
    <w:p>
      <w:pPr>
        <w:pStyle w:val="Indenta"/>
      </w:pPr>
      <w:r>
        <w:tab/>
      </w:r>
      <w:r>
        <w:tab/>
        <w:t>and</w:t>
      </w:r>
    </w:p>
    <w:p>
      <w:pPr>
        <w:pStyle w:val="Indenta"/>
        <w:rPr>
          <w:snapToGrid w:val="0"/>
        </w:rPr>
      </w:pPr>
      <w:r>
        <w:tab/>
        <w:t>(b)</w:t>
      </w:r>
      <w:r>
        <w:tab/>
        <w:t>any delay in service is likely to put at risk the safety of the person seeking to be protected.</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w:t>
      </w:r>
    </w:p>
    <w:p>
      <w:pPr>
        <w:pStyle w:val="Heading3"/>
        <w:rPr>
          <w:snapToGrid w:val="0"/>
        </w:rPr>
      </w:pPr>
      <w:bookmarkStart w:id="175" w:name="_Toc32417392"/>
      <w:bookmarkStart w:id="176" w:name="_Toc32417593"/>
      <w:r>
        <w:rPr>
          <w:rStyle w:val="CharDivNo"/>
        </w:rPr>
        <w:t>Division 3</w:t>
      </w:r>
      <w:r>
        <w:rPr>
          <w:snapToGrid w:val="0"/>
        </w:rPr>
        <w:t> — </w:t>
      </w:r>
      <w:r>
        <w:rPr>
          <w:rStyle w:val="CharDivText"/>
        </w:rPr>
        <w:t>Breach of restraining order or police order</w:t>
      </w:r>
      <w:bookmarkEnd w:id="175"/>
      <w:bookmarkEnd w:id="176"/>
      <w:r>
        <w:rPr>
          <w:rStyle w:val="CharDivText"/>
        </w:rPr>
        <w:t xml:space="preserve"> </w:t>
      </w:r>
    </w:p>
    <w:p>
      <w:pPr>
        <w:pStyle w:val="Footnoteheading"/>
        <w:tabs>
          <w:tab w:val="left" w:pos="851"/>
        </w:tabs>
      </w:pPr>
      <w:r>
        <w:tab/>
        <w:t>[Heading amended: No. 38 of 2004 s. 40.]</w:t>
      </w:r>
    </w:p>
    <w:p>
      <w:pPr>
        <w:pStyle w:val="Heading5"/>
        <w:rPr>
          <w:snapToGrid w:val="0"/>
        </w:rPr>
      </w:pPr>
      <w:bookmarkStart w:id="177" w:name="_Toc32417594"/>
      <w:r>
        <w:rPr>
          <w:rStyle w:val="CharSectno"/>
        </w:rPr>
        <w:t>61</w:t>
      </w:r>
      <w:r>
        <w:rPr>
          <w:snapToGrid w:val="0"/>
        </w:rPr>
        <w:t>.</w:t>
      </w:r>
      <w:r>
        <w:rPr>
          <w:snapToGrid w:val="0"/>
        </w:rPr>
        <w:tab/>
        <w:t>Breach of restraining order</w:t>
      </w:r>
      <w:bookmarkEnd w:id="177"/>
      <w:r>
        <w:rPr>
          <w:snapToGrid w:val="0"/>
        </w:rPr>
        <w:t xml:space="preserve"> </w:t>
      </w:r>
    </w:p>
    <w:p>
      <w:pPr>
        <w:pStyle w:val="Subsection"/>
        <w:rPr>
          <w:snapToGrid w:val="0"/>
        </w:rPr>
      </w:pPr>
      <w:r>
        <w:rPr>
          <w:snapToGrid w:val="0"/>
        </w:rPr>
        <w:tab/>
        <w:t>(1)</w:t>
      </w:r>
      <w:r>
        <w:rPr>
          <w:snapToGrid w:val="0"/>
        </w:rPr>
        <w:tab/>
        <w:t xml:space="preserve">A person who is bound by </w:t>
      </w:r>
      <w:r>
        <w:t>an FVRO or VRO</w:t>
      </w:r>
      <w:r>
        <w:rPr>
          <w:snapToGrid w:val="0"/>
        </w:rPr>
        <w:t xml:space="preserve"> and who breaches that order commits an offence.</w:t>
      </w:r>
    </w:p>
    <w:p>
      <w:pPr>
        <w:pStyle w:val="Penstart"/>
        <w:rPr>
          <w:snapToGrid w:val="0"/>
        </w:rPr>
      </w:pPr>
      <w:r>
        <w:tab/>
        <w:t>Penalty for this subsection: a fine of $6 000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No. 22 of 2000 s. 12; No. 50 of 2003 s. 90(2); No. 38 of 2004 s. 41; No. 59 of 2004 s. 124; No. 49 of 2016 s. 59.]</w:t>
      </w:r>
    </w:p>
    <w:p>
      <w:pPr>
        <w:pStyle w:val="Heading5"/>
      </w:pPr>
      <w:bookmarkStart w:id="178" w:name="_Toc32417595"/>
      <w:r>
        <w:rPr>
          <w:rStyle w:val="CharSectno"/>
        </w:rPr>
        <w:t>61A</w:t>
      </w:r>
      <w:r>
        <w:t>.</w:t>
      </w:r>
      <w:r>
        <w:tab/>
        <w:t>Penalty for repeated breach of restraining order</w:t>
      </w:r>
      <w:bookmarkEnd w:id="178"/>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 xml:space="preserve">has committed, and been convicted of, at least 2 offences under section 61(1) or (2a) (the </w:t>
      </w:r>
      <w:r>
        <w:rPr>
          <w:rStyle w:val="CharDefText"/>
        </w:rPr>
        <w:t>previous offences</w:t>
      </w:r>
      <w:r>
        <w:t>) within the period of 2 years before the person’s conviction of the relevant offence.</w:t>
      </w:r>
    </w:p>
    <w:p>
      <w:pPr>
        <w:pStyle w:val="zSubsection"/>
      </w:pPr>
      <w:r>
        <w:tab/>
        <w:t>(2A)</w:t>
      </w:r>
      <w:r>
        <w:tab/>
        <w:t>For the purposes of subsection (2)(b) each of the previous offences is to be counted, regardless of whether the convictions for them —</w:t>
      </w:r>
    </w:p>
    <w:p>
      <w:pPr>
        <w:pStyle w:val="zIndenta"/>
      </w:pPr>
      <w:r>
        <w:tab/>
        <w:t>(a)</w:t>
      </w:r>
      <w:r>
        <w:tab/>
        <w:t>were recorded before or after the date on which the relevant offence, or any of the previous offences, was committed; or</w:t>
      </w:r>
    </w:p>
    <w:p>
      <w:pPr>
        <w:pStyle w:val="zIndenta"/>
      </w:pPr>
      <w:r>
        <w:tab/>
        <w:t>(b)</w:t>
      </w:r>
      <w:r>
        <w:tab/>
        <w:t>have been counted in sentencing under this section for a different relevant offence.</w:t>
      </w:r>
    </w:p>
    <w:p>
      <w:pPr>
        <w:pStyle w:val="zSubsection"/>
      </w:pPr>
      <w:r>
        <w:tab/>
        <w:t>(2B)</w:t>
      </w:r>
      <w:r>
        <w:tab/>
        <w:t>For the purposes of subsection (2)(b), convictions for 2 or more previous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w:t>
      </w:r>
    </w:p>
    <w:p>
      <w:pPr>
        <w:pStyle w:val="Heading5"/>
        <w:pageBreakBefore/>
        <w:spacing w:before="0"/>
      </w:pPr>
      <w:bookmarkStart w:id="179" w:name="_Toc32417596"/>
      <w:r>
        <w:rPr>
          <w:rStyle w:val="CharSectno"/>
        </w:rPr>
        <w:t>61B</w:t>
      </w:r>
      <w:r>
        <w:t>.</w:t>
      </w:r>
      <w:r>
        <w:tab/>
        <w:t>Protected person aiding breach of restraining order or police order</w:t>
      </w:r>
      <w:bookmarkEnd w:id="179"/>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w:t>
      </w:r>
    </w:p>
    <w:p>
      <w:pPr>
        <w:pStyle w:val="Heading5"/>
      </w:pPr>
      <w:bookmarkStart w:id="180" w:name="_Toc32417597"/>
      <w:r>
        <w:rPr>
          <w:rStyle w:val="CharSectno"/>
        </w:rPr>
        <w:t>61C</w:t>
      </w:r>
      <w:r>
        <w:t>.</w:t>
      </w:r>
      <w:r>
        <w:tab/>
        <w:t>Report under s. 10V to be considered in sentencing for breach of FVRO</w:t>
      </w:r>
      <w:bookmarkEnd w:id="180"/>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181" w:name="_Toc32417598"/>
      <w:r>
        <w:rPr>
          <w:rStyle w:val="CharSectno"/>
        </w:rPr>
        <w:t>62</w:t>
      </w:r>
      <w:r>
        <w:t>.</w:t>
      </w:r>
      <w:r>
        <w:tab/>
        <w:t>Defence</w:t>
      </w:r>
      <w:bookmarkEnd w:id="181"/>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ageBreakBefore/>
        <w:spacing w:before="0"/>
      </w:pPr>
      <w:bookmarkStart w:id="182" w:name="_Toc32417398"/>
      <w:bookmarkStart w:id="183" w:name="_Toc32417599"/>
      <w:r>
        <w:rPr>
          <w:rStyle w:val="CharDivNo"/>
        </w:rPr>
        <w:t>Division 3A</w:t>
      </w:r>
      <w:r>
        <w:t> — </w:t>
      </w:r>
      <w:r>
        <w:rPr>
          <w:rStyle w:val="CharDivText"/>
        </w:rPr>
        <w:t>Police functions</w:t>
      </w:r>
      <w:bookmarkEnd w:id="182"/>
      <w:bookmarkEnd w:id="183"/>
    </w:p>
    <w:p>
      <w:pPr>
        <w:pStyle w:val="Footnoteheading"/>
        <w:tabs>
          <w:tab w:val="left" w:pos="851"/>
        </w:tabs>
      </w:pPr>
      <w:r>
        <w:tab/>
        <w:t>[Heading inserted: No. 38 of 2004 s. 43(1).]</w:t>
      </w:r>
    </w:p>
    <w:p>
      <w:pPr>
        <w:pStyle w:val="Heading5"/>
      </w:pPr>
      <w:bookmarkStart w:id="184" w:name="_Toc32417600"/>
      <w:r>
        <w:rPr>
          <w:rStyle w:val="CharSectno"/>
        </w:rPr>
        <w:t>62A</w:t>
      </w:r>
      <w:r>
        <w:t>.</w:t>
      </w:r>
      <w:r>
        <w:tab/>
        <w:t>Investigation of suspected family violence</w:t>
      </w:r>
      <w:bookmarkEnd w:id="184"/>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185" w:name="_Toc32417601"/>
      <w:r>
        <w:rPr>
          <w:rStyle w:val="CharSectno"/>
        </w:rPr>
        <w:t>62B</w:t>
      </w:r>
      <w:r>
        <w:t>.</w:t>
      </w:r>
      <w:r>
        <w:tab/>
        <w:t>Entry and search of premises if family violence suspected</w:t>
      </w:r>
      <w:bookmarkEnd w:id="185"/>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186" w:name="_Toc32417602"/>
      <w:r>
        <w:rPr>
          <w:rStyle w:val="CharSectno"/>
        </w:rPr>
        <w:t>62C</w:t>
      </w:r>
      <w:r>
        <w:t>.</w:t>
      </w:r>
      <w:r>
        <w:tab/>
        <w:t>Action to be taken by police officer after investigating suspected family violence</w:t>
      </w:r>
      <w:bookmarkEnd w:id="186"/>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187" w:name="_Toc32417603"/>
      <w:r>
        <w:rPr>
          <w:rStyle w:val="CharSectno"/>
        </w:rPr>
        <w:t>62D</w:t>
      </w:r>
      <w:r>
        <w:t>.</w:t>
      </w:r>
      <w:r>
        <w:tab/>
        <w:t>Approval of senior officer</w:t>
      </w:r>
      <w:bookmarkEnd w:id="187"/>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188" w:name="_Toc32417604"/>
      <w:r>
        <w:rPr>
          <w:rStyle w:val="CharSectno"/>
        </w:rPr>
        <w:t>62E</w:t>
      </w:r>
      <w:r>
        <w:t>.</w:t>
      </w:r>
      <w:r>
        <w:tab/>
        <w:t>Seizure of firearms</w:t>
      </w:r>
      <w:bookmarkEnd w:id="188"/>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 No. 38 of 2004 s. 43(1); amended: No. 5 of 2008 s. 102; No. 49 of 2016 s. 67.]</w:t>
      </w:r>
    </w:p>
    <w:p>
      <w:pPr>
        <w:pStyle w:val="Footnotesection"/>
      </w:pPr>
      <w:r>
        <w:tab/>
        <w:t>[Section 62E. Modifications to be applied in order to give effect to Cross-border Justice Act 2008: section altered 1 Nov 2009. See endnote 1M.]</w:t>
      </w:r>
    </w:p>
    <w:p>
      <w:pPr>
        <w:pStyle w:val="Heading5"/>
        <w:pageBreakBefore/>
        <w:spacing w:before="0"/>
      </w:pPr>
      <w:bookmarkStart w:id="189" w:name="_Toc32417605"/>
      <w:r>
        <w:rPr>
          <w:rStyle w:val="CharSectno"/>
        </w:rPr>
        <w:t>62F</w:t>
      </w:r>
      <w:r>
        <w:t>.</w:t>
      </w:r>
      <w:r>
        <w:tab/>
        <w:t>Detention of respondent during telephone hearing or while police order is being made</w:t>
      </w:r>
      <w:bookmarkEnd w:id="189"/>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190" w:name="_Toc32417606"/>
      <w:r>
        <w:rPr>
          <w:rStyle w:val="CharSectno"/>
        </w:rPr>
        <w:t>62G</w:t>
      </w:r>
      <w:r>
        <w:t>.</w:t>
      </w:r>
      <w:r>
        <w:tab/>
        <w:t>Police officer may conduct hearing for applicant</w:t>
      </w:r>
      <w:bookmarkEnd w:id="190"/>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191" w:name="_Toc32417406"/>
      <w:bookmarkStart w:id="192" w:name="_Toc32417607"/>
      <w:r>
        <w:rPr>
          <w:rStyle w:val="CharDivNo"/>
        </w:rPr>
        <w:t>Division 4</w:t>
      </w:r>
      <w:r>
        <w:rPr>
          <w:snapToGrid w:val="0"/>
        </w:rPr>
        <w:t> — </w:t>
      </w:r>
      <w:r>
        <w:rPr>
          <w:rStyle w:val="CharDivText"/>
        </w:rPr>
        <w:t>General</w:t>
      </w:r>
      <w:bookmarkEnd w:id="191"/>
      <w:bookmarkEnd w:id="192"/>
      <w:r>
        <w:rPr>
          <w:rStyle w:val="CharDivText"/>
        </w:rPr>
        <w:t xml:space="preserve"> </w:t>
      </w:r>
    </w:p>
    <w:p>
      <w:pPr>
        <w:pStyle w:val="Heading5"/>
        <w:rPr>
          <w:snapToGrid w:val="0"/>
        </w:rPr>
      </w:pPr>
      <w:bookmarkStart w:id="193" w:name="_Toc32417608"/>
      <w:r>
        <w:rPr>
          <w:rStyle w:val="CharSectno"/>
        </w:rPr>
        <w:t>63</w:t>
      </w:r>
      <w:r>
        <w:rPr>
          <w:snapToGrid w:val="0"/>
        </w:rPr>
        <w:t>.</w:t>
      </w:r>
      <w:r>
        <w:rPr>
          <w:snapToGrid w:val="0"/>
        </w:rPr>
        <w:tab/>
        <w:t>Making restraining orders during other proceedings</w:t>
      </w:r>
      <w:bookmarkEnd w:id="193"/>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case; and</w:t>
      </w:r>
    </w:p>
    <w:p>
      <w:pPr>
        <w:pStyle w:val="Indenta"/>
        <w:rPr>
          <w:snapToGrid w:val="0"/>
        </w:rPr>
      </w:pPr>
      <w:r>
        <w:rPr>
          <w:snapToGrid w:val="0"/>
        </w:rPr>
        <w:tab/>
        <w:t>(c)</w:t>
      </w:r>
      <w:r>
        <w:rPr>
          <w:snapToGrid w:val="0"/>
        </w:rPr>
        <w:tab/>
        <w:t xml:space="preserve">the person is present when the order is made and has been given an opportunity to </w:t>
      </w:r>
      <w:r>
        <w:t>make submissions</w:t>
      </w:r>
      <w:r>
        <w:rPr>
          <w:snapToGrid w:val="0"/>
        </w:rPr>
        <w:t xml:space="preserve"> on the matter.</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10G(2) that is specified by the court in the FVRO.</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w:t>
      </w:r>
    </w:p>
    <w:p>
      <w:pPr>
        <w:pStyle w:val="Heading5"/>
      </w:pPr>
      <w:bookmarkStart w:id="194" w:name="_Toc32417609"/>
      <w:r>
        <w:rPr>
          <w:rStyle w:val="CharSectno"/>
        </w:rPr>
        <w:t>63A</w:t>
      </w:r>
      <w:r>
        <w:t>.</w:t>
      </w:r>
      <w:r>
        <w:tab/>
        <w:t>FVRO or VRO made if certain violent personal offences committed</w:t>
      </w:r>
      <w:bookmarkEnd w:id="194"/>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297, 325, 326, 327 or 328; or</w:t>
      </w:r>
    </w:p>
    <w:p>
      <w:pPr>
        <w:pStyle w:val="Defpara"/>
      </w:pPr>
      <w:r>
        <w:tab/>
        <w:t>(b)</w:t>
      </w:r>
      <w:r>
        <w:tab/>
        <w:t xml:space="preserve">where the person committing the offence is in a family relationship with a victim of the offence — </w:t>
      </w:r>
    </w:p>
    <w:p>
      <w:pPr>
        <w:pStyle w:val="Indenti"/>
      </w:pPr>
      <w:r>
        <w:tab/>
        <w:t>(i)</w:t>
      </w:r>
      <w:r>
        <w:tab/>
        <w:t xml:space="preserve">an offence against </w:t>
      </w:r>
      <w:r>
        <w:rPr>
          <w:i/>
        </w:rPr>
        <w:t>The Criminal Code</w:t>
      </w:r>
      <w:r>
        <w:t xml:space="preserve"> section 292, 293, 294, 304(2), 320, 321, 321A, 329 or 332;</w:t>
      </w:r>
    </w:p>
    <w:p>
      <w:pPr>
        <w:pStyle w:val="Indenti"/>
      </w:pPr>
      <w:r>
        <w:tab/>
        <w:t>(ii)</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the order objects to that order being made.</w:t>
      </w:r>
    </w:p>
    <w:p>
      <w:pPr>
        <w:pStyle w:val="Footnotesection"/>
      </w:pPr>
      <w:r>
        <w:tab/>
        <w:t>[Section 63A inserted: No. 38 of 2004 s. 45; amended: No. 49 of 2016 s. 70.]</w:t>
      </w:r>
    </w:p>
    <w:p>
      <w:pPr>
        <w:pStyle w:val="Heading5"/>
      </w:pPr>
      <w:bookmarkStart w:id="195" w:name="_Toc32417610"/>
      <w:r>
        <w:rPr>
          <w:rStyle w:val="CharSectno"/>
        </w:rPr>
        <w:t>63B</w:t>
      </w:r>
      <w:r>
        <w:t>.</w:t>
      </w:r>
      <w:r>
        <w:tab/>
        <w:t>Circumstances to be taken into account when sentencing for certain offences</w:t>
      </w:r>
      <w:bookmarkEnd w:id="195"/>
    </w:p>
    <w:p>
      <w:pPr>
        <w:pStyle w:val="Subsection"/>
      </w:pPr>
      <w:r>
        <w:tab/>
        <w:t>(1)</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332, 333, 338A, 338B, 338C, 338E or 444.</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 49 of 2016 s. 71.]</w:t>
      </w:r>
    </w:p>
    <w:p>
      <w:pPr>
        <w:pStyle w:val="Heading5"/>
      </w:pPr>
      <w:bookmarkStart w:id="196" w:name="_Toc32417611"/>
      <w:r>
        <w:rPr>
          <w:rStyle w:val="CharSectno"/>
        </w:rPr>
        <w:t>63C</w:t>
      </w:r>
      <w:r>
        <w:t>.</w:t>
      </w:r>
      <w:r>
        <w:tab/>
        <w:t>Criminal and civil liability not affected by restraining orders</w:t>
      </w:r>
      <w:bookmarkEnd w:id="196"/>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197" w:name="_Toc32417612"/>
      <w:r>
        <w:rPr>
          <w:rStyle w:val="CharSectno"/>
        </w:rPr>
        <w:t>63D</w:t>
      </w:r>
      <w:r>
        <w:t>.</w:t>
      </w:r>
      <w:r>
        <w:tab/>
        <w:t>Court to give reasons for certain decisions</w:t>
      </w:r>
      <w:bookmarkEnd w:id="197"/>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198" w:name="_Toc32417613"/>
      <w:r>
        <w:rPr>
          <w:rStyle w:val="CharSectno"/>
        </w:rPr>
        <w:t>64</w:t>
      </w:r>
      <w:r>
        <w:rPr>
          <w:snapToGrid w:val="0"/>
        </w:rPr>
        <w:t>.</w:t>
      </w:r>
      <w:r>
        <w:rPr>
          <w:snapToGrid w:val="0"/>
        </w:rPr>
        <w:tab/>
        <w:t>Appeals</w:t>
      </w:r>
      <w:bookmarkEnd w:id="198"/>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199" w:name="_Toc32417614"/>
      <w:r>
        <w:rPr>
          <w:rStyle w:val="CharSectno"/>
        </w:rPr>
        <w:t>65</w:t>
      </w:r>
      <w:r>
        <w:rPr>
          <w:snapToGrid w:val="0"/>
        </w:rPr>
        <w:t>.</w:t>
      </w:r>
      <w:r>
        <w:rPr>
          <w:snapToGrid w:val="0"/>
        </w:rPr>
        <w:tab/>
        <w:t>Orders not to conflict with certain family orders</w:t>
      </w:r>
      <w:bookmarkEnd w:id="199"/>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200" w:name="_Toc32417615"/>
      <w:r>
        <w:rPr>
          <w:rStyle w:val="CharSectno"/>
        </w:rPr>
        <w:t>66</w:t>
      </w:r>
      <w:r>
        <w:rPr>
          <w:snapToGrid w:val="0"/>
        </w:rPr>
        <w:t>.</w:t>
      </w:r>
      <w:r>
        <w:rPr>
          <w:snapToGrid w:val="0"/>
        </w:rPr>
        <w:tab/>
        <w:t>Notification of family orders</w:t>
      </w:r>
      <w:bookmarkEnd w:id="200"/>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No. 38 of 2004 s. 55.]</w:t>
      </w:r>
    </w:p>
    <w:p>
      <w:pPr>
        <w:pStyle w:val="Heading5"/>
        <w:spacing w:before="180"/>
      </w:pPr>
      <w:bookmarkStart w:id="201" w:name="_Toc32417616"/>
      <w:r>
        <w:rPr>
          <w:rStyle w:val="CharSectno"/>
        </w:rPr>
        <w:t>67</w:t>
      </w:r>
      <w:r>
        <w:t>.</w:t>
      </w:r>
      <w:r>
        <w:tab/>
        <w:t>Adjournments</w:t>
      </w:r>
      <w:bookmarkEnd w:id="201"/>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202" w:name="_Toc32417617"/>
      <w:r>
        <w:rPr>
          <w:rStyle w:val="CharSectno"/>
        </w:rPr>
        <w:t>68</w:t>
      </w:r>
      <w:r>
        <w:rPr>
          <w:snapToGrid w:val="0"/>
        </w:rPr>
        <w:t>.</w:t>
      </w:r>
      <w:r>
        <w:rPr>
          <w:snapToGrid w:val="0"/>
        </w:rPr>
        <w:tab/>
        <w:t>Orders may be extended to apply to other people</w:t>
      </w:r>
      <w:bookmarkEnd w:id="202"/>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203" w:name="_Toc32417618"/>
      <w:r>
        <w:rPr>
          <w:rStyle w:val="CharSectno"/>
        </w:rPr>
        <w:t>69</w:t>
      </w:r>
      <w:r>
        <w:rPr>
          <w:snapToGrid w:val="0"/>
        </w:rPr>
        <w:t>.</w:t>
      </w:r>
      <w:r>
        <w:rPr>
          <w:snapToGrid w:val="0"/>
        </w:rPr>
        <w:tab/>
        <w:t>Costs</w:t>
      </w:r>
      <w:bookmarkEnd w:id="203"/>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204" w:name="_Toc32417619"/>
      <w:r>
        <w:rPr>
          <w:rStyle w:val="CharSectno"/>
        </w:rPr>
        <w:t>70</w:t>
      </w:r>
      <w:r>
        <w:t>.</w:t>
      </w:r>
      <w:r>
        <w:tab/>
        <w:t>Information on identity of certain person restricted</w:t>
      </w:r>
      <w:bookmarkEnd w:id="204"/>
    </w:p>
    <w:p>
      <w:pPr>
        <w:pStyle w:val="Subsection"/>
      </w:pPr>
      <w:r>
        <w:tab/>
        <w:t>(1)</w:t>
      </w:r>
      <w:r>
        <w:tab/>
        <w:t xml:space="preserve">Subject to subsection (1A) or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w:t>
      </w:r>
    </w:p>
    <w:p>
      <w:pPr>
        <w:pStyle w:val="Heading5"/>
        <w:pageBreakBefore/>
        <w:spacing w:before="0"/>
      </w:pPr>
      <w:bookmarkStart w:id="205" w:name="_Toc32417620"/>
      <w:r>
        <w:rPr>
          <w:rStyle w:val="CharSectno"/>
        </w:rPr>
        <w:t>70A</w:t>
      </w:r>
      <w:r>
        <w:t>.</w:t>
      </w:r>
      <w:r>
        <w:tab/>
        <w:t>Exchange of information</w:t>
      </w:r>
      <w:bookmarkEnd w:id="205"/>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206" w:name="_Toc32417621"/>
      <w:r>
        <w:rPr>
          <w:rStyle w:val="CharSectno"/>
        </w:rPr>
        <w:t>71</w:t>
      </w:r>
      <w:r>
        <w:rPr>
          <w:snapToGrid w:val="0"/>
        </w:rPr>
        <w:t>.</w:t>
      </w:r>
      <w:r>
        <w:rPr>
          <w:snapToGrid w:val="0"/>
        </w:rPr>
        <w:tab/>
        <w:t>Notification when firearms order made</w:t>
      </w:r>
      <w:bookmarkEnd w:id="20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No. 50 of 2003 s. 90(3); No. 49 of 2016 s. 78.]</w:t>
      </w:r>
    </w:p>
    <w:p>
      <w:pPr>
        <w:pStyle w:val="Heading5"/>
        <w:pageBreakBefore/>
        <w:spacing w:before="0"/>
        <w:rPr>
          <w:snapToGrid w:val="0"/>
        </w:rPr>
      </w:pPr>
      <w:bookmarkStart w:id="207" w:name="_Toc32417622"/>
      <w:r>
        <w:rPr>
          <w:rStyle w:val="CharSectno"/>
        </w:rPr>
        <w:t>72</w:t>
      </w:r>
      <w:r>
        <w:rPr>
          <w:snapToGrid w:val="0"/>
        </w:rPr>
        <w:t>.</w:t>
      </w:r>
      <w:r>
        <w:rPr>
          <w:snapToGrid w:val="0"/>
        </w:rPr>
        <w:tab/>
        <w:t>Practice and procedure generally</w:t>
      </w:r>
      <w:bookmarkEnd w:id="207"/>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No. 59 of 2004 s. 124.] </w:t>
      </w:r>
    </w:p>
    <w:p>
      <w:pPr>
        <w:pStyle w:val="Heading5"/>
      </w:pPr>
      <w:bookmarkStart w:id="208" w:name="_Toc32417623"/>
      <w:r>
        <w:rPr>
          <w:rStyle w:val="CharSectno"/>
        </w:rPr>
        <w:t>72A</w:t>
      </w:r>
      <w:r>
        <w:t>.</w:t>
      </w:r>
      <w:r>
        <w:tab/>
        <w:t>Forms</w:t>
      </w:r>
      <w:bookmarkEnd w:id="208"/>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209" w:name="_Toc32417624"/>
      <w:r>
        <w:rPr>
          <w:rStyle w:val="CharSectno"/>
        </w:rPr>
        <w:t>73</w:t>
      </w:r>
      <w:r>
        <w:rPr>
          <w:snapToGrid w:val="0"/>
        </w:rPr>
        <w:t>.</w:t>
      </w:r>
      <w:r>
        <w:rPr>
          <w:snapToGrid w:val="0"/>
        </w:rPr>
        <w:tab/>
        <w:t>Regulation making power</w:t>
      </w:r>
      <w:bookmarkEnd w:id="209"/>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No. 38 of 2004 s. 49; No. 49 of 2016 s. 80.]</w:t>
      </w:r>
    </w:p>
    <w:p>
      <w:pPr>
        <w:pStyle w:val="Heading5"/>
      </w:pPr>
      <w:bookmarkStart w:id="210" w:name="_Toc32417625"/>
      <w:r>
        <w:rPr>
          <w:rStyle w:val="CharSectno"/>
        </w:rPr>
        <w:t>73A</w:t>
      </w:r>
      <w:r>
        <w:t>.</w:t>
      </w:r>
      <w:r>
        <w:tab/>
        <w:t>Review of certain amendments relating to FVROs</w:t>
      </w:r>
      <w:bookmarkEnd w:id="210"/>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211" w:name="_Toc32417425"/>
      <w:bookmarkStart w:id="212" w:name="_Toc32417626"/>
      <w:r>
        <w:rPr>
          <w:rStyle w:val="CharPartNo"/>
        </w:rPr>
        <w:t>Part 7</w:t>
      </w:r>
      <w:r>
        <w:rPr>
          <w:rStyle w:val="CharDivNo"/>
        </w:rPr>
        <w:t> </w:t>
      </w:r>
      <w:r>
        <w:t>—</w:t>
      </w:r>
      <w:r>
        <w:rPr>
          <w:rStyle w:val="CharDivText"/>
        </w:rPr>
        <w:t> </w:t>
      </w:r>
      <w:r>
        <w:rPr>
          <w:rStyle w:val="CharPartText"/>
        </w:rPr>
        <w:t>Interstate restraining orders</w:t>
      </w:r>
      <w:bookmarkEnd w:id="211"/>
      <w:bookmarkEnd w:id="212"/>
      <w:r>
        <w:rPr>
          <w:rStyle w:val="CharPartText"/>
        </w:rPr>
        <w:t xml:space="preserve"> </w:t>
      </w:r>
    </w:p>
    <w:p>
      <w:pPr>
        <w:pStyle w:val="Heading5"/>
        <w:rPr>
          <w:snapToGrid w:val="0"/>
        </w:rPr>
      </w:pPr>
      <w:bookmarkStart w:id="213" w:name="_Toc32417627"/>
      <w:r>
        <w:rPr>
          <w:rStyle w:val="CharSectno"/>
        </w:rPr>
        <w:t>74</w:t>
      </w:r>
      <w:r>
        <w:rPr>
          <w:snapToGrid w:val="0"/>
        </w:rPr>
        <w:t>.</w:t>
      </w:r>
      <w:r>
        <w:rPr>
          <w:snapToGrid w:val="0"/>
        </w:rPr>
        <w:tab/>
        <w:t>Terms used</w:t>
      </w:r>
      <w:bookmarkEnd w:id="21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214" w:name="_Toc32417628"/>
      <w:r>
        <w:rPr>
          <w:rStyle w:val="CharSectno"/>
        </w:rPr>
        <w:t>74A</w:t>
      </w:r>
      <w:r>
        <w:t>.</w:t>
      </w:r>
      <w:r>
        <w:tab/>
        <w:t xml:space="preserve">Interstate DVOs under </w:t>
      </w:r>
      <w:r>
        <w:rPr>
          <w:i/>
        </w:rPr>
        <w:t xml:space="preserve">Domestic Violence Orders (National Recognition) Act 2017 </w:t>
      </w:r>
      <w:r>
        <w:t>cannot be registered</w:t>
      </w:r>
      <w:bookmarkEnd w:id="214"/>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215" w:name="_Toc32417629"/>
      <w:r>
        <w:rPr>
          <w:rStyle w:val="CharSectno"/>
        </w:rPr>
        <w:t>74B</w:t>
      </w:r>
      <w:r>
        <w:t>.</w:t>
      </w:r>
      <w:r>
        <w:tab/>
        <w:t xml:space="preserve">Interstate orders registered before commencement of </w:t>
      </w:r>
      <w:r>
        <w:rPr>
          <w:i/>
        </w:rPr>
        <w:t>Domestic Violence Orders (National Recognition) Act 2017</w:t>
      </w:r>
      <w:bookmarkEnd w:id="215"/>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216" w:name="_Toc32417630"/>
      <w:r>
        <w:rPr>
          <w:rStyle w:val="CharSectno"/>
        </w:rPr>
        <w:t>75</w:t>
      </w:r>
      <w:r>
        <w:rPr>
          <w:snapToGrid w:val="0"/>
        </w:rPr>
        <w:t>.</w:t>
      </w:r>
      <w:r>
        <w:rPr>
          <w:snapToGrid w:val="0"/>
        </w:rPr>
        <w:tab/>
        <w:t>Application for registration of interstate order</w:t>
      </w:r>
      <w:bookmarkEnd w:id="216"/>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217" w:name="_Toc32417631"/>
      <w:r>
        <w:rPr>
          <w:rStyle w:val="CharSectno"/>
        </w:rPr>
        <w:t>76</w:t>
      </w:r>
      <w:r>
        <w:rPr>
          <w:snapToGrid w:val="0"/>
        </w:rPr>
        <w:t>.</w:t>
      </w:r>
      <w:r>
        <w:rPr>
          <w:snapToGrid w:val="0"/>
        </w:rPr>
        <w:tab/>
        <w:t>Registration</w:t>
      </w:r>
      <w:bookmarkEnd w:id="217"/>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218" w:name="_Toc32417632"/>
      <w:r>
        <w:rPr>
          <w:rStyle w:val="CharSectno"/>
        </w:rPr>
        <w:t>77</w:t>
      </w:r>
      <w:r>
        <w:rPr>
          <w:snapToGrid w:val="0"/>
        </w:rPr>
        <w:t>.</w:t>
      </w:r>
      <w:r>
        <w:rPr>
          <w:snapToGrid w:val="0"/>
        </w:rPr>
        <w:tab/>
        <w:t>Effect of registration</w:t>
      </w:r>
      <w:bookmarkEnd w:id="218"/>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219" w:name="_Toc32417633"/>
      <w:r>
        <w:rPr>
          <w:rStyle w:val="CharSectno"/>
        </w:rPr>
        <w:t>78</w:t>
      </w:r>
      <w:r>
        <w:rPr>
          <w:snapToGrid w:val="0"/>
        </w:rPr>
        <w:t>.</w:t>
      </w:r>
      <w:r>
        <w:rPr>
          <w:snapToGrid w:val="0"/>
        </w:rPr>
        <w:tab/>
        <w:t>Variation or cancellation in another State or Territory</w:t>
      </w:r>
      <w:bookmarkEnd w:id="21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220" w:name="_Toc32417634"/>
      <w:r>
        <w:rPr>
          <w:rStyle w:val="CharSectno"/>
        </w:rPr>
        <w:t>79</w:t>
      </w:r>
      <w:r>
        <w:t>.</w:t>
      </w:r>
      <w:r>
        <w:tab/>
        <w:t>Variation or cancellation in this State</w:t>
      </w:r>
      <w:bookmarkEnd w:id="220"/>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21" w:name="_Toc32417434"/>
      <w:bookmarkStart w:id="222" w:name="_Toc32417635"/>
      <w:r>
        <w:rPr>
          <w:rStyle w:val="CharPartNo"/>
        </w:rPr>
        <w:t>Part 7A</w:t>
      </w:r>
      <w:r>
        <w:rPr>
          <w:rStyle w:val="CharDivNo"/>
        </w:rPr>
        <w:t xml:space="preserve"> </w:t>
      </w:r>
      <w:r>
        <w:t>—</w:t>
      </w:r>
      <w:r>
        <w:rPr>
          <w:rStyle w:val="CharDivText"/>
        </w:rPr>
        <w:t xml:space="preserve"> </w:t>
      </w:r>
      <w:r>
        <w:rPr>
          <w:rStyle w:val="CharPartText"/>
        </w:rPr>
        <w:t>Foreign restraining orders</w:t>
      </w:r>
      <w:bookmarkEnd w:id="221"/>
      <w:bookmarkEnd w:id="222"/>
    </w:p>
    <w:p>
      <w:pPr>
        <w:pStyle w:val="Footnoteheading"/>
      </w:pPr>
      <w:r>
        <w:tab/>
        <w:t>[Heading inserted: No. 11 of 1999 s. 7.]</w:t>
      </w:r>
    </w:p>
    <w:p>
      <w:pPr>
        <w:pStyle w:val="Heading5"/>
        <w:spacing w:before="120"/>
      </w:pPr>
      <w:bookmarkStart w:id="223" w:name="_Toc32417636"/>
      <w:r>
        <w:rPr>
          <w:rStyle w:val="CharSectno"/>
        </w:rPr>
        <w:t>79A</w:t>
      </w:r>
      <w:r>
        <w:t>.</w:t>
      </w:r>
      <w:r>
        <w:tab/>
        <w:t>Recognition of foreign restraining orders</w:t>
      </w:r>
      <w:bookmarkEnd w:id="223"/>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224" w:name="_Toc32417637"/>
      <w:r>
        <w:rPr>
          <w:rStyle w:val="CharSectno"/>
        </w:rPr>
        <w:t>79B</w:t>
      </w:r>
      <w:r>
        <w:t>.</w:t>
      </w:r>
      <w:r>
        <w:tab/>
        <w:t>Applying for registration of foreign restraining orders</w:t>
      </w:r>
      <w:bookmarkEnd w:id="224"/>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225" w:name="_Toc32417638"/>
      <w:r>
        <w:rPr>
          <w:rStyle w:val="CharSectno"/>
        </w:rPr>
        <w:t>79C</w:t>
      </w:r>
      <w:r>
        <w:t>.</w:t>
      </w:r>
      <w:r>
        <w:tab/>
        <w:t>Registration of foreign restraining orders</w:t>
      </w:r>
      <w:bookmarkEnd w:id="225"/>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226" w:name="_Toc32417639"/>
      <w:r>
        <w:rPr>
          <w:rStyle w:val="CharSectno"/>
        </w:rPr>
        <w:t>79D</w:t>
      </w:r>
      <w:r>
        <w:t>.</w:t>
      </w:r>
      <w:r>
        <w:tab/>
        <w:t>Effect of registration</w:t>
      </w:r>
      <w:bookmarkEnd w:id="226"/>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227" w:name="_Toc32417640"/>
      <w:r>
        <w:rPr>
          <w:rStyle w:val="CharSectno"/>
        </w:rPr>
        <w:t>79E</w:t>
      </w:r>
      <w:r>
        <w:t>.</w:t>
      </w:r>
      <w:r>
        <w:tab/>
        <w:t>Variation or cancellation in foreign country</w:t>
      </w:r>
      <w:bookmarkEnd w:id="227"/>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228" w:name="_Toc32417641"/>
      <w:r>
        <w:rPr>
          <w:rStyle w:val="CharSectno"/>
        </w:rPr>
        <w:t>79F</w:t>
      </w:r>
      <w:r>
        <w:t>.</w:t>
      </w:r>
      <w:r>
        <w:tab/>
        <w:t>Variation or cancellation in this State</w:t>
      </w:r>
      <w:bookmarkEnd w:id="228"/>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29" w:name="_Toc32417441"/>
      <w:bookmarkStart w:id="230" w:name="_Toc32417642"/>
      <w:r>
        <w:t>Notes</w:t>
      </w:r>
      <w:bookmarkEnd w:id="229"/>
      <w:bookmarkEnd w:id="230"/>
    </w:p>
    <w:p>
      <w:pPr>
        <w:pStyle w:val="nStatement"/>
      </w:pPr>
      <w:r>
        <w:t xml:space="preserve">This is a compilation of the </w:t>
      </w:r>
      <w:r>
        <w:rPr>
          <w:i/>
        </w:rPr>
        <w:fldChar w:fldCharType="begin"/>
      </w:r>
      <w:r>
        <w:rPr>
          <w:i/>
        </w:rPr>
        <w:instrText xml:space="preserve"> STYLEREF "Name Of Act/Reg"</w:instrText>
      </w:r>
      <w:r>
        <w:rPr>
          <w:i/>
        </w:rPr>
        <w:fldChar w:fldCharType="separate"/>
      </w:r>
      <w:r>
        <w:rPr>
          <w:i/>
          <w:noProof/>
        </w:rPr>
        <w:t>Restraining Orders Act 1997</w:t>
      </w:r>
      <w:r>
        <w:rPr>
          <w:i/>
        </w:rPr>
        <w:fldChar w:fldCharType="end"/>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1" w:name="_Toc32417643"/>
      <w:r>
        <w:t>Compilation table</w:t>
      </w:r>
      <w:bookmarkEnd w:id="231"/>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keepNext/>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keepNext/>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single" w:sz="4" w:space="0" w:color="auto"/>
            </w:tcBorders>
            <w:shd w:val="clear" w:color="auto" w:fill="auto"/>
          </w:tcPr>
          <w:p>
            <w:pPr>
              <w:pStyle w:val="nTable"/>
              <w:spacing w:after="40"/>
            </w:pPr>
            <w:r>
              <w:t>4 of 2019</w:t>
            </w:r>
          </w:p>
        </w:tc>
        <w:tc>
          <w:tcPr>
            <w:tcW w:w="1134" w:type="dxa"/>
            <w:tcBorders>
              <w:top w:val="nil"/>
              <w:bottom w:val="single" w:sz="4" w:space="0" w:color="auto"/>
            </w:tcBorders>
            <w:shd w:val="clear" w:color="auto" w:fill="auto"/>
          </w:tcPr>
          <w:p>
            <w:pPr>
              <w:pStyle w:val="nTable"/>
              <w:spacing w:after="40"/>
            </w:pPr>
            <w:r>
              <w:t>26 Feb 2019</w:t>
            </w:r>
          </w:p>
        </w:tc>
        <w:tc>
          <w:tcPr>
            <w:tcW w:w="2552" w:type="dxa"/>
            <w:tcBorders>
              <w:top w:val="nil"/>
              <w:bottom w:val="single" w:sz="4" w:space="0" w:color="auto"/>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bl>
    <w:p>
      <w:pPr>
        <w:pStyle w:val="nHeading3"/>
      </w:pPr>
      <w:bookmarkStart w:id="232" w:name="_Toc32417644"/>
      <w:r>
        <w:t>Uncommenced provisions table</w:t>
      </w:r>
      <w:bookmarkEnd w:id="23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single" w:sz="4" w:space="0" w:color="auto"/>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34" w:type="dxa"/>
            <w:tcBorders>
              <w:top w:val="single" w:sz="4" w:space="0" w:color="auto"/>
              <w:bottom w:val="single" w:sz="4" w:space="0" w:color="auto"/>
            </w:tcBorders>
            <w:shd w:val="clear" w:color="auto" w:fill="auto"/>
          </w:tcPr>
          <w:p>
            <w:pPr>
              <w:pStyle w:val="nTable"/>
              <w:spacing w:after="40"/>
            </w:pPr>
            <w:r>
              <w:t>20 of 2013</w:t>
            </w:r>
          </w:p>
        </w:tc>
        <w:tc>
          <w:tcPr>
            <w:tcW w:w="1134" w:type="dxa"/>
            <w:tcBorders>
              <w:top w:val="single" w:sz="4" w:space="0" w:color="auto"/>
              <w:bottom w:val="single" w:sz="4" w:space="0" w:color="auto"/>
            </w:tcBorders>
            <w:shd w:val="clear" w:color="auto" w:fill="auto"/>
          </w:tcPr>
          <w:p>
            <w:pPr>
              <w:pStyle w:val="nTable"/>
              <w:spacing w:after="40"/>
            </w:pPr>
            <w:r>
              <w:t>4 Nov 2013</w:t>
            </w:r>
          </w:p>
        </w:tc>
        <w:tc>
          <w:tcPr>
            <w:tcW w:w="2552" w:type="dxa"/>
            <w:tcBorders>
              <w:top w:val="single" w:sz="4" w:space="0" w:color="auto"/>
              <w:bottom w:val="single" w:sz="4" w:space="0" w:color="auto"/>
              <w:right w:val="nil"/>
            </w:tcBorders>
            <w:shd w:val="clear" w:color="auto" w:fill="auto"/>
          </w:tcPr>
          <w:p>
            <w:pPr>
              <w:pStyle w:val="nTable"/>
              <w:spacing w:after="40"/>
              <w:rPr>
                <w:snapToGrid w:val="0"/>
              </w:rPr>
            </w:pPr>
            <w:r>
              <w:rPr>
                <w:snapToGrid w:val="0"/>
              </w:rPr>
              <w:t>To be proclaimed (see s. 2(b))</w:t>
            </w:r>
          </w:p>
        </w:tc>
      </w:tr>
    </w:tbl>
    <w:p>
      <w:pPr>
        <w:pStyle w:val="nHeading3"/>
      </w:pPr>
      <w:bookmarkStart w:id="233" w:name="_Toc32417645"/>
      <w:r>
        <w:t>Other notes</w:t>
      </w:r>
      <w:bookmarkEnd w:id="233"/>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35" w:name="_Toc32417445"/>
      <w:bookmarkStart w:id="236" w:name="_Toc32417646"/>
      <w:r>
        <w:rPr>
          <w:sz w:val="28"/>
        </w:rPr>
        <w:t>Defined terms</w:t>
      </w:r>
      <w:bookmarkEnd w:id="235"/>
      <w:bookmarkEnd w:id="2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aid</w:t>
      </w:r>
      <w:r>
        <w:tab/>
        <w:t>61B(1)</w:t>
      </w:r>
    </w:p>
    <w:p>
      <w:pPr>
        <w:pStyle w:val="DefinedTerms"/>
      </w:pPr>
      <w:r>
        <w:t>application</w:t>
      </w:r>
      <w:r>
        <w:tab/>
        <w:t>3(1)</w:t>
      </w:r>
    </w:p>
    <w:p>
      <w:pPr>
        <w:pStyle w:val="DefinedTerms"/>
      </w:pPr>
      <w:r>
        <w:t>assault</w:t>
      </w:r>
      <w:r>
        <w:tab/>
        <w:t>3(1)</w:t>
      </w:r>
    </w:p>
    <w:p>
      <w:pPr>
        <w:pStyle w:val="DefinedTerms"/>
      </w:pPr>
      <w:r>
        <w:t>authorised magistrate</w:t>
      </w:r>
      <w:r>
        <w:tab/>
        <w:t>3(1)</w:t>
      </w:r>
    </w:p>
    <w:p>
      <w:pPr>
        <w:pStyle w:val="DefinedTerms"/>
      </w:pPr>
      <w:r>
        <w:t>authorised person</w:t>
      </w:r>
      <w:r>
        <w:tab/>
        <w:t>3(1)</w:t>
      </w:r>
    </w:p>
    <w:p>
      <w:pPr>
        <w:pStyle w:val="DefinedTerms"/>
      </w:pPr>
      <w:r>
        <w:t>behaviour change order</w:t>
      </w:r>
      <w:r>
        <w:tab/>
        <w:t>10I, 10M(1)</w:t>
      </w:r>
    </w:p>
    <w:p>
      <w:pPr>
        <w:pStyle w:val="DefinedTerms"/>
      </w:pPr>
      <w:r>
        <w:t>behaviour change programme</w:t>
      </w:r>
      <w:r>
        <w:tab/>
        <w:t>10I, 10P(2)</w:t>
      </w:r>
    </w:p>
    <w:p>
      <w:pPr>
        <w:pStyle w:val="DefinedTerms"/>
      </w:pPr>
      <w:r>
        <w:t>behaviour change programme provider</w:t>
      </w:r>
      <w:r>
        <w:tab/>
        <w:t>10I, 10P(3)</w:t>
      </w:r>
    </w:p>
    <w:p>
      <w:pPr>
        <w:pStyle w:val="DefinedTerms"/>
      </w:pPr>
      <w:r>
        <w:t>behaviour management order</w:t>
      </w:r>
      <w:r>
        <w:tab/>
        <w:t>10I</w:t>
      </w:r>
    </w:p>
    <w:p>
      <w:pPr>
        <w:pStyle w:val="DefinedTerms"/>
      </w:pPr>
      <w:r>
        <w:t>bound person</w:t>
      </w:r>
      <w:r>
        <w:tab/>
        <w:t>61B(1)</w:t>
      </w:r>
    </w:p>
    <w:p>
      <w:pPr>
        <w:pStyle w:val="DefinedTerms"/>
      </w:pPr>
      <w:r>
        <w:t>CEO (child welfare)</w:t>
      </w:r>
      <w:r>
        <w:tab/>
        <w:t>3(1)</w:t>
      </w:r>
    </w:p>
    <w:p>
      <w:pPr>
        <w:pStyle w:val="DefinedTerms"/>
      </w:pPr>
      <w:r>
        <w:t>child</w:t>
      </w:r>
      <w:r>
        <w:tab/>
        <w:t>3(1)</w:t>
      </w:r>
    </w:p>
    <w:p>
      <w:pPr>
        <w:pStyle w:val="DefinedTerms"/>
      </w:pPr>
      <w:r>
        <w:t>child welfare law</w:t>
      </w:r>
      <w:r>
        <w:tab/>
        <w:t>50B(4)</w:t>
      </w:r>
    </w:p>
    <w:p>
      <w:pPr>
        <w:pStyle w:val="DefinedTerms"/>
      </w:pPr>
      <w:r>
        <w:t>child welfare officer</w:t>
      </w:r>
      <w:r>
        <w:tab/>
        <w:t>3(1)</w:t>
      </w:r>
    </w:p>
    <w:p>
      <w:pPr>
        <w:pStyle w:val="DefinedTerms"/>
      </w:pPr>
      <w:r>
        <w:t>co</w:t>
      </w:r>
      <w:r>
        <w:noBreakHyphen/>
        <w:t>licensee</w:t>
      </w:r>
      <w:r>
        <w:tab/>
        <w:t>71(2)(a)(iii)</w:t>
      </w:r>
    </w:p>
    <w:p>
      <w:pPr>
        <w:pStyle w:val="DefinedTerms"/>
      </w:pPr>
      <w:r>
        <w:t>Commissioner of Police</w:t>
      </w:r>
      <w:r>
        <w:tab/>
        <w:t>3(1)</w:t>
      </w:r>
    </w:p>
    <w:p>
      <w:pPr>
        <w:pStyle w:val="DefinedTerms"/>
      </w:pPr>
      <w:r>
        <w:t>conduct agreement</w:t>
      </w:r>
      <w:r>
        <w:tab/>
        <w:t>10H(1)</w:t>
      </w:r>
    </w:p>
    <w:p>
      <w:pPr>
        <w:pStyle w:val="DefinedTerms"/>
      </w:pPr>
      <w:r>
        <w:t>conduct agreement order</w:t>
      </w:r>
      <w:r>
        <w:tab/>
        <w:t>3(1), 10H(1)</w:t>
      </w:r>
    </w:p>
    <w:p>
      <w:pPr>
        <w:pStyle w:val="DefinedTerms"/>
      </w:pPr>
      <w:r>
        <w:t>consent order</w:t>
      </w:r>
      <w:r>
        <w:tab/>
        <w:t>3(1)</w:t>
      </w:r>
    </w:p>
    <w:p>
      <w:pPr>
        <w:pStyle w:val="DefinedTerms"/>
      </w:pPr>
      <w:r>
        <w:t>conviction</w:t>
      </w:r>
      <w:r>
        <w:tab/>
        <w:t>61A(1)</w:t>
      </w:r>
    </w:p>
    <w:p>
      <w:pPr>
        <w:pStyle w:val="DefinedTerms"/>
      </w:pPr>
      <w:r>
        <w:t>corresponding law</w:t>
      </w:r>
      <w:r>
        <w:tab/>
        <w:t>3(1)</w:t>
      </w:r>
    </w:p>
    <w:p>
      <w:pPr>
        <w:pStyle w:val="DefinedTerms"/>
      </w:pPr>
      <w:r>
        <w:t>court</w:t>
      </w:r>
      <w:r>
        <w:tab/>
        <w:t>3(1), 10I</w:t>
      </w:r>
    </w:p>
    <w:p>
      <w:pPr>
        <w:pStyle w:val="DefinedTerms"/>
      </w:pPr>
      <w:r>
        <w:t>cyber</w:t>
      </w:r>
      <w:r>
        <w:noBreakHyphen/>
        <w:t>stalking</w:t>
      </w:r>
      <w:r>
        <w:tab/>
        <w:t>3(1)</w:t>
      </w:r>
    </w:p>
    <w:p>
      <w:pPr>
        <w:pStyle w:val="DefinedTerms"/>
      </w:pPr>
      <w:r>
        <w:t>distributes</w:t>
      </w:r>
      <w:r>
        <w:tab/>
        <w:t>3(1)</w:t>
      </w:r>
    </w:p>
    <w:p>
      <w:pPr>
        <w:pStyle w:val="DefinedTerms"/>
      </w:pPr>
      <w:r>
        <w:t>earlier order</w:t>
      </w:r>
      <w:r>
        <w:tab/>
        <w:t>32(5)</w:t>
      </w:r>
    </w:p>
    <w:p>
      <w:pPr>
        <w:pStyle w:val="DefinedTerms"/>
      </w:pPr>
      <w:r>
        <w:t>eligibility assessment interview</w:t>
      </w:r>
      <w:r>
        <w:tab/>
        <w:t>10I, 10L(1)(b)</w:t>
      </w:r>
    </w:p>
    <w:p>
      <w:pPr>
        <w:pStyle w:val="DefinedTerms"/>
      </w:pPr>
      <w:r>
        <w:t>eligibility assessment order</w:t>
      </w:r>
      <w:r>
        <w:tab/>
        <w:t>10I</w:t>
      </w:r>
    </w:p>
    <w:p>
      <w:pPr>
        <w:pStyle w:val="DefinedTerms"/>
      </w:pPr>
      <w:r>
        <w:t>eligibility assessment report</w:t>
      </w:r>
      <w:r>
        <w:tab/>
        <w:t>10I, 10L(1)(a)</w:t>
      </w:r>
    </w:p>
    <w:p>
      <w:pPr>
        <w:pStyle w:val="DefinedTerms"/>
      </w:pPr>
      <w:r>
        <w:t>eligibility assessor</w:t>
      </w:r>
      <w:r>
        <w:tab/>
        <w:t>10I, 10P(1)</w:t>
      </w:r>
    </w:p>
    <w:p>
      <w:pPr>
        <w:pStyle w:val="DefinedTerms"/>
      </w:pPr>
      <w:r>
        <w:t>exposed</w:t>
      </w:r>
      <w:r>
        <w:tab/>
        <w:t>3(1), 6A(1)</w:t>
      </w:r>
    </w:p>
    <w:p>
      <w:pPr>
        <w:pStyle w:val="DefinedTerms"/>
      </w:pPr>
      <w:r>
        <w:t>family member</w:t>
      </w:r>
      <w:r>
        <w:tab/>
        <w:t>3(1), 4(3)</w:t>
      </w:r>
    </w:p>
    <w:p>
      <w:pPr>
        <w:pStyle w:val="DefinedTerms"/>
      </w:pPr>
      <w:r>
        <w:t>family order</w:t>
      </w:r>
      <w:r>
        <w:tab/>
        <w:t>3(1), 5(1)</w:t>
      </w:r>
    </w:p>
    <w:p>
      <w:pPr>
        <w:pStyle w:val="DefinedTerms"/>
      </w:pPr>
      <w:r>
        <w:t>family relationship</w:t>
      </w:r>
      <w:r>
        <w:tab/>
        <w:t>4(1)</w:t>
      </w:r>
    </w:p>
    <w:p>
      <w:pPr>
        <w:pStyle w:val="DefinedTerms"/>
      </w:pPr>
      <w:r>
        <w:t>family violence</w:t>
      </w:r>
      <w:r>
        <w:tab/>
        <w:t>3(1), 5A(1)</w:t>
      </w:r>
    </w:p>
    <w:p>
      <w:pPr>
        <w:pStyle w:val="DefinedTerms"/>
      </w:pPr>
      <w:r>
        <w:t>family violence restraining order</w:t>
      </w:r>
      <w:r>
        <w:tab/>
        <w:t>3(1)</w:t>
      </w:r>
    </w:p>
    <w:p>
      <w:pPr>
        <w:pStyle w:val="DefinedTerms"/>
      </w:pPr>
      <w:r>
        <w:t>final order</w:t>
      </w:r>
      <w:r>
        <w:tab/>
        <w:t>3(1)</w:t>
      </w:r>
    </w:p>
    <w:p>
      <w:pPr>
        <w:pStyle w:val="DefinedTerms"/>
      </w:pPr>
      <w:r>
        <w:t>final order hearing</w:t>
      </w:r>
      <w:r>
        <w:tab/>
        <w:t>3(1)</w:t>
      </w:r>
    </w:p>
    <w:p>
      <w:pPr>
        <w:pStyle w:val="DefinedTerms"/>
      </w:pPr>
      <w:r>
        <w:t>firearm</w:t>
      </w:r>
      <w:r>
        <w:tab/>
        <w:t>3(1)</w:t>
      </w:r>
    </w:p>
    <w:p>
      <w:pPr>
        <w:pStyle w:val="DefinedTerms"/>
      </w:pPr>
      <w:r>
        <w:t>firearms licence</w:t>
      </w:r>
      <w:r>
        <w:tab/>
        <w:t>3(1)</w:t>
      </w:r>
    </w:p>
    <w:p>
      <w:pPr>
        <w:pStyle w:val="DefinedTerms"/>
      </w:pPr>
      <w:r>
        <w:t>firearms order</w:t>
      </w:r>
      <w:r>
        <w:tab/>
        <w:t>71(1)</w:t>
      </w:r>
    </w:p>
    <w:p>
      <w:pPr>
        <w:pStyle w:val="DefinedTerms"/>
      </w:pPr>
      <w:r>
        <w:t>fix a hearing</w:t>
      </w:r>
      <w:r>
        <w:tab/>
        <w:t>3(1)</w:t>
      </w:r>
    </w:p>
    <w:p>
      <w:pPr>
        <w:pStyle w:val="DefinedTerms"/>
      </w:pPr>
      <w:r>
        <w:t>foreign restraining order</w:t>
      </w:r>
      <w:r>
        <w:tab/>
        <w:t>3(1)</w:t>
      </w:r>
    </w:p>
    <w:p>
      <w:pPr>
        <w:pStyle w:val="DefinedTerms"/>
      </w:pPr>
      <w:r>
        <w:t>FVRO</w:t>
      </w:r>
      <w:r>
        <w:tab/>
        <w:t>3(2)</w:t>
      </w:r>
    </w:p>
    <w:p>
      <w:pPr>
        <w:pStyle w:val="DefinedTerms"/>
      </w:pPr>
      <w:r>
        <w:t>imagined personal relationship</w:t>
      </w:r>
      <w:r>
        <w:tab/>
        <w:t>3(1)</w:t>
      </w:r>
    </w:p>
    <w:p>
      <w:pPr>
        <w:pStyle w:val="DefinedTerms"/>
      </w:pPr>
      <w:r>
        <w:t>inform the court</w:t>
      </w:r>
      <w:r>
        <w:tab/>
        <w:t>66(1)</w:t>
      </w:r>
    </w:p>
    <w:p>
      <w:pPr>
        <w:pStyle w:val="DefinedTerms"/>
      </w:pPr>
      <w:r>
        <w:t>interested party</w:t>
      </w:r>
      <w:r>
        <w:tab/>
        <w:t>70A(1)</w:t>
      </w:r>
    </w:p>
    <w:p>
      <w:pPr>
        <w:pStyle w:val="DefinedTerms"/>
      </w:pPr>
      <w:r>
        <w:t>interim order</w:t>
      </w:r>
      <w:r>
        <w:tab/>
        <w:t>3(1)</w:t>
      </w:r>
    </w:p>
    <w:p>
      <w:pPr>
        <w:pStyle w:val="DefinedTerms"/>
      </w:pPr>
      <w:r>
        <w:t>interstate order</w:t>
      </w:r>
      <w:r>
        <w:tab/>
        <w:t>74</w:t>
      </w:r>
    </w:p>
    <w:p>
      <w:pPr>
        <w:pStyle w:val="DefinedTerms"/>
      </w:pPr>
      <w:r>
        <w:t>intimate image</w:t>
      </w:r>
      <w:r>
        <w:tab/>
        <w:t>3(1)</w:t>
      </w:r>
    </w:p>
    <w:p>
      <w:pPr>
        <w:pStyle w:val="DefinedTerms"/>
      </w:pPr>
      <w:r>
        <w:t>kidnapping, or depriving the liberty of</w:t>
      </w:r>
      <w:r>
        <w:tab/>
        <w:t>3(1)</w:t>
      </w:r>
    </w:p>
    <w:p>
      <w:pPr>
        <w:pStyle w:val="DefinedTerms"/>
      </w:pPr>
      <w:r>
        <w:t>legal practitioner</w:t>
      </w:r>
      <w:r>
        <w:tab/>
        <w:t>3(1)</w:t>
      </w:r>
    </w:p>
    <w:p>
      <w:pPr>
        <w:pStyle w:val="DefinedTerms"/>
      </w:pPr>
      <w:r>
        <w:t>mention hearing</w:t>
      </w:r>
      <w:r>
        <w:tab/>
        <w:t>3(1)</w:t>
      </w:r>
    </w:p>
    <w:p>
      <w:pPr>
        <w:pStyle w:val="DefinedTerms"/>
      </w:pPr>
      <w:r>
        <w:t>misconduct restraining order</w:t>
      </w:r>
      <w:r>
        <w:tab/>
        <w:t>3(1)</w:t>
      </w:r>
    </w:p>
    <w:p>
      <w:pPr>
        <w:pStyle w:val="DefinedTerms"/>
      </w:pPr>
      <w:r>
        <w:t>MRO</w:t>
      </w:r>
      <w:r>
        <w:tab/>
        <w:t>3(2)</w:t>
      </w:r>
    </w:p>
    <w:p>
      <w:pPr>
        <w:pStyle w:val="DefinedTerms"/>
      </w:pPr>
      <w:r>
        <w:t>order</w:t>
      </w:r>
      <w:r>
        <w:tab/>
        <w:t>61B(1)</w:t>
      </w:r>
    </w:p>
    <w:p>
      <w:pPr>
        <w:pStyle w:val="DefinedTerms"/>
      </w:pPr>
      <w:r>
        <w:t>other personal relationship</w:t>
      </w:r>
      <w:r>
        <w:tab/>
        <w:t>4(2)</w:t>
      </w:r>
    </w:p>
    <w:p>
      <w:pPr>
        <w:pStyle w:val="DefinedTerms"/>
      </w:pPr>
      <w:r>
        <w:t>person protected</w:t>
      </w:r>
      <w:r>
        <w:tab/>
        <w:t>3(1)</w:t>
      </w:r>
    </w:p>
    <w:p>
      <w:pPr>
        <w:pStyle w:val="DefinedTerms"/>
      </w:pPr>
      <w:r>
        <w:t>person seeking to be protected</w:t>
      </w:r>
      <w:r>
        <w:tab/>
        <w:t>3(1)</w:t>
      </w:r>
    </w:p>
    <w:p>
      <w:pPr>
        <w:pStyle w:val="DefinedTerms"/>
      </w:pPr>
      <w:r>
        <w:t>person who is bound</w:t>
      </w:r>
      <w:r>
        <w:tab/>
        <w:t>3(1)</w:t>
      </w:r>
    </w:p>
    <w:p>
      <w:pPr>
        <w:pStyle w:val="DefinedTerms"/>
      </w:pPr>
      <w:r>
        <w:t>personal violence</w:t>
      </w:r>
      <w:r>
        <w:tab/>
        <w:t>3(1), 6(2)</w:t>
      </w:r>
    </w:p>
    <w:p>
      <w:pPr>
        <w:pStyle w:val="DefinedTerms"/>
      </w:pPr>
      <w:r>
        <w:t>police order</w:t>
      </w:r>
      <w:r>
        <w:tab/>
        <w:t>3(1)</w:t>
      </w:r>
    </w:p>
    <w:p>
      <w:pPr>
        <w:pStyle w:val="DefinedTerms"/>
      </w:pPr>
      <w:r>
        <w:t>prepare and serve</w:t>
      </w:r>
      <w:r>
        <w:tab/>
        <w:t>3(1)</w:t>
      </w:r>
    </w:p>
    <w:p>
      <w:pPr>
        <w:pStyle w:val="DefinedTerms"/>
      </w:pPr>
      <w:r>
        <w:t>prescribed form</w:t>
      </w:r>
      <w:r>
        <w:tab/>
        <w:t>3(1)</w:t>
      </w:r>
    </w:p>
    <w:p>
      <w:pPr>
        <w:pStyle w:val="DefinedTerms"/>
      </w:pPr>
      <w:r>
        <w:t>prescribed information</w:t>
      </w:r>
      <w:r>
        <w:tab/>
        <w:t>70A(1)</w:t>
      </w:r>
    </w:p>
    <w:p>
      <w:pPr>
        <w:pStyle w:val="DefinedTerms"/>
      </w:pPr>
      <w:r>
        <w:t>previous offences</w:t>
      </w:r>
      <w:r>
        <w:tab/>
        <w:t>61A(2)(b)</w:t>
      </w:r>
    </w:p>
    <w:p>
      <w:pPr>
        <w:pStyle w:val="DefinedTerms"/>
      </w:pPr>
      <w:r>
        <w:t>prisoner</w:t>
      </w:r>
      <w:r>
        <w:tab/>
        <w:t>16A(1)</w:t>
      </w:r>
    </w:p>
    <w:p>
      <w:pPr>
        <w:pStyle w:val="DefinedTerms"/>
      </w:pPr>
      <w:r>
        <w:t>proceeding</w:t>
      </w:r>
      <w:r>
        <w:tab/>
        <w:t>10I</w:t>
      </w:r>
    </w:p>
    <w:p>
      <w:pPr>
        <w:pStyle w:val="DefinedTerms"/>
      </w:pPr>
      <w:r>
        <w:t>proceedings under this Act</w:t>
      </w:r>
      <w:r>
        <w:tab/>
        <w:t>3(1)</w:t>
      </w:r>
    </w:p>
    <w:p>
      <w:pPr>
        <w:pStyle w:val="DefinedTerms"/>
      </w:pPr>
      <w:r>
        <w:t>property</w:t>
      </w:r>
      <w:r>
        <w:tab/>
        <w:t>3(1)</w:t>
      </w:r>
    </w:p>
    <w:p>
      <w:pPr>
        <w:pStyle w:val="DefinedTerms"/>
      </w:pPr>
      <w:r>
        <w:t>protected person</w:t>
      </w:r>
      <w:r>
        <w:tab/>
        <w:t>61B(1)</w:t>
      </w:r>
    </w:p>
    <w:p>
      <w:pPr>
        <w:pStyle w:val="DefinedTerms"/>
      </w:pPr>
      <w:r>
        <w:t>registered</w:t>
      </w:r>
      <w:r>
        <w:tab/>
        <w:t>3(1)</w:t>
      </w:r>
    </w:p>
    <w:p>
      <w:pPr>
        <w:pStyle w:val="DefinedTerms"/>
      </w:pPr>
      <w:r>
        <w:t>registered order</w:t>
      </w:r>
      <w:r>
        <w:tab/>
        <w:t>74</w:t>
      </w:r>
    </w:p>
    <w:p>
      <w:pPr>
        <w:pStyle w:val="DefinedTerms"/>
      </w:pPr>
      <w:r>
        <w:t>registrar</w:t>
      </w:r>
      <w:r>
        <w:tab/>
        <w:t>3(1), 74</w:t>
      </w:r>
    </w:p>
    <w:p>
      <w:pPr>
        <w:pStyle w:val="DefinedTerms"/>
      </w:pPr>
      <w:r>
        <w:t>related</w:t>
      </w:r>
      <w:r>
        <w:tab/>
        <w:t>4(2)</w:t>
      </w:r>
    </w:p>
    <w:p>
      <w:pPr>
        <w:pStyle w:val="DefinedTerms"/>
      </w:pPr>
      <w:r>
        <w:t>relevant offence</w:t>
      </w:r>
      <w:r>
        <w:tab/>
        <w:t>61A(2)(a)</w:t>
      </w:r>
    </w:p>
    <w:p>
      <w:pPr>
        <w:pStyle w:val="DefinedTerms"/>
      </w:pPr>
      <w:r>
        <w:t>remote communication</w:t>
      </w:r>
      <w:r>
        <w:tab/>
        <w:t>62D(8)</w:t>
      </w:r>
    </w:p>
    <w:p>
      <w:pPr>
        <w:pStyle w:val="DefinedTerms"/>
      </w:pPr>
      <w:r>
        <w:t>representation</w:t>
      </w:r>
      <w:r>
        <w:tab/>
        <w:t>44A(3), 53E(4)</w:t>
      </w:r>
    </w:p>
    <w:p>
      <w:pPr>
        <w:pStyle w:val="DefinedTerms"/>
      </w:pPr>
      <w:r>
        <w:t>respondent</w:t>
      </w:r>
      <w:r>
        <w:tab/>
        <w:t>3(1), 31A, 43A(1)</w:t>
      </w:r>
    </w:p>
    <w:p>
      <w:pPr>
        <w:pStyle w:val="DefinedTerms"/>
      </w:pPr>
      <w:r>
        <w:t>responsible person</w:t>
      </w:r>
      <w:r>
        <w:tab/>
        <w:t>71(1)</w:t>
      </w:r>
    </w:p>
    <w:p>
      <w:pPr>
        <w:pStyle w:val="DefinedTerms"/>
      </w:pPr>
      <w:r>
        <w:t>restrained person</w:t>
      </w:r>
      <w:r>
        <w:tab/>
        <w:t>71(1)</w:t>
      </w:r>
    </w:p>
    <w:p>
      <w:pPr>
        <w:pStyle w:val="DefinedTerms"/>
      </w:pPr>
      <w:r>
        <w:t>restraining order</w:t>
      </w:r>
      <w:r>
        <w:tab/>
        <w:t>3(1)</w:t>
      </w:r>
    </w:p>
    <w:p>
      <w:pPr>
        <w:pStyle w:val="DefinedTerms"/>
      </w:pPr>
      <w:r>
        <w:t>review date</w:t>
      </w:r>
      <w:r>
        <w:tab/>
        <w:t>73A(1)</w:t>
      </w:r>
    </w:p>
    <w:p>
      <w:pPr>
        <w:pStyle w:val="DefinedTerms"/>
      </w:pPr>
      <w:r>
        <w:t>satisfied</w:t>
      </w:r>
      <w:r>
        <w:tab/>
        <w:t>3(1)</w:t>
      </w:r>
    </w:p>
    <w:p>
      <w:pPr>
        <w:pStyle w:val="DefinedTerms"/>
      </w:pPr>
      <w:r>
        <w:t>senior officer</w:t>
      </w:r>
      <w:r>
        <w:tab/>
        <w:t>62D(8)</w:t>
      </w:r>
    </w:p>
    <w:p>
      <w:pPr>
        <w:pStyle w:val="DefinedTerms"/>
      </w:pPr>
      <w:r>
        <w:t>sexual assault</w:t>
      </w:r>
      <w:r>
        <w:tab/>
        <w:t>3(1)</w:t>
      </w:r>
    </w:p>
    <w:p>
      <w:pPr>
        <w:pStyle w:val="DefinedTerms"/>
      </w:pPr>
      <w:r>
        <w:t>specified</w:t>
      </w:r>
      <w:r>
        <w:tab/>
        <w:t>3(1)</w:t>
      </w:r>
    </w:p>
    <w:p>
      <w:pPr>
        <w:pStyle w:val="DefinedTerms"/>
      </w:pPr>
      <w:r>
        <w:t>stalking</w:t>
      </w:r>
      <w:r>
        <w:tab/>
        <w:t>3(1)</w:t>
      </w:r>
    </w:p>
    <w:p>
      <w:pPr>
        <w:pStyle w:val="DefinedTerms"/>
      </w:pPr>
      <w:r>
        <w:t>telephone application</w:t>
      </w:r>
      <w:r>
        <w:tab/>
        <w:t>3(1)</w:t>
      </w:r>
    </w:p>
    <w:p>
      <w:pPr>
        <w:pStyle w:val="DefinedTerms"/>
      </w:pPr>
      <w:r>
        <w:t>telephone order</w:t>
      </w:r>
      <w:r>
        <w:tab/>
        <w:t>3(1)</w:t>
      </w:r>
    </w:p>
    <w:p>
      <w:pPr>
        <w:pStyle w:val="DefinedTerms"/>
      </w:pPr>
      <w:r>
        <w:t>third party</w:t>
      </w:r>
      <w:r>
        <w:tab/>
        <w:t>68(1)</w:t>
      </w:r>
    </w:p>
    <w:p>
      <w:pPr>
        <w:pStyle w:val="DefinedTerms"/>
      </w:pPr>
      <w:r>
        <w:t>under this Act</w:t>
      </w:r>
      <w:r>
        <w:tab/>
        <w:t>70(4)</w:t>
      </w:r>
    </w:p>
    <w:p>
      <w:pPr>
        <w:pStyle w:val="DefinedTerms"/>
      </w:pPr>
      <w:r>
        <w:t>variation or cancellation order</w:t>
      </w:r>
      <w:r>
        <w:tab/>
        <w:t>10I, 10T(1)</w:t>
      </w:r>
    </w:p>
    <w:p>
      <w:pPr>
        <w:pStyle w:val="DefinedTerms"/>
      </w:pPr>
      <w:r>
        <w:t>victim</w:t>
      </w:r>
      <w:r>
        <w:tab/>
        <w:t>10V(2)(c)</w:t>
      </w:r>
    </w:p>
    <w:p>
      <w:pPr>
        <w:pStyle w:val="DefinedTerms"/>
      </w:pPr>
      <w:r>
        <w:t>video link</w:t>
      </w:r>
      <w:r>
        <w:tab/>
        <w:t>53B(4)</w:t>
      </w:r>
    </w:p>
    <w:p>
      <w:pPr>
        <w:pStyle w:val="DefinedTerms"/>
      </w:pPr>
      <w:r>
        <w:t>violence restraining order</w:t>
      </w:r>
      <w:r>
        <w:tab/>
        <w:t>3(1)</w:t>
      </w:r>
    </w:p>
    <w:p>
      <w:pPr>
        <w:pStyle w:val="DefinedTerms"/>
      </w:pPr>
      <w:r>
        <w:t>violent personal offence</w:t>
      </w:r>
      <w:r>
        <w:tab/>
        <w:t>63A(1A), 63B(1)</w:t>
      </w:r>
    </w:p>
    <w:p>
      <w:pPr>
        <w:pStyle w:val="DefinedTerms"/>
      </w:pPr>
      <w:r>
        <w:t>VRO</w:t>
      </w:r>
      <w:r>
        <w:tab/>
        <w:t>3(2)</w:t>
      </w:r>
    </w:p>
    <w:p>
      <w:pPr>
        <w:pStyle w:val="DefinedTerms"/>
      </w:pPr>
      <w:r>
        <w:t>wellbeing</w:t>
      </w:r>
      <w:r>
        <w:tab/>
        <w:t>3(1)</w:t>
      </w:r>
    </w:p>
    <w:p>
      <w:pPr>
        <w:pStyle w:val="DefinedTerms"/>
      </w:pPr>
      <w:r>
        <w:t>written reasons</w:t>
      </w:r>
      <w:r>
        <w:tab/>
        <w:t>61A(8), 67(3A)</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7" w:name="DefinedTerms"/>
    <w:bookmarkEnd w:id="23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8" w:name="Coversheet"/>
    <w:bookmarkEnd w:id="2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62208"/>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71277-6B0D-4887-9C3E-C88825F7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38309</Words>
  <Characters>176988</Characters>
  <Application>Microsoft Office Word</Application>
  <DocSecurity>0</DocSecurity>
  <Lines>4783</Lines>
  <Paragraphs>2949</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1997 - 05-c0-01</dc:title>
  <dc:subject/>
  <dc:creator/>
  <cp:keywords/>
  <dc:description/>
  <cp:lastModifiedBy>svcMRProcess</cp:lastModifiedBy>
  <cp:revision>4</cp:revision>
  <cp:lastPrinted>2019-02-27T04:33:00Z</cp:lastPrinted>
  <dcterms:created xsi:type="dcterms:W3CDTF">2020-02-25T03:58:00Z</dcterms:created>
  <dcterms:modified xsi:type="dcterms:W3CDTF">2020-02-25T03:58:00Z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20190415</vt:lpwstr>
  </property>
  <property fmtid="{D5CDD505-2E9C-101B-9397-08002B2CF9AE}" pid="8" name="AsAtDate">
    <vt:lpwstr>15 Apr 2019</vt:lpwstr>
  </property>
  <property fmtid="{D5CDD505-2E9C-101B-9397-08002B2CF9AE}" pid="9" name="Suffix">
    <vt:lpwstr>05-c0-01</vt:lpwstr>
  </property>
</Properties>
</file>