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_Toc27476078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_Toc27476079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_Toc27476080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Return of containers</w:t>
      </w:r>
    </w:p>
    <w:p>
      <w:pPr>
        <w:pStyle w:val="TOC8"/>
        <w:rPr>
          <w:rFonts w:asciiTheme="minorHAnsi" w:eastAsiaTheme="minorEastAsia" w:hAnsiTheme="minorHAnsi" w:cstheme="minorBidi"/>
          <w:szCs w:val="22"/>
        </w:rPr>
      </w:pPr>
      <w:r>
        <w:t>4.</w:t>
      </w:r>
      <w:r>
        <w:tab/>
        <w:t>Eligibility criteria for refund point operators</w:t>
      </w:r>
      <w:r>
        <w:tab/>
      </w:r>
      <w:r>
        <w:fldChar w:fldCharType="begin"/>
      </w:r>
      <w:r>
        <w:instrText xml:space="preserve"> PAGEREF _Toc27476082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Coordinator of the scheme</w:t>
      </w:r>
    </w:p>
    <w:p>
      <w:pPr>
        <w:pStyle w:val="TOC4"/>
        <w:tabs>
          <w:tab w:val="right" w:leader="dot" w:pos="7077"/>
        </w:tabs>
        <w:rPr>
          <w:rFonts w:asciiTheme="minorHAnsi" w:eastAsiaTheme="minorEastAsia" w:hAnsiTheme="minorHAnsi" w:cstheme="minorBidi"/>
          <w:b w:val="0"/>
          <w:szCs w:val="22"/>
        </w:rPr>
      </w:pPr>
      <w:r>
        <w:t>Division 1 — Appointment of Coordinator of the scheme</w:t>
      </w:r>
    </w:p>
    <w:p>
      <w:pPr>
        <w:pStyle w:val="TOC8"/>
        <w:rPr>
          <w:rFonts w:asciiTheme="minorHAnsi" w:eastAsiaTheme="minorEastAsia" w:hAnsiTheme="minorHAnsi" w:cstheme="minorBidi"/>
          <w:szCs w:val="22"/>
        </w:rPr>
      </w:pPr>
      <w:r>
        <w:t>5.</w:t>
      </w:r>
      <w:r>
        <w:tab/>
        <w:t>Approval of board members</w:t>
      </w:r>
      <w:r>
        <w:tab/>
      </w:r>
      <w:r>
        <w:fldChar w:fldCharType="begin"/>
      </w:r>
      <w:r>
        <w:instrText xml:space="preserve"> PAGEREF _Toc27476085 \h </w:instrText>
      </w:r>
      <w:r>
        <w:fldChar w:fldCharType="separate"/>
      </w:r>
      <w:r>
        <w:t>5</w:t>
      </w:r>
      <w:r>
        <w:fldChar w:fldCharType="end"/>
      </w:r>
    </w:p>
    <w:p>
      <w:pPr>
        <w:pStyle w:val="TOC8"/>
        <w:rPr>
          <w:rFonts w:asciiTheme="minorHAnsi" w:eastAsiaTheme="minorEastAsia" w:hAnsiTheme="minorHAnsi" w:cstheme="minorBidi"/>
          <w:szCs w:val="22"/>
        </w:rPr>
      </w:pPr>
      <w:r>
        <w:t>6.</w:t>
      </w:r>
      <w:r>
        <w:tab/>
        <w:t>Conditions of appointment of Coordinator</w:t>
      </w:r>
      <w:r>
        <w:tab/>
      </w:r>
      <w:r>
        <w:fldChar w:fldCharType="begin"/>
      </w:r>
      <w:r>
        <w:instrText xml:space="preserve"> PAGEREF _Toc27476086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Coordinator</w:t>
      </w:r>
      <w:r>
        <w:tab/>
      </w:r>
      <w:r>
        <w:fldChar w:fldCharType="begin"/>
      </w:r>
      <w:r>
        <w:instrText xml:space="preserve"> PAGEREF _Toc27476087 \h </w:instrText>
      </w:r>
      <w:r>
        <w:fldChar w:fldCharType="separate"/>
      </w:r>
      <w:r>
        <w:t>5</w:t>
      </w:r>
      <w:r>
        <w:fldChar w:fldCharType="end"/>
      </w:r>
    </w:p>
    <w:p>
      <w:pPr>
        <w:pStyle w:val="TOC8"/>
        <w:rPr>
          <w:rFonts w:asciiTheme="minorHAnsi" w:eastAsiaTheme="minorEastAsia" w:hAnsiTheme="minorHAnsi" w:cstheme="minorBidi"/>
          <w:szCs w:val="22"/>
        </w:rPr>
      </w:pPr>
      <w:r>
        <w:t>8.</w:t>
      </w:r>
      <w:r>
        <w:tab/>
        <w:t>Performance of Coordinator’s functions in relation to refund points</w:t>
      </w:r>
      <w:r>
        <w:tab/>
      </w:r>
      <w:r>
        <w:fldChar w:fldCharType="begin"/>
      </w:r>
      <w:r>
        <w:instrText xml:space="preserve"> PAGEREF _Toc27476088 \h </w:instrText>
      </w:r>
      <w:r>
        <w:fldChar w:fldCharType="separate"/>
      </w:r>
      <w:r>
        <w:t>6</w:t>
      </w:r>
      <w:r>
        <w:fldChar w:fldCharType="end"/>
      </w:r>
    </w:p>
    <w:p>
      <w:pPr>
        <w:pStyle w:val="TOC8"/>
        <w:rPr>
          <w:rFonts w:asciiTheme="minorHAnsi" w:eastAsiaTheme="minorEastAsia" w:hAnsiTheme="minorHAnsi" w:cstheme="minorBidi"/>
          <w:szCs w:val="22"/>
        </w:rPr>
      </w:pPr>
      <w:r>
        <w:t>9.</w:t>
      </w:r>
      <w:r>
        <w:tab/>
        <w:t>Performance of Coordinator’s function in relation to supply agreements</w:t>
      </w:r>
      <w:r>
        <w:tab/>
      </w:r>
      <w:r>
        <w:fldChar w:fldCharType="begin"/>
      </w:r>
      <w:r>
        <w:instrText xml:space="preserve"> PAGEREF _Toc27476089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Coordinator performance targets</w:t>
      </w:r>
    </w:p>
    <w:p>
      <w:pPr>
        <w:pStyle w:val="TOC8"/>
        <w:rPr>
          <w:rFonts w:asciiTheme="minorHAnsi" w:eastAsiaTheme="minorEastAsia" w:hAnsiTheme="minorHAnsi" w:cstheme="minorBidi"/>
          <w:szCs w:val="22"/>
        </w:rPr>
      </w:pPr>
      <w:r>
        <w:t>10.</w:t>
      </w:r>
      <w:r>
        <w:tab/>
        <w:t>Container recovery rate: preliminary years</w:t>
      </w:r>
      <w:r>
        <w:tab/>
      </w:r>
      <w:r>
        <w:fldChar w:fldCharType="begin"/>
      </w:r>
      <w:r>
        <w:instrText xml:space="preserve"> PAGEREF _Toc27476091 \h </w:instrText>
      </w:r>
      <w:r>
        <w:fldChar w:fldCharType="separate"/>
      </w:r>
      <w:r>
        <w:t>7</w:t>
      </w:r>
      <w:r>
        <w:fldChar w:fldCharType="end"/>
      </w:r>
    </w:p>
    <w:p>
      <w:pPr>
        <w:pStyle w:val="TOC8"/>
        <w:rPr>
          <w:rFonts w:asciiTheme="minorHAnsi" w:eastAsiaTheme="minorEastAsia" w:hAnsiTheme="minorHAnsi" w:cstheme="minorBidi"/>
          <w:szCs w:val="22"/>
        </w:rPr>
      </w:pPr>
      <w:r>
        <w:t>11.</w:t>
      </w:r>
      <w:r>
        <w:tab/>
        <w:t>Container recovery rate: other years</w:t>
      </w:r>
      <w:r>
        <w:tab/>
      </w:r>
      <w:r>
        <w:fldChar w:fldCharType="begin"/>
      </w:r>
      <w:r>
        <w:instrText xml:space="preserve"> PAGEREF _Toc27476092 \h </w:instrText>
      </w:r>
      <w:r>
        <w:fldChar w:fldCharType="separate"/>
      </w:r>
      <w:r>
        <w:t>8</w:t>
      </w:r>
      <w:r>
        <w:fldChar w:fldCharType="end"/>
      </w:r>
    </w:p>
    <w:p>
      <w:pPr>
        <w:pStyle w:val="TOC8"/>
        <w:rPr>
          <w:rFonts w:asciiTheme="minorHAnsi" w:eastAsiaTheme="minorEastAsia" w:hAnsiTheme="minorHAnsi" w:cstheme="minorBidi"/>
          <w:szCs w:val="22"/>
        </w:rPr>
      </w:pPr>
      <w:r>
        <w:t>12.</w:t>
      </w:r>
      <w:r>
        <w:tab/>
        <w:t>Accessibility and coverage of refund points</w:t>
      </w:r>
      <w:r>
        <w:tab/>
      </w:r>
      <w:r>
        <w:fldChar w:fldCharType="begin"/>
      </w:r>
      <w:r>
        <w:instrText xml:space="preserve"> PAGEREF _Toc27476093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Reporting by Coordinator</w:t>
      </w:r>
    </w:p>
    <w:p>
      <w:pPr>
        <w:pStyle w:val="TOC8"/>
        <w:rPr>
          <w:rFonts w:asciiTheme="minorHAnsi" w:eastAsiaTheme="minorEastAsia" w:hAnsiTheme="minorHAnsi" w:cstheme="minorBidi"/>
          <w:szCs w:val="22"/>
        </w:rPr>
      </w:pPr>
      <w:r>
        <w:t>13.</w:t>
      </w:r>
      <w:r>
        <w:tab/>
        <w:t>Coordinator website</w:t>
      </w:r>
      <w:r>
        <w:tab/>
      </w:r>
      <w:r>
        <w:fldChar w:fldCharType="begin"/>
      </w:r>
      <w:r>
        <w:instrText xml:space="preserve"> PAGEREF _Toc27476095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to Minister of adverse matters</w:t>
      </w:r>
      <w:r>
        <w:tab/>
      </w:r>
      <w:r>
        <w:fldChar w:fldCharType="begin"/>
      </w:r>
      <w:r>
        <w:instrText xml:space="preserve"> PAGEREF _Toc27476096 \h </w:instrText>
      </w:r>
      <w:r>
        <w:fldChar w:fldCharType="separate"/>
      </w:r>
      <w:r>
        <w:t>9</w:t>
      </w:r>
      <w:r>
        <w:fldChar w:fldCharType="end"/>
      </w:r>
    </w:p>
    <w:p>
      <w:pPr>
        <w:pStyle w:val="TOC8"/>
        <w:rPr>
          <w:rFonts w:asciiTheme="minorHAnsi" w:eastAsiaTheme="minorEastAsia" w:hAnsiTheme="minorHAnsi" w:cstheme="minorBidi"/>
          <w:szCs w:val="22"/>
        </w:rPr>
      </w:pPr>
      <w:r>
        <w:t>15.</w:t>
      </w:r>
      <w:r>
        <w:tab/>
        <w:t>Annual report</w:t>
      </w:r>
      <w:r>
        <w:tab/>
      </w:r>
      <w:r>
        <w:fldChar w:fldCharType="begin"/>
      </w:r>
      <w:r>
        <w:instrText xml:space="preserve"> PAGEREF _Toc27476097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Quarterly report</w:t>
      </w:r>
      <w:r>
        <w:tab/>
      </w:r>
      <w:r>
        <w:fldChar w:fldCharType="begin"/>
      </w:r>
      <w:r>
        <w:instrText xml:space="preserve"> PAGEREF _Toc27476098 \h </w:instrText>
      </w:r>
      <w:r>
        <w:fldChar w:fldCharType="separate"/>
      </w:r>
      <w:r>
        <w:t>11</w:t>
      </w:r>
      <w:r>
        <w:fldChar w:fldCharType="end"/>
      </w:r>
    </w:p>
    <w:p>
      <w:pPr>
        <w:pStyle w:val="TOC8"/>
        <w:rPr>
          <w:rFonts w:asciiTheme="minorHAnsi" w:eastAsiaTheme="minorEastAsia" w:hAnsiTheme="minorHAnsi" w:cstheme="minorBidi"/>
          <w:szCs w:val="22"/>
        </w:rPr>
      </w:pPr>
      <w:r>
        <w:t>17.</w:t>
      </w:r>
      <w:r>
        <w:tab/>
        <w:t>Monthly report</w:t>
      </w:r>
      <w:r>
        <w:tab/>
      </w:r>
      <w:r>
        <w:fldChar w:fldCharType="begin"/>
      </w:r>
      <w:r>
        <w:instrText xml:space="preserve"> PAGEREF _Toc27476099 \h </w:instrText>
      </w:r>
      <w:r>
        <w:fldChar w:fldCharType="separate"/>
      </w:r>
      <w:r>
        <w:t>12</w:t>
      </w:r>
      <w:r>
        <w:fldChar w:fldCharType="end"/>
      </w:r>
    </w:p>
    <w:p>
      <w:pPr>
        <w:pStyle w:val="TOC8"/>
        <w:rPr>
          <w:rFonts w:asciiTheme="minorHAnsi" w:eastAsiaTheme="minorEastAsia" w:hAnsiTheme="minorHAnsi" w:cstheme="minorBidi"/>
          <w:szCs w:val="22"/>
        </w:rPr>
      </w:pPr>
      <w:r>
        <w:t>18.</w:t>
      </w:r>
      <w:r>
        <w:tab/>
        <w:t>Website reporting</w:t>
      </w:r>
      <w:r>
        <w:tab/>
      </w:r>
      <w:r>
        <w:fldChar w:fldCharType="begin"/>
      </w:r>
      <w:r>
        <w:instrText xml:space="preserve"> PAGEREF _Toc27476100 \h </w:instrText>
      </w:r>
      <w:r>
        <w:fldChar w:fldCharType="separate"/>
      </w:r>
      <w:r>
        <w:t>12</w:t>
      </w:r>
      <w:r>
        <w:fldChar w:fldCharType="end"/>
      </w:r>
    </w:p>
    <w:p>
      <w:pPr>
        <w:pStyle w:val="TOC8"/>
        <w:rPr>
          <w:rFonts w:asciiTheme="minorHAnsi" w:eastAsiaTheme="minorEastAsia" w:hAnsiTheme="minorHAnsi" w:cstheme="minorBidi"/>
          <w:szCs w:val="22"/>
        </w:rPr>
      </w:pPr>
      <w:r>
        <w:t>19.</w:t>
      </w:r>
      <w:r>
        <w:tab/>
        <w:t>Coordinator must obtain required information from subsidiary or contractor</w:t>
      </w:r>
      <w:r>
        <w:tab/>
      </w:r>
      <w:r>
        <w:fldChar w:fldCharType="begin"/>
      </w:r>
      <w:r>
        <w:instrText xml:space="preserve"> PAGEREF _Toc27476101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Scheme Account</w:t>
      </w:r>
    </w:p>
    <w:p>
      <w:pPr>
        <w:pStyle w:val="TOC8"/>
        <w:rPr>
          <w:rFonts w:asciiTheme="minorHAnsi" w:eastAsiaTheme="minorEastAsia" w:hAnsiTheme="minorHAnsi" w:cstheme="minorBidi"/>
          <w:szCs w:val="22"/>
        </w:rPr>
      </w:pPr>
      <w:r>
        <w:t>20.</w:t>
      </w:r>
      <w:r>
        <w:tab/>
        <w:t>Scheme funds</w:t>
      </w:r>
      <w:r>
        <w:tab/>
      </w:r>
      <w:r>
        <w:fldChar w:fldCharType="begin"/>
      </w:r>
      <w:r>
        <w:instrText xml:space="preserve"> PAGEREF _Toc27476103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Ministerial directions</w:t>
      </w:r>
    </w:p>
    <w:p>
      <w:pPr>
        <w:pStyle w:val="TOC8"/>
        <w:rPr>
          <w:rFonts w:asciiTheme="minorHAnsi" w:eastAsiaTheme="minorEastAsia" w:hAnsiTheme="minorHAnsi" w:cstheme="minorBidi"/>
          <w:szCs w:val="22"/>
        </w:rPr>
      </w:pPr>
      <w:r>
        <w:t>21.</w:t>
      </w:r>
      <w:r>
        <w:tab/>
        <w:t>Term used: direction</w:t>
      </w:r>
      <w:r>
        <w:tab/>
      </w:r>
      <w:r>
        <w:fldChar w:fldCharType="begin"/>
      </w:r>
      <w:r>
        <w:instrText xml:space="preserve"> PAGEREF _Toc27476105 \h </w:instrText>
      </w:r>
      <w:r>
        <w:fldChar w:fldCharType="separate"/>
      </w:r>
      <w:r>
        <w:t>14</w:t>
      </w:r>
      <w:r>
        <w:fldChar w:fldCharType="end"/>
      </w:r>
    </w:p>
    <w:p>
      <w:pPr>
        <w:pStyle w:val="TOC8"/>
        <w:rPr>
          <w:rFonts w:asciiTheme="minorHAnsi" w:eastAsiaTheme="minorEastAsia" w:hAnsiTheme="minorHAnsi" w:cstheme="minorBidi"/>
          <w:szCs w:val="22"/>
        </w:rPr>
      </w:pPr>
      <w:r>
        <w:t>22.</w:t>
      </w:r>
      <w:r>
        <w:tab/>
        <w:t>Content of direction</w:t>
      </w:r>
      <w:r>
        <w:tab/>
      </w:r>
      <w:r>
        <w:fldChar w:fldCharType="begin"/>
      </w:r>
      <w:r>
        <w:instrText xml:space="preserve"> PAGEREF _Toc27476106 \h </w:instrText>
      </w:r>
      <w:r>
        <w:fldChar w:fldCharType="separate"/>
      </w:r>
      <w:r>
        <w:t>14</w:t>
      </w:r>
      <w:r>
        <w:fldChar w:fldCharType="end"/>
      </w:r>
    </w:p>
    <w:p>
      <w:pPr>
        <w:pStyle w:val="TOC8"/>
        <w:rPr>
          <w:rFonts w:asciiTheme="minorHAnsi" w:eastAsiaTheme="minorEastAsia" w:hAnsiTheme="minorHAnsi" w:cstheme="minorBidi"/>
          <w:szCs w:val="22"/>
        </w:rPr>
      </w:pPr>
      <w:r>
        <w:t>23.</w:t>
      </w:r>
      <w:r>
        <w:tab/>
        <w:t>Form of direction</w:t>
      </w:r>
      <w:r>
        <w:tab/>
      </w:r>
      <w:r>
        <w:fldChar w:fldCharType="begin"/>
      </w:r>
      <w:r>
        <w:instrText xml:space="preserve"> PAGEREF _Toc27476107 \h </w:instrText>
      </w:r>
      <w:r>
        <w:fldChar w:fldCharType="separate"/>
      </w:r>
      <w:r>
        <w:t>15</w:t>
      </w:r>
      <w:r>
        <w:fldChar w:fldCharType="end"/>
      </w:r>
    </w:p>
    <w:p>
      <w:pPr>
        <w:pStyle w:val="TOC8"/>
        <w:rPr>
          <w:rFonts w:asciiTheme="minorHAnsi" w:eastAsiaTheme="minorEastAsia" w:hAnsiTheme="minorHAnsi" w:cstheme="minorBidi"/>
          <w:szCs w:val="22"/>
        </w:rPr>
      </w:pPr>
      <w:r>
        <w:t>24.</w:t>
      </w:r>
      <w:r>
        <w:tab/>
        <w:t>Grounds for giving direction</w:t>
      </w:r>
      <w:r>
        <w:tab/>
      </w:r>
      <w:r>
        <w:fldChar w:fldCharType="begin"/>
      </w:r>
      <w:r>
        <w:instrText xml:space="preserve"> PAGEREF _Toc27476108 \h </w:instrText>
      </w:r>
      <w:r>
        <w:fldChar w:fldCharType="separate"/>
      </w:r>
      <w:r>
        <w:t>15</w:t>
      </w:r>
      <w:r>
        <w:fldChar w:fldCharType="end"/>
      </w:r>
    </w:p>
    <w:p>
      <w:pPr>
        <w:pStyle w:val="TOC8"/>
        <w:rPr>
          <w:rFonts w:asciiTheme="minorHAnsi" w:eastAsiaTheme="minorEastAsia" w:hAnsiTheme="minorHAnsi" w:cstheme="minorBidi"/>
          <w:szCs w:val="22"/>
        </w:rPr>
      </w:pPr>
      <w:r>
        <w:t>25.</w:t>
      </w:r>
      <w:r>
        <w:tab/>
        <w:t>Process for giving direction</w:t>
      </w:r>
      <w:r>
        <w:tab/>
      </w:r>
      <w:r>
        <w:fldChar w:fldCharType="begin"/>
      </w:r>
      <w:r>
        <w:instrText xml:space="preserve"> PAGEREF _Toc27476109 \h </w:instrText>
      </w:r>
      <w:r>
        <w:fldChar w:fldCharType="separate"/>
      </w:r>
      <w:r>
        <w:t>16</w:t>
      </w:r>
      <w:r>
        <w:fldChar w:fldCharType="end"/>
      </w:r>
    </w:p>
    <w:p>
      <w:pPr>
        <w:pStyle w:val="TOC8"/>
        <w:rPr>
          <w:rFonts w:asciiTheme="minorHAnsi" w:eastAsiaTheme="minorEastAsia" w:hAnsiTheme="minorHAnsi" w:cstheme="minorBidi"/>
          <w:szCs w:val="22"/>
        </w:rPr>
      </w:pPr>
      <w:r>
        <w:t>26.</w:t>
      </w:r>
      <w:r>
        <w:tab/>
        <w:t>Urgent direction may be given immediately</w:t>
      </w:r>
      <w:r>
        <w:tab/>
      </w:r>
      <w:r>
        <w:fldChar w:fldCharType="begin"/>
      </w:r>
      <w:r>
        <w:instrText xml:space="preserve"> PAGEREF _Toc27476110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Amendment, administration and revocation</w:t>
      </w:r>
    </w:p>
    <w:p>
      <w:pPr>
        <w:pStyle w:val="TOC8"/>
        <w:rPr>
          <w:rFonts w:asciiTheme="minorHAnsi" w:eastAsiaTheme="minorEastAsia" w:hAnsiTheme="minorHAnsi" w:cstheme="minorBidi"/>
          <w:szCs w:val="22"/>
        </w:rPr>
      </w:pPr>
      <w:r>
        <w:t>27.</w:t>
      </w:r>
      <w:r>
        <w:tab/>
        <w:t>Grounds for appointing administrator or revoking appointment of Coordinator</w:t>
      </w:r>
      <w:r>
        <w:tab/>
      </w:r>
      <w:r>
        <w:fldChar w:fldCharType="begin"/>
      </w:r>
      <w:r>
        <w:instrText xml:space="preserve"> PAGEREF _Toc27476112 \h </w:instrText>
      </w:r>
      <w:r>
        <w:fldChar w:fldCharType="separate"/>
      </w:r>
      <w:r>
        <w:t>18</w:t>
      </w:r>
      <w:r>
        <w:fldChar w:fldCharType="end"/>
      </w:r>
    </w:p>
    <w:p>
      <w:pPr>
        <w:pStyle w:val="TOC8"/>
        <w:rPr>
          <w:rFonts w:asciiTheme="minorHAnsi" w:eastAsiaTheme="minorEastAsia" w:hAnsiTheme="minorHAnsi" w:cstheme="minorBidi"/>
          <w:szCs w:val="22"/>
        </w:rPr>
      </w:pPr>
      <w:r>
        <w:t>28.</w:t>
      </w:r>
      <w:r>
        <w:tab/>
        <w:t>Process for amendment, administration or revocation by request</w:t>
      </w:r>
      <w:r>
        <w:tab/>
      </w:r>
      <w:r>
        <w:fldChar w:fldCharType="begin"/>
      </w:r>
      <w:r>
        <w:instrText xml:space="preserve"> PAGEREF _Toc27476113 \h </w:instrText>
      </w:r>
      <w:r>
        <w:fldChar w:fldCharType="separate"/>
      </w:r>
      <w:r>
        <w:t>19</w:t>
      </w:r>
      <w:r>
        <w:fldChar w:fldCharType="end"/>
      </w:r>
    </w:p>
    <w:p>
      <w:pPr>
        <w:pStyle w:val="TOC8"/>
        <w:rPr>
          <w:rFonts w:asciiTheme="minorHAnsi" w:eastAsiaTheme="minorEastAsia" w:hAnsiTheme="minorHAnsi" w:cstheme="minorBidi"/>
          <w:szCs w:val="22"/>
        </w:rPr>
      </w:pPr>
      <w:r>
        <w:t>29.</w:t>
      </w:r>
      <w:r>
        <w:tab/>
        <w:t>Process for amendment, administration or revocation by Minister’s initiative</w:t>
      </w:r>
      <w:r>
        <w:tab/>
      </w:r>
      <w:r>
        <w:fldChar w:fldCharType="begin"/>
      </w:r>
      <w:r>
        <w:instrText xml:space="preserve"> PAGEREF _Toc27476114 \h </w:instrText>
      </w:r>
      <w:r>
        <w:fldChar w:fldCharType="separate"/>
      </w:r>
      <w:r>
        <w:t>19</w:t>
      </w:r>
      <w:r>
        <w:fldChar w:fldCharType="end"/>
      </w:r>
    </w:p>
    <w:p>
      <w:pPr>
        <w:pStyle w:val="TOC8"/>
        <w:rPr>
          <w:rFonts w:asciiTheme="minorHAnsi" w:eastAsiaTheme="minorEastAsia" w:hAnsiTheme="minorHAnsi" w:cstheme="minorBidi"/>
          <w:szCs w:val="22"/>
        </w:rPr>
      </w:pPr>
      <w:r>
        <w:t>30.</w:t>
      </w:r>
      <w:r>
        <w:tab/>
        <w:t>Immediate appointment of administrator</w:t>
      </w:r>
      <w:r>
        <w:tab/>
      </w:r>
      <w:r>
        <w:fldChar w:fldCharType="begin"/>
      </w:r>
      <w:r>
        <w:instrText xml:space="preserve"> PAGEREF _Toc27476115 \h </w:instrText>
      </w:r>
      <w:r>
        <w:fldChar w:fldCharType="separate"/>
      </w:r>
      <w:r>
        <w:t>21</w:t>
      </w:r>
      <w:r>
        <w:fldChar w:fldCharType="end"/>
      </w:r>
    </w:p>
    <w:p>
      <w:pPr>
        <w:pStyle w:val="TOC8"/>
        <w:rPr>
          <w:rFonts w:asciiTheme="minorHAnsi" w:eastAsiaTheme="minorEastAsia" w:hAnsiTheme="minorHAnsi" w:cstheme="minorBidi"/>
          <w:szCs w:val="22"/>
        </w:rPr>
      </w:pPr>
      <w:r>
        <w:t>31.</w:t>
      </w:r>
      <w:r>
        <w:tab/>
        <w:t>Publication of amendment, administration or revocation</w:t>
      </w:r>
      <w:r>
        <w:tab/>
      </w:r>
      <w:r>
        <w:fldChar w:fldCharType="begin"/>
      </w:r>
      <w:r>
        <w:instrText xml:space="preserve"> PAGEREF _Toc27476116 \h </w:instrText>
      </w:r>
      <w:r>
        <w:fldChar w:fldCharType="separate"/>
      </w:r>
      <w:r>
        <w:t>23</w:t>
      </w:r>
      <w:r>
        <w:fldChar w:fldCharType="end"/>
      </w:r>
    </w:p>
    <w:p>
      <w:pPr>
        <w:pStyle w:val="TOC8"/>
        <w:rPr>
          <w:rFonts w:asciiTheme="minorHAnsi" w:eastAsiaTheme="minorEastAsia" w:hAnsiTheme="minorHAnsi" w:cstheme="minorBidi"/>
          <w:szCs w:val="22"/>
        </w:rPr>
      </w:pPr>
      <w:r>
        <w:t>32.</w:t>
      </w:r>
      <w:r>
        <w:tab/>
        <w:t>Interim Coordinator and Scheme Account</w:t>
      </w:r>
      <w:r>
        <w:tab/>
      </w:r>
      <w:r>
        <w:fldChar w:fldCharType="begin"/>
      </w:r>
      <w:r>
        <w:instrText xml:space="preserve"> PAGEREF _Toc27476117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Civil penalty provisions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_Toc27476120 \h </w:instrText>
      </w:r>
      <w:r>
        <w:fldChar w:fldCharType="separate"/>
      </w:r>
      <w:r>
        <w:t>24</w:t>
      </w:r>
      <w:r>
        <w:fldChar w:fldCharType="end"/>
      </w:r>
    </w:p>
    <w:p>
      <w:pPr>
        <w:pStyle w:val="TOC8"/>
        <w:rPr>
          <w:rFonts w:asciiTheme="minorHAnsi" w:eastAsiaTheme="minorEastAsia" w:hAnsiTheme="minorHAnsi" w:cstheme="minorBidi"/>
          <w:szCs w:val="22"/>
        </w:rPr>
      </w:pPr>
      <w:r>
        <w:t>34.</w:t>
      </w:r>
      <w:r>
        <w:tab/>
        <w:t>Civil penalty provisions prescribed</w:t>
      </w:r>
      <w:r>
        <w:tab/>
      </w:r>
      <w:r>
        <w:fldChar w:fldCharType="begin"/>
      </w:r>
      <w:r>
        <w:instrText xml:space="preserve"> PAGEREF _Toc27476121 \h </w:instrText>
      </w:r>
      <w:r>
        <w:fldChar w:fldCharType="separate"/>
      </w:r>
      <w:r>
        <w:t>24</w:t>
      </w:r>
      <w:r>
        <w:fldChar w:fldCharType="end"/>
      </w:r>
    </w:p>
    <w:p>
      <w:pPr>
        <w:pStyle w:val="TOC8"/>
        <w:rPr>
          <w:rFonts w:asciiTheme="minorHAnsi" w:eastAsiaTheme="minorEastAsia" w:hAnsiTheme="minorHAnsi" w:cstheme="minorBidi"/>
          <w:szCs w:val="22"/>
        </w:rPr>
      </w:pPr>
      <w:r>
        <w:t>35.</w:t>
      </w:r>
      <w:r>
        <w:tab/>
        <w:t>Court may make orders if person has contravened civil penalty provision</w:t>
      </w:r>
      <w:r>
        <w:tab/>
      </w:r>
      <w:r>
        <w:fldChar w:fldCharType="begin"/>
      </w:r>
      <w:r>
        <w:instrText xml:space="preserve"> PAGEREF _Toc27476122 \h </w:instrText>
      </w:r>
      <w:r>
        <w:fldChar w:fldCharType="separate"/>
      </w:r>
      <w:r>
        <w:t>24</w:t>
      </w:r>
      <w:r>
        <w:fldChar w:fldCharType="end"/>
      </w:r>
    </w:p>
    <w:p>
      <w:pPr>
        <w:pStyle w:val="TOC8"/>
        <w:rPr>
          <w:rFonts w:asciiTheme="minorHAnsi" w:eastAsiaTheme="minorEastAsia" w:hAnsiTheme="minorHAnsi" w:cstheme="minorBidi"/>
          <w:szCs w:val="22"/>
        </w:rPr>
      </w:pPr>
      <w:r>
        <w:t>36.</w:t>
      </w:r>
      <w:r>
        <w:tab/>
        <w:t>Warning notice in respect of application for civil penalty order</w:t>
      </w:r>
      <w:r>
        <w:tab/>
      </w:r>
      <w:r>
        <w:fldChar w:fldCharType="begin"/>
      </w:r>
      <w:r>
        <w:instrText xml:space="preserve"> PAGEREF _Toc27476123 \h </w:instrText>
      </w:r>
      <w:r>
        <w:fldChar w:fldCharType="separate"/>
      </w:r>
      <w:r>
        <w:t>25</w:t>
      </w:r>
      <w:r>
        <w:fldChar w:fldCharType="end"/>
      </w:r>
    </w:p>
    <w:p>
      <w:pPr>
        <w:pStyle w:val="TOC8"/>
        <w:rPr>
          <w:rFonts w:asciiTheme="minorHAnsi" w:eastAsiaTheme="minorEastAsia" w:hAnsiTheme="minorHAnsi" w:cstheme="minorBidi"/>
          <w:szCs w:val="22"/>
        </w:rPr>
      </w:pPr>
      <w:r>
        <w:t>37.</w:t>
      </w:r>
      <w:r>
        <w:tab/>
        <w:t>Proceedings for civil penalty order</w:t>
      </w:r>
      <w:r>
        <w:tab/>
      </w:r>
      <w:r>
        <w:fldChar w:fldCharType="begin"/>
      </w:r>
      <w:r>
        <w:instrText xml:space="preserve"> PAGEREF _Toc27476124 \h </w:instrText>
      </w:r>
      <w:r>
        <w:fldChar w:fldCharType="separate"/>
      </w:r>
      <w:r>
        <w:t>26</w:t>
      </w:r>
      <w:r>
        <w:fldChar w:fldCharType="end"/>
      </w:r>
    </w:p>
    <w:p>
      <w:pPr>
        <w:pStyle w:val="TOC8"/>
        <w:rPr>
          <w:rFonts w:asciiTheme="minorHAnsi" w:eastAsiaTheme="minorEastAsia" w:hAnsiTheme="minorHAnsi" w:cstheme="minorBidi"/>
          <w:szCs w:val="22"/>
        </w:rPr>
      </w:pPr>
      <w:r>
        <w:t>38.</w:t>
      </w:r>
      <w:r>
        <w:tab/>
        <w:t>Enforcement of civil penalty order</w:t>
      </w:r>
      <w:r>
        <w:tab/>
      </w:r>
      <w:r>
        <w:fldChar w:fldCharType="begin"/>
      </w:r>
      <w:r>
        <w:instrText xml:space="preserve"> PAGEREF _Toc27476125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_Toc27476127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3" w:name="_Toc6409953"/>
      <w:bookmarkStart w:id="4" w:name="_Toc6410003"/>
      <w:bookmarkStart w:id="5" w:name="_Toc6410053"/>
      <w:bookmarkStart w:id="6" w:name="_Toc6412813"/>
      <w:bookmarkStart w:id="7" w:name="_Toc6412919"/>
      <w:bookmarkStart w:id="8" w:name="_Toc6413557"/>
      <w:bookmarkStart w:id="9" w:name="_Toc6413878"/>
      <w:bookmarkStart w:id="10" w:name="_Toc6471401"/>
      <w:bookmarkStart w:id="11" w:name="_Toc2747607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6410004"/>
      <w:bookmarkStart w:id="13" w:name="_Toc6410054"/>
      <w:bookmarkStart w:id="14" w:name="_Toc27476078"/>
      <w:r>
        <w:rPr>
          <w:rStyle w:val="CharSectno"/>
        </w:rPr>
        <w:t>1</w:t>
      </w:r>
      <w:r>
        <w:t>.</w:t>
      </w:r>
      <w:r>
        <w:tab/>
        <w:t>Citation</w:t>
      </w:r>
      <w:bookmarkEnd w:id="12"/>
      <w:bookmarkEnd w:id="13"/>
      <w:bookmarkEnd w:id="14"/>
    </w:p>
    <w:p>
      <w:pPr>
        <w:pStyle w:val="Subsection"/>
      </w:pPr>
      <w:r>
        <w:tab/>
      </w:r>
      <w:r>
        <w:tab/>
      </w:r>
      <w:bookmarkStart w:id="15" w:name="Start_Cursor"/>
      <w:bookmarkEnd w:id="15"/>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16" w:name="_Toc6410005"/>
      <w:bookmarkStart w:id="17" w:name="_Toc6410055"/>
      <w:bookmarkStart w:id="18" w:name="_Toc27476079"/>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19" w:name="_Toc6410006"/>
      <w:bookmarkStart w:id="20" w:name="_Toc6410056"/>
      <w:bookmarkStart w:id="21" w:name="_Toc27476080"/>
      <w:r>
        <w:rPr>
          <w:rStyle w:val="CharSectno"/>
        </w:rPr>
        <w:t>3</w:t>
      </w:r>
      <w:r>
        <w:t>.</w:t>
      </w:r>
      <w:r>
        <w:tab/>
        <w:t>Terms used</w:t>
      </w:r>
      <w:bookmarkEnd w:id="19"/>
      <w:bookmarkEnd w:id="20"/>
      <w:bookmarkEnd w:id="21"/>
    </w:p>
    <w:p>
      <w:pPr>
        <w:pStyle w:val="Subsection"/>
      </w:pPr>
      <w:r>
        <w:tab/>
        <w:t>(1)</w:t>
      </w:r>
      <w:r>
        <w:tab/>
        <w:t xml:space="preserve">In these regulations — </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rStyle w:val="DraftersNotes"/>
        </w:rPr>
      </w:pPr>
      <w:r>
        <w:tab/>
      </w:r>
      <w:r>
        <w:rPr>
          <w:rStyle w:val="CharDefText"/>
        </w:rPr>
        <w:t>scheme participant</w:t>
      </w:r>
      <w:r>
        <w:t xml:space="preserve"> has the meaning given in section 47S(1) of the Act.</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(4)</w:t>
      </w:r>
      <w:r>
        <w:tab/>
        <w:t>If a term has a meaning in section 47C of the Act, it has the same meaning in these regulations.</w:t>
      </w:r>
    </w:p>
    <w:p>
      <w:pPr>
        <w:pStyle w:val="Heading2"/>
      </w:pPr>
      <w:bookmarkStart w:id="22" w:name="_Toc6409957"/>
      <w:bookmarkStart w:id="23" w:name="_Toc6410007"/>
      <w:bookmarkStart w:id="24" w:name="_Toc6410057"/>
      <w:bookmarkStart w:id="25" w:name="_Toc6412817"/>
      <w:bookmarkStart w:id="26" w:name="_Toc6412923"/>
      <w:bookmarkStart w:id="27" w:name="_Toc6413561"/>
      <w:bookmarkStart w:id="28" w:name="_Toc6413882"/>
      <w:bookmarkStart w:id="29" w:name="_Toc6471405"/>
      <w:bookmarkStart w:id="30" w:name="_Toc27476081"/>
      <w:r>
        <w:rPr>
          <w:rStyle w:val="CharPartNo"/>
        </w:rPr>
        <w:t>Part 2</w:t>
      </w:r>
      <w:r>
        <w:rPr>
          <w:rStyle w:val="CharDivNo"/>
        </w:rPr>
        <w:t> </w:t>
      </w:r>
      <w:r>
        <w:t>—</w:t>
      </w:r>
      <w:r>
        <w:rPr>
          <w:rStyle w:val="CharDivText"/>
        </w:rPr>
        <w:t> </w:t>
      </w:r>
      <w:r>
        <w:rPr>
          <w:rStyle w:val="CharPartText"/>
        </w:rPr>
        <w:t>Return of containers</w:t>
      </w:r>
      <w:bookmarkEnd w:id="22"/>
      <w:bookmarkEnd w:id="23"/>
      <w:bookmarkEnd w:id="24"/>
      <w:bookmarkEnd w:id="25"/>
      <w:bookmarkEnd w:id="26"/>
      <w:bookmarkEnd w:id="27"/>
      <w:bookmarkEnd w:id="28"/>
      <w:bookmarkEnd w:id="29"/>
      <w:bookmarkEnd w:id="30"/>
    </w:p>
    <w:p>
      <w:pPr>
        <w:pStyle w:val="Heading5"/>
      </w:pPr>
      <w:bookmarkStart w:id="31" w:name="_Toc6410008"/>
      <w:bookmarkStart w:id="32" w:name="_Toc6410058"/>
      <w:bookmarkStart w:id="33" w:name="_Toc27476082"/>
      <w:r>
        <w:rPr>
          <w:rStyle w:val="CharSectno"/>
        </w:rPr>
        <w:t>4</w:t>
      </w:r>
      <w:r>
        <w:t>.</w:t>
      </w:r>
      <w:r>
        <w:tab/>
        <w:t>Eligibility criteria for refund point operators</w:t>
      </w:r>
      <w:bookmarkEnd w:id="31"/>
      <w:bookmarkEnd w:id="32"/>
      <w:bookmarkEnd w:id="33"/>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2"/>
      </w:pPr>
      <w:bookmarkStart w:id="34" w:name="_Toc6409959"/>
      <w:bookmarkStart w:id="35" w:name="_Toc6410009"/>
      <w:bookmarkStart w:id="36" w:name="_Toc6410059"/>
      <w:bookmarkStart w:id="37" w:name="_Toc6412819"/>
      <w:bookmarkStart w:id="38" w:name="_Toc6412925"/>
      <w:bookmarkStart w:id="39" w:name="_Toc6413563"/>
      <w:bookmarkStart w:id="40" w:name="_Toc6413884"/>
      <w:bookmarkStart w:id="41" w:name="_Toc6471407"/>
      <w:bookmarkStart w:id="42" w:name="_Toc27476083"/>
      <w:r>
        <w:rPr>
          <w:rStyle w:val="CharPartNo"/>
        </w:rPr>
        <w:t>Part 3</w:t>
      </w:r>
      <w:r>
        <w:t> — </w:t>
      </w:r>
      <w:r>
        <w:rPr>
          <w:rStyle w:val="CharPartText"/>
        </w:rPr>
        <w:t>Coordinator of the scheme</w:t>
      </w:r>
      <w:bookmarkEnd w:id="34"/>
      <w:bookmarkEnd w:id="35"/>
      <w:bookmarkEnd w:id="36"/>
      <w:bookmarkEnd w:id="37"/>
      <w:bookmarkEnd w:id="38"/>
      <w:bookmarkEnd w:id="39"/>
      <w:bookmarkEnd w:id="40"/>
      <w:bookmarkEnd w:id="41"/>
      <w:bookmarkEnd w:id="42"/>
    </w:p>
    <w:p>
      <w:pPr>
        <w:pStyle w:val="Heading3"/>
      </w:pPr>
      <w:bookmarkStart w:id="43" w:name="_Toc6409960"/>
      <w:bookmarkStart w:id="44" w:name="_Toc6410010"/>
      <w:bookmarkStart w:id="45" w:name="_Toc6410060"/>
      <w:bookmarkStart w:id="46" w:name="_Toc6412820"/>
      <w:bookmarkStart w:id="47" w:name="_Toc6412926"/>
      <w:bookmarkStart w:id="48" w:name="_Toc6413564"/>
      <w:bookmarkStart w:id="49" w:name="_Toc6413885"/>
      <w:bookmarkStart w:id="50" w:name="_Toc6471408"/>
      <w:bookmarkStart w:id="51" w:name="_Toc27476084"/>
      <w:r>
        <w:rPr>
          <w:rStyle w:val="CharDivNo"/>
        </w:rPr>
        <w:t>Division 1</w:t>
      </w:r>
      <w:r>
        <w:t> — </w:t>
      </w:r>
      <w:r>
        <w:rPr>
          <w:rStyle w:val="CharDivText"/>
        </w:rPr>
        <w:t>Appointment of Coordinator of the scheme</w:t>
      </w:r>
      <w:bookmarkEnd w:id="43"/>
      <w:bookmarkEnd w:id="44"/>
      <w:bookmarkEnd w:id="45"/>
      <w:bookmarkEnd w:id="46"/>
      <w:bookmarkEnd w:id="47"/>
      <w:bookmarkEnd w:id="48"/>
      <w:bookmarkEnd w:id="49"/>
      <w:bookmarkEnd w:id="50"/>
      <w:bookmarkEnd w:id="51"/>
    </w:p>
    <w:p>
      <w:pPr>
        <w:pStyle w:val="Heading5"/>
      </w:pPr>
      <w:bookmarkStart w:id="52" w:name="_Toc6410011"/>
      <w:bookmarkStart w:id="53" w:name="_Toc6410061"/>
      <w:bookmarkStart w:id="54" w:name="_Toc27476085"/>
      <w:r>
        <w:rPr>
          <w:rStyle w:val="CharSectno"/>
        </w:rPr>
        <w:t>5</w:t>
      </w:r>
      <w:r>
        <w:t>.</w:t>
      </w:r>
      <w:r>
        <w:tab/>
        <w:t>Approval of board members</w:t>
      </w:r>
      <w:bookmarkEnd w:id="52"/>
      <w:bookmarkEnd w:id="53"/>
      <w:bookmarkEnd w:id="54"/>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55" w:name="_Toc6410012"/>
      <w:bookmarkStart w:id="56" w:name="_Toc6410062"/>
      <w:bookmarkStart w:id="57" w:name="_Toc27476086"/>
      <w:r>
        <w:rPr>
          <w:rStyle w:val="CharSectno"/>
        </w:rPr>
        <w:t>6</w:t>
      </w:r>
      <w:r>
        <w:t>.</w:t>
      </w:r>
      <w:r>
        <w:tab/>
        <w:t>Conditions of appointment of Coordinator</w:t>
      </w:r>
      <w:bookmarkEnd w:id="55"/>
      <w:bookmarkEnd w:id="56"/>
      <w:bookmarkEnd w:id="57"/>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58" w:name="_Toc6410013"/>
      <w:bookmarkStart w:id="59" w:name="_Toc6410063"/>
      <w:bookmarkStart w:id="60" w:name="_Toc27476087"/>
      <w:r>
        <w:rPr>
          <w:rStyle w:val="CharSectno"/>
        </w:rPr>
        <w:t>7</w:t>
      </w:r>
      <w:r>
        <w:t>.</w:t>
      </w:r>
      <w:r>
        <w:tab/>
        <w:t>Functions of Coordinator</w:t>
      </w:r>
      <w:bookmarkEnd w:id="58"/>
      <w:bookmarkEnd w:id="59"/>
      <w:bookmarkEnd w:id="60"/>
    </w:p>
    <w:p>
      <w:pPr>
        <w:pStyle w:val="Subsection"/>
      </w:pPr>
      <w:r>
        <w:tab/>
        <w:t>(1)</w:t>
      </w:r>
      <w:r>
        <w:tab/>
        <w:t>In carrying out any of its functions the Coordinator must endeavour to achieve the objects of Part 5A of the Act.</w:t>
      </w:r>
    </w:p>
    <w:p>
      <w:pPr>
        <w:pStyle w:val="Subsection"/>
      </w:pPr>
      <w:r>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(c)</w:t>
      </w:r>
      <w:r>
        <w:tab/>
        <w:t>to ensure arrangements are in place to verify the eligibility of any first responsible supplier of a beverage product claiming to be a minor beverage supplier;</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Heading5"/>
      </w:pPr>
      <w:bookmarkStart w:id="61" w:name="_Toc6410014"/>
      <w:bookmarkStart w:id="62" w:name="_Toc6410064"/>
      <w:bookmarkStart w:id="63" w:name="_Toc27476088"/>
      <w:r>
        <w:rPr>
          <w:rStyle w:val="CharSectno"/>
        </w:rPr>
        <w:t>8</w:t>
      </w:r>
      <w:r>
        <w:t>.</w:t>
      </w:r>
      <w:r>
        <w:tab/>
        <w:t>Performance of Coordinator’s functions in relation to refund points</w:t>
      </w:r>
      <w:bookmarkEnd w:id="61"/>
      <w:bookmarkEnd w:id="62"/>
      <w:bookmarkEnd w:id="63"/>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tab/>
        <w:t>(2)</w:t>
      </w:r>
      <w:r>
        <w:tab/>
        <w:t>If the Coordinator refuses to enter into a refund point agreement with a person, the Coordinator must provide the person and the CEO with written reasons for the refusal.</w:t>
      </w:r>
    </w:p>
    <w:p>
      <w:pPr>
        <w:pStyle w:val="Heading5"/>
      </w:pPr>
      <w:bookmarkStart w:id="64" w:name="_Toc6410015"/>
      <w:bookmarkStart w:id="65" w:name="_Toc6410065"/>
      <w:bookmarkStart w:id="66" w:name="_Toc27476089"/>
      <w:r>
        <w:rPr>
          <w:rStyle w:val="CharSectno"/>
        </w:rPr>
        <w:t>9</w:t>
      </w:r>
      <w:r>
        <w:t>.</w:t>
      </w:r>
      <w:r>
        <w:tab/>
        <w:t>Performance of Coordinator’s function in relation to supply agreements</w:t>
      </w:r>
      <w:bookmarkEnd w:id="64"/>
      <w:bookmarkEnd w:id="65"/>
      <w:bookmarkEnd w:id="66"/>
    </w:p>
    <w:p>
      <w:pPr>
        <w:pStyle w:val="Subsection"/>
      </w:pPr>
      <w:r>
        <w:tab/>
      </w:r>
      <w:r>
        <w:tab/>
        <w:t>In performing its function under section 47Z(2)(a) of the Act, the Coordinator must not enter into a supply agreement in relation to a beverage product unless the Coordinator is satisfied that ongoing, effective and appropriate arrangements are available for the container used for the beverage product to be collected, sorted and recycled.</w:t>
      </w:r>
    </w:p>
    <w:p>
      <w:pPr>
        <w:pStyle w:val="Heading3"/>
      </w:pPr>
      <w:bookmarkStart w:id="67" w:name="_Toc6409966"/>
      <w:bookmarkStart w:id="68" w:name="_Toc6410016"/>
      <w:bookmarkStart w:id="69" w:name="_Toc6410066"/>
      <w:bookmarkStart w:id="70" w:name="_Toc6412826"/>
      <w:bookmarkStart w:id="71" w:name="_Toc6412932"/>
      <w:bookmarkStart w:id="72" w:name="_Toc6413570"/>
      <w:bookmarkStart w:id="73" w:name="_Toc6413891"/>
      <w:bookmarkStart w:id="74" w:name="_Toc6471414"/>
      <w:bookmarkStart w:id="75" w:name="_Toc27476090"/>
      <w:r>
        <w:rPr>
          <w:rStyle w:val="CharDivNo"/>
        </w:rPr>
        <w:t>Division 2</w:t>
      </w:r>
      <w:r>
        <w:t> — </w:t>
      </w:r>
      <w:r>
        <w:rPr>
          <w:rStyle w:val="CharDivText"/>
        </w:rPr>
        <w:t>Coordinator performance targets</w:t>
      </w:r>
      <w:bookmarkEnd w:id="67"/>
      <w:bookmarkEnd w:id="68"/>
      <w:bookmarkEnd w:id="69"/>
      <w:bookmarkEnd w:id="70"/>
      <w:bookmarkEnd w:id="71"/>
      <w:bookmarkEnd w:id="72"/>
      <w:bookmarkEnd w:id="73"/>
      <w:bookmarkEnd w:id="74"/>
      <w:bookmarkEnd w:id="75"/>
    </w:p>
    <w:p>
      <w:pPr>
        <w:pStyle w:val="Heading5"/>
      </w:pPr>
      <w:bookmarkStart w:id="76" w:name="_Toc6410017"/>
      <w:bookmarkStart w:id="77" w:name="_Toc6410067"/>
      <w:bookmarkStart w:id="78" w:name="_Toc27476091"/>
      <w:r>
        <w:rPr>
          <w:rStyle w:val="CharSectno"/>
        </w:rPr>
        <w:t>10</w:t>
      </w:r>
      <w:r>
        <w:t>.</w:t>
      </w:r>
      <w:r>
        <w:tab/>
        <w:t>Container recovery rate: preliminary years</w:t>
      </w:r>
      <w:bookmarkEnd w:id="76"/>
      <w:bookmarkEnd w:id="77"/>
      <w:bookmarkEnd w:id="78"/>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the period starting on the appointed day for section 47E of the Act and ending on 30 June 2020;</w:t>
      </w:r>
    </w:p>
    <w:p>
      <w:pPr>
        <w:pStyle w:val="Defpara"/>
      </w:pPr>
      <w:r>
        <w:tab/>
        <w:t>(b)</w:t>
      </w:r>
      <w:r>
        <w:tab/>
        <w:t>the financial year starting on 1 July 2020;</w:t>
      </w:r>
    </w:p>
    <w:p>
      <w:pPr>
        <w:pStyle w:val="Defpara"/>
      </w:pPr>
      <w:r>
        <w:tab/>
        <w:t>(c)</w:t>
      </w:r>
      <w:r>
        <w:tab/>
        <w:t>the financial year starting on 1 July 2021.</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for the preliminary year starting on the appointed day for section 47E of the Act — a time directed by the CEO; and</w:t>
      </w:r>
    </w:p>
    <w:p>
      <w:pPr>
        <w:pStyle w:val="Indenta"/>
      </w:pPr>
      <w:r>
        <w:tab/>
        <w:t>(b)</w:t>
      </w:r>
      <w:r>
        <w:tab/>
        <w:t>for the preliminary year starting on 1 July 2020 — 1 June 2020; and</w:t>
      </w:r>
    </w:p>
    <w:p>
      <w:pPr>
        <w:pStyle w:val="Indenta"/>
      </w:pPr>
      <w:r>
        <w:tab/>
        <w:t>(c)</w:t>
      </w:r>
      <w:r>
        <w:tab/>
        <w:t>for the preliminary year starting on 1 July 2021 — 1 June 2021.</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Heading5"/>
      </w:pPr>
      <w:bookmarkStart w:id="79" w:name="_Toc6410018"/>
      <w:bookmarkStart w:id="80" w:name="_Toc6410068"/>
      <w:bookmarkStart w:id="81" w:name="_Toc27476092"/>
      <w:r>
        <w:rPr>
          <w:rStyle w:val="CharSectno"/>
        </w:rPr>
        <w:t>11</w:t>
      </w:r>
      <w:r>
        <w:t>.</w:t>
      </w:r>
      <w:r>
        <w:tab/>
        <w:t>Container recovery rate: other years</w:t>
      </w:r>
      <w:bookmarkEnd w:id="79"/>
      <w:bookmarkEnd w:id="80"/>
      <w:bookmarkEnd w:id="81"/>
    </w:p>
    <w:p>
      <w:pPr>
        <w:pStyle w:val="Subsection"/>
      </w:pPr>
      <w:r>
        <w:tab/>
      </w:r>
      <w:r>
        <w:tab/>
        <w:t xml:space="preserve">The Coordinator must achieve a container recovery rate of at least 85% for — </w:t>
      </w:r>
    </w:p>
    <w:p>
      <w:pPr>
        <w:pStyle w:val="Indenta"/>
      </w:pPr>
      <w:r>
        <w:tab/>
        <w:t>(a)</w:t>
      </w:r>
      <w:r>
        <w:tab/>
        <w:t>the financial year starting on 1 July 2022; and</w:t>
      </w:r>
    </w:p>
    <w:p>
      <w:pPr>
        <w:pStyle w:val="Indenta"/>
      </w:pPr>
      <w:r>
        <w:tab/>
        <w:t>(b)</w:t>
      </w:r>
      <w:r>
        <w:tab/>
        <w:t>each later financial year.</w:t>
      </w:r>
    </w:p>
    <w:p>
      <w:pPr>
        <w:pStyle w:val="Penstart"/>
      </w:pPr>
      <w:r>
        <w:tab/>
        <w:t>Civil penalty: $25 000.</w:t>
      </w:r>
    </w:p>
    <w:p>
      <w:pPr>
        <w:pStyle w:val="Heading5"/>
      </w:pPr>
      <w:bookmarkStart w:id="82" w:name="_Toc6410019"/>
      <w:bookmarkStart w:id="83" w:name="_Toc6410069"/>
      <w:bookmarkStart w:id="84" w:name="_Toc27476093"/>
      <w:r>
        <w:rPr>
          <w:rStyle w:val="CharSectno"/>
        </w:rPr>
        <w:t>12</w:t>
      </w:r>
      <w:r>
        <w:t>.</w:t>
      </w:r>
      <w:r>
        <w:tab/>
        <w:t>Accessibility and coverage of refund points</w:t>
      </w:r>
      <w:bookmarkEnd w:id="82"/>
      <w:bookmarkEnd w:id="83"/>
      <w:bookmarkEnd w:id="84"/>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 Code</w:t>
      </w:r>
      <w:r>
        <w:t>).</w:t>
      </w:r>
    </w:p>
    <w:p>
      <w:pPr>
        <w:pStyle w:val="Subsection"/>
      </w:pPr>
      <w:r>
        <w:tab/>
        <w:t>(2)</w:t>
      </w:r>
      <w:r>
        <w:tab/>
        <w:t xml:space="preserve">If the CEO prepares a Minimum Network Standards Code,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tab/>
        <w:t>(3)</w:t>
      </w:r>
      <w:r>
        <w:tab/>
        <w:t>The Coordinator must comply with each requirement contained in the Minimum Network Standards Code.</w:t>
      </w:r>
    </w:p>
    <w:p>
      <w:pPr>
        <w:pStyle w:val="Penstart"/>
      </w:pPr>
      <w:r>
        <w:tab/>
        <w:t>Civil penalty: $25 000.</w:t>
      </w:r>
    </w:p>
    <w:p>
      <w:pPr>
        <w:pStyle w:val="Heading3"/>
      </w:pPr>
      <w:bookmarkStart w:id="85" w:name="_Toc6409970"/>
      <w:bookmarkStart w:id="86" w:name="_Toc6410020"/>
      <w:bookmarkStart w:id="87" w:name="_Toc6410070"/>
      <w:bookmarkStart w:id="88" w:name="_Toc6412830"/>
      <w:bookmarkStart w:id="89" w:name="_Toc6412936"/>
      <w:bookmarkStart w:id="90" w:name="_Toc6413574"/>
      <w:bookmarkStart w:id="91" w:name="_Toc6413895"/>
      <w:bookmarkStart w:id="92" w:name="_Toc6471418"/>
      <w:bookmarkStart w:id="93" w:name="_Toc27476094"/>
      <w:r>
        <w:rPr>
          <w:rStyle w:val="CharDivNo"/>
        </w:rPr>
        <w:t>Division 3</w:t>
      </w:r>
      <w:r>
        <w:t> — </w:t>
      </w:r>
      <w:r>
        <w:rPr>
          <w:rStyle w:val="CharDivText"/>
        </w:rPr>
        <w:t>Reporting by Coordinator</w:t>
      </w:r>
      <w:bookmarkEnd w:id="85"/>
      <w:bookmarkEnd w:id="86"/>
      <w:bookmarkEnd w:id="87"/>
      <w:bookmarkEnd w:id="88"/>
      <w:bookmarkEnd w:id="89"/>
      <w:bookmarkEnd w:id="90"/>
      <w:bookmarkEnd w:id="91"/>
      <w:bookmarkEnd w:id="92"/>
      <w:bookmarkEnd w:id="93"/>
    </w:p>
    <w:p>
      <w:pPr>
        <w:pStyle w:val="Heading5"/>
      </w:pPr>
      <w:bookmarkStart w:id="94" w:name="_Toc6410021"/>
      <w:bookmarkStart w:id="95" w:name="_Toc6410071"/>
      <w:bookmarkStart w:id="96" w:name="_Toc27476095"/>
      <w:r>
        <w:rPr>
          <w:rStyle w:val="CharSectno"/>
        </w:rPr>
        <w:t>13</w:t>
      </w:r>
      <w:r>
        <w:t>.</w:t>
      </w:r>
      <w:r>
        <w:tab/>
        <w:t>Coordinator website</w:t>
      </w:r>
      <w:bookmarkEnd w:id="94"/>
      <w:bookmarkEnd w:id="95"/>
      <w:bookmarkEnd w:id="96"/>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97" w:name="_Toc6410022"/>
      <w:bookmarkStart w:id="98" w:name="_Toc6410072"/>
      <w:bookmarkStart w:id="99" w:name="_Toc27476096"/>
      <w:r>
        <w:rPr>
          <w:rStyle w:val="CharSectno"/>
        </w:rPr>
        <w:t>14</w:t>
      </w:r>
      <w:r>
        <w:t>.</w:t>
      </w:r>
      <w:r>
        <w:tab/>
        <w:t>Notice to Minister of adverse matters</w:t>
      </w:r>
      <w:bookmarkEnd w:id="97"/>
      <w:bookmarkEnd w:id="98"/>
      <w:bookmarkEnd w:id="99"/>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100" w:name="_Toc6410023"/>
      <w:bookmarkStart w:id="101" w:name="_Toc6410073"/>
      <w:bookmarkStart w:id="102" w:name="_Toc27476097"/>
      <w:r>
        <w:rPr>
          <w:rStyle w:val="CharSectno"/>
        </w:rPr>
        <w:t>15</w:t>
      </w:r>
      <w:r>
        <w:t>.</w:t>
      </w:r>
      <w:r>
        <w:tab/>
        <w:t>Annual report</w:t>
      </w:r>
      <w:bookmarkEnd w:id="100"/>
      <w:bookmarkEnd w:id="101"/>
      <w:bookmarkEnd w:id="102"/>
    </w:p>
    <w:p>
      <w:pPr>
        <w:pStyle w:val="Subsection"/>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3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tab/>
        <w:t>(5)</w:t>
      </w:r>
      <w:r>
        <w:tab/>
        <w:t xml:space="preserve">A copy of an annual report from which any matter has been deleted under subregulation (4) must contain a statement, at the place in the report where the matter was deleted, detailing the reasons for the deletion. </w:t>
      </w:r>
    </w:p>
    <w:p>
      <w:pPr>
        <w:pStyle w:val="Heading5"/>
        <w:pageBreakBefore/>
        <w:spacing w:before="0"/>
      </w:pPr>
      <w:bookmarkStart w:id="103" w:name="_Toc6410024"/>
      <w:bookmarkStart w:id="104" w:name="_Toc6410074"/>
      <w:bookmarkStart w:id="105" w:name="_Toc27476098"/>
      <w:r>
        <w:rPr>
          <w:rStyle w:val="CharSectno"/>
        </w:rPr>
        <w:t>16</w:t>
      </w:r>
      <w:r>
        <w:t>.</w:t>
      </w:r>
      <w:r>
        <w:tab/>
        <w:t>Quarterly report</w:t>
      </w:r>
      <w:bookmarkEnd w:id="103"/>
      <w:bookmarkEnd w:id="104"/>
      <w:bookmarkEnd w:id="105"/>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pPr>
      <w:r>
        <w:tab/>
        <w:t>(3)</w:t>
      </w:r>
      <w:r>
        <w:tab/>
        <w:t xml:space="preserve">The quarterly report must — </w:t>
      </w:r>
    </w:p>
    <w:p>
      <w:pPr>
        <w:pStyle w:val="Indenta"/>
      </w:pPr>
      <w:r>
        <w:tab/>
        <w:t>(a)</w:t>
      </w:r>
      <w:r>
        <w:tab/>
        <w:t xml:space="preserve">be given to the Minister — </w:t>
      </w:r>
    </w:p>
    <w:p>
      <w:pPr>
        <w:pStyle w:val="Indenti"/>
      </w:pPr>
      <w:r>
        <w:tab/>
        <w:t>(i)</w:t>
      </w:r>
      <w:r>
        <w:tab/>
        <w:t>within 6 weeks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Heading5"/>
      </w:pPr>
      <w:bookmarkStart w:id="106" w:name="_Toc6410025"/>
      <w:bookmarkStart w:id="107" w:name="_Toc6410075"/>
      <w:bookmarkStart w:id="108" w:name="_Toc27476099"/>
      <w:r>
        <w:rPr>
          <w:rStyle w:val="CharSectno"/>
        </w:rPr>
        <w:t>17</w:t>
      </w:r>
      <w:r>
        <w:t>.</w:t>
      </w:r>
      <w:r>
        <w:tab/>
        <w:t>Monthly report</w:t>
      </w:r>
      <w:bookmarkEnd w:id="106"/>
      <w:bookmarkEnd w:id="107"/>
      <w:bookmarkEnd w:id="108"/>
    </w:p>
    <w:p>
      <w:pPr>
        <w:pStyle w:val="Subsection"/>
      </w:pPr>
      <w:r>
        <w:tab/>
        <w:t>(1)</w:t>
      </w:r>
      <w:r>
        <w:tab/>
        <w:t xml:space="preserve">The Coordinator must, within 14 days after the end of each month, give the Minister a report about its operations for that month (a </w:t>
      </w:r>
      <w:r>
        <w:rPr>
          <w:rStyle w:val="CharDefText"/>
        </w:rPr>
        <w:t>monthly report</w:t>
      </w:r>
      <w:r>
        <w:t>).</w:t>
      </w:r>
    </w:p>
    <w:p>
      <w:pPr>
        <w:pStyle w:val="Subsection"/>
      </w:pPr>
      <w:r>
        <w:tab/>
        <w:t>(2)</w:t>
      </w:r>
      <w:r>
        <w:tab/>
        <w:t xml:space="preserve">The monthly report must — </w:t>
      </w:r>
    </w:p>
    <w:p>
      <w:pPr>
        <w:pStyle w:val="Indenta"/>
      </w:pPr>
      <w:r>
        <w:tab/>
        <w:t>(a)</w:t>
      </w:r>
      <w:r>
        <w:tab/>
        <w:t>be given to the Minister in a manner approved by the Minister; and</w:t>
      </w:r>
    </w:p>
    <w:p>
      <w:pPr>
        <w:pStyle w:val="Indenta"/>
      </w:pPr>
      <w:r>
        <w:tab/>
        <w:t>(b)</w:t>
      </w:r>
      <w:r>
        <w:tab/>
        <w:t>include the information that the Reporting Code specifies must be included in a monthly report; and</w:t>
      </w:r>
    </w:p>
    <w:p>
      <w:pPr>
        <w:pStyle w:val="Indenta"/>
      </w:pPr>
      <w:r>
        <w:tab/>
        <w:t>(c)</w:t>
      </w:r>
      <w:r>
        <w:tab/>
        <w:t>be signed by the chief executive officer (however described) of the Coordinator.</w:t>
      </w:r>
    </w:p>
    <w:p>
      <w:pPr>
        <w:pStyle w:val="Heading5"/>
      </w:pPr>
      <w:bookmarkStart w:id="109" w:name="_Toc6410026"/>
      <w:bookmarkStart w:id="110" w:name="_Toc6410076"/>
      <w:bookmarkStart w:id="111" w:name="_Toc27476100"/>
      <w:r>
        <w:rPr>
          <w:rStyle w:val="CharSectno"/>
        </w:rPr>
        <w:t>18</w:t>
      </w:r>
      <w:r>
        <w:t>.</w:t>
      </w:r>
      <w:r>
        <w:tab/>
        <w:t>Website reporting</w:t>
      </w:r>
      <w:bookmarkEnd w:id="109"/>
      <w:bookmarkEnd w:id="110"/>
      <w:bookmarkEnd w:id="111"/>
    </w:p>
    <w:p>
      <w:pPr>
        <w:pStyle w:val="Subsection"/>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112" w:name="_Toc6410027"/>
      <w:bookmarkStart w:id="113" w:name="_Toc6410077"/>
      <w:bookmarkStart w:id="114" w:name="_Toc27476101"/>
      <w:r>
        <w:rPr>
          <w:rStyle w:val="CharSectno"/>
        </w:rPr>
        <w:t>19</w:t>
      </w:r>
      <w:r>
        <w:t>.</w:t>
      </w:r>
      <w:r>
        <w:tab/>
        <w:t>Coordinator must obtain required information from subsidiary or contractor</w:t>
      </w:r>
      <w:bookmarkEnd w:id="112"/>
      <w:bookmarkEnd w:id="113"/>
      <w:bookmarkEnd w:id="114"/>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p>
    <w:p>
      <w:pPr>
        <w:pStyle w:val="Heading3"/>
        <w:pageBreakBefore/>
        <w:spacing w:before="0"/>
      </w:pPr>
      <w:bookmarkStart w:id="115" w:name="_Toc6409978"/>
      <w:bookmarkStart w:id="116" w:name="_Toc6410028"/>
      <w:bookmarkStart w:id="117" w:name="_Toc6410078"/>
      <w:bookmarkStart w:id="118" w:name="_Toc6412838"/>
      <w:bookmarkStart w:id="119" w:name="_Toc6412944"/>
      <w:bookmarkStart w:id="120" w:name="_Toc6413582"/>
      <w:bookmarkStart w:id="121" w:name="_Toc6413903"/>
      <w:bookmarkStart w:id="122" w:name="_Toc6471426"/>
      <w:bookmarkStart w:id="123" w:name="_Toc27476102"/>
      <w:r>
        <w:rPr>
          <w:rStyle w:val="CharDivNo"/>
        </w:rPr>
        <w:t>Division 4</w:t>
      </w:r>
      <w:r>
        <w:t> — </w:t>
      </w:r>
      <w:r>
        <w:rPr>
          <w:rStyle w:val="CharDivText"/>
        </w:rPr>
        <w:t>Scheme Account</w:t>
      </w:r>
      <w:bookmarkEnd w:id="115"/>
      <w:bookmarkEnd w:id="116"/>
      <w:bookmarkEnd w:id="117"/>
      <w:bookmarkEnd w:id="118"/>
      <w:bookmarkEnd w:id="119"/>
      <w:bookmarkEnd w:id="120"/>
      <w:bookmarkEnd w:id="121"/>
      <w:bookmarkEnd w:id="122"/>
      <w:bookmarkEnd w:id="123"/>
    </w:p>
    <w:p>
      <w:pPr>
        <w:pStyle w:val="Heading5"/>
      </w:pPr>
      <w:bookmarkStart w:id="124" w:name="_Toc6410029"/>
      <w:bookmarkStart w:id="125" w:name="_Toc6410079"/>
      <w:bookmarkStart w:id="126" w:name="_Toc27476103"/>
      <w:r>
        <w:rPr>
          <w:rStyle w:val="CharSectno"/>
        </w:rPr>
        <w:t>20</w:t>
      </w:r>
      <w:r>
        <w:t>.</w:t>
      </w:r>
      <w:r>
        <w:tab/>
        <w:t>Scheme funds</w:t>
      </w:r>
      <w:bookmarkEnd w:id="124"/>
      <w:bookmarkEnd w:id="125"/>
      <w:bookmarkEnd w:id="126"/>
    </w:p>
    <w:p>
      <w:pPr>
        <w:pStyle w:val="Subsection"/>
        <w:keepNext/>
      </w:pPr>
      <w:r>
        <w:tab/>
      </w:r>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supply agreements;</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w:t>
      </w:r>
    </w:p>
    <w:p>
      <w:pPr>
        <w:pStyle w:val="Indenta"/>
      </w:pPr>
      <w:r>
        <w:tab/>
        <w:t>(d)</w:t>
      </w:r>
      <w:r>
        <w:tab/>
        <w:t>any interest earned on money in the Scheme Account.</w:t>
      </w:r>
    </w:p>
    <w:p>
      <w:pPr>
        <w:pStyle w:val="Heading3"/>
      </w:pPr>
      <w:bookmarkStart w:id="127" w:name="_Toc6409980"/>
      <w:bookmarkStart w:id="128" w:name="_Toc6410030"/>
      <w:bookmarkStart w:id="129" w:name="_Toc6410080"/>
      <w:bookmarkStart w:id="130" w:name="_Toc6412840"/>
      <w:bookmarkStart w:id="131" w:name="_Toc6412946"/>
      <w:bookmarkStart w:id="132" w:name="_Toc6413584"/>
      <w:bookmarkStart w:id="133" w:name="_Toc6413905"/>
      <w:bookmarkStart w:id="134" w:name="_Toc6471428"/>
      <w:bookmarkStart w:id="135" w:name="_Toc27476104"/>
      <w:r>
        <w:rPr>
          <w:rStyle w:val="CharDivNo"/>
        </w:rPr>
        <w:t>Division 5</w:t>
      </w:r>
      <w:r>
        <w:t> — </w:t>
      </w:r>
      <w:r>
        <w:rPr>
          <w:rStyle w:val="CharDivText"/>
        </w:rPr>
        <w:t>Ministerial directions</w:t>
      </w:r>
      <w:bookmarkEnd w:id="127"/>
      <w:bookmarkEnd w:id="128"/>
      <w:bookmarkEnd w:id="129"/>
      <w:bookmarkEnd w:id="130"/>
      <w:bookmarkEnd w:id="131"/>
      <w:bookmarkEnd w:id="132"/>
      <w:bookmarkEnd w:id="133"/>
      <w:bookmarkEnd w:id="134"/>
      <w:bookmarkEnd w:id="135"/>
    </w:p>
    <w:p>
      <w:pPr>
        <w:pStyle w:val="Heading5"/>
      </w:pPr>
      <w:bookmarkStart w:id="136" w:name="_Toc6410031"/>
      <w:bookmarkStart w:id="137" w:name="_Toc6410081"/>
      <w:bookmarkStart w:id="138" w:name="_Toc27476105"/>
      <w:r>
        <w:rPr>
          <w:rStyle w:val="CharSectno"/>
        </w:rPr>
        <w:t>21</w:t>
      </w:r>
      <w:r>
        <w:t>.</w:t>
      </w:r>
      <w:r>
        <w:tab/>
        <w:t>Term used: direction</w:t>
      </w:r>
      <w:bookmarkEnd w:id="136"/>
      <w:bookmarkEnd w:id="137"/>
      <w:bookmarkEnd w:id="138"/>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139" w:name="_Toc6410032"/>
      <w:bookmarkStart w:id="140" w:name="_Toc6410082"/>
      <w:bookmarkStart w:id="141" w:name="_Toc27476106"/>
      <w:r>
        <w:rPr>
          <w:rStyle w:val="CharSectno"/>
        </w:rPr>
        <w:t>22</w:t>
      </w:r>
      <w:r>
        <w:t>.</w:t>
      </w:r>
      <w:r>
        <w:tab/>
        <w:t>Content of direction</w:t>
      </w:r>
      <w:bookmarkEnd w:id="139"/>
      <w:bookmarkEnd w:id="140"/>
      <w:bookmarkEnd w:id="141"/>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142" w:name="_Toc6410033"/>
      <w:bookmarkStart w:id="143" w:name="_Toc6410083"/>
      <w:bookmarkStart w:id="144" w:name="_Toc27476107"/>
      <w:r>
        <w:rPr>
          <w:rStyle w:val="CharSectno"/>
        </w:rPr>
        <w:t>23</w:t>
      </w:r>
      <w:r>
        <w:t>.</w:t>
      </w:r>
      <w:r>
        <w:tab/>
        <w:t>Form of direction</w:t>
      </w:r>
      <w:bookmarkEnd w:id="142"/>
      <w:bookmarkEnd w:id="143"/>
      <w:bookmarkEnd w:id="144"/>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145" w:name="_Toc6410034"/>
      <w:bookmarkStart w:id="146" w:name="_Toc6410084"/>
      <w:bookmarkStart w:id="147" w:name="_Toc27476108"/>
      <w:r>
        <w:rPr>
          <w:rStyle w:val="CharSectno"/>
        </w:rPr>
        <w:t>24</w:t>
      </w:r>
      <w:r>
        <w:t>.</w:t>
      </w:r>
      <w:r>
        <w:tab/>
        <w:t>Grounds for giving direction</w:t>
      </w:r>
      <w:bookmarkEnd w:id="145"/>
      <w:bookmarkEnd w:id="146"/>
      <w:bookmarkEnd w:id="147"/>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Heading5"/>
      </w:pPr>
      <w:bookmarkStart w:id="148" w:name="_Toc6410035"/>
      <w:bookmarkStart w:id="149" w:name="_Toc6410085"/>
      <w:bookmarkStart w:id="150" w:name="_Toc27476109"/>
      <w:r>
        <w:rPr>
          <w:rStyle w:val="CharSectno"/>
        </w:rPr>
        <w:t>25</w:t>
      </w:r>
      <w:r>
        <w:t>.</w:t>
      </w:r>
      <w:r>
        <w:tab/>
        <w:t>Process for giving direction</w:t>
      </w:r>
      <w:bookmarkEnd w:id="148"/>
      <w:bookmarkEnd w:id="149"/>
      <w:bookmarkEnd w:id="150"/>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151" w:name="_Toc6410036"/>
      <w:bookmarkStart w:id="152" w:name="_Toc6410086"/>
      <w:bookmarkStart w:id="153" w:name="_Toc27476110"/>
      <w:r>
        <w:rPr>
          <w:rStyle w:val="CharSectno"/>
        </w:rPr>
        <w:t>26</w:t>
      </w:r>
      <w:r>
        <w:t>.</w:t>
      </w:r>
      <w:r>
        <w:tab/>
        <w:t>Urgent direction may be given immediately</w:t>
      </w:r>
      <w:bookmarkEnd w:id="151"/>
      <w:bookmarkEnd w:id="152"/>
      <w:bookmarkEnd w:id="153"/>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p>
    <w:p>
      <w:pPr>
        <w:pStyle w:val="Heading3"/>
        <w:pageBreakBefore/>
        <w:spacing w:before="0"/>
      </w:pPr>
      <w:bookmarkStart w:id="154" w:name="_Toc6409987"/>
      <w:bookmarkStart w:id="155" w:name="_Toc6410037"/>
      <w:bookmarkStart w:id="156" w:name="_Toc6410087"/>
      <w:bookmarkStart w:id="157" w:name="_Toc6412847"/>
      <w:bookmarkStart w:id="158" w:name="_Toc6412953"/>
      <w:bookmarkStart w:id="159" w:name="_Toc6413591"/>
      <w:bookmarkStart w:id="160" w:name="_Toc6413912"/>
      <w:bookmarkStart w:id="161" w:name="_Toc6471435"/>
      <w:bookmarkStart w:id="162" w:name="_Toc27476111"/>
      <w:r>
        <w:rPr>
          <w:rStyle w:val="CharDivNo"/>
        </w:rPr>
        <w:t>Division 6</w:t>
      </w:r>
      <w:r>
        <w:t> — </w:t>
      </w:r>
      <w:r>
        <w:rPr>
          <w:rStyle w:val="CharDivText"/>
        </w:rPr>
        <w:t>Amendment, administration and revocation</w:t>
      </w:r>
      <w:bookmarkEnd w:id="154"/>
      <w:bookmarkEnd w:id="155"/>
      <w:bookmarkEnd w:id="156"/>
      <w:bookmarkEnd w:id="157"/>
      <w:bookmarkEnd w:id="158"/>
      <w:bookmarkEnd w:id="159"/>
      <w:bookmarkEnd w:id="160"/>
      <w:bookmarkEnd w:id="161"/>
      <w:bookmarkEnd w:id="162"/>
    </w:p>
    <w:p>
      <w:pPr>
        <w:pStyle w:val="Heading5"/>
      </w:pPr>
      <w:bookmarkStart w:id="163" w:name="_Toc6410038"/>
      <w:bookmarkStart w:id="164" w:name="_Toc6410088"/>
      <w:bookmarkStart w:id="165" w:name="_Toc27476112"/>
      <w:r>
        <w:rPr>
          <w:rStyle w:val="CharSectno"/>
        </w:rPr>
        <w:t>27</w:t>
      </w:r>
      <w:r>
        <w:t>.</w:t>
      </w:r>
      <w:r>
        <w:tab/>
        <w:t>Grounds for appointing administrator or revoking appointment of Coordinator</w:t>
      </w:r>
      <w:bookmarkEnd w:id="163"/>
      <w:bookmarkEnd w:id="164"/>
      <w:bookmarkEnd w:id="165"/>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Heading5"/>
      </w:pPr>
      <w:bookmarkStart w:id="166" w:name="_Toc6410039"/>
      <w:bookmarkStart w:id="167" w:name="_Toc6410089"/>
      <w:bookmarkStart w:id="168" w:name="_Toc27476113"/>
      <w:r>
        <w:rPr>
          <w:rStyle w:val="CharSectno"/>
        </w:rPr>
        <w:t>28</w:t>
      </w:r>
      <w:r>
        <w:t>.</w:t>
      </w:r>
      <w:r>
        <w:tab/>
        <w:t>Process for amendment, administration or revocation by request</w:t>
      </w:r>
      <w:bookmarkEnd w:id="166"/>
      <w:bookmarkEnd w:id="167"/>
      <w:bookmarkEnd w:id="168"/>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169" w:name="_Toc6410040"/>
      <w:bookmarkStart w:id="170" w:name="_Toc6410090"/>
      <w:bookmarkStart w:id="171" w:name="_Toc27476114"/>
      <w:r>
        <w:rPr>
          <w:rStyle w:val="CharSectno"/>
        </w:rPr>
        <w:t>29</w:t>
      </w:r>
      <w:r>
        <w:t>.</w:t>
      </w:r>
      <w:r>
        <w:tab/>
        <w:t>Process for amendment, administration or revocation by Minister’s initiative</w:t>
      </w:r>
      <w:bookmarkEnd w:id="169"/>
      <w:bookmarkEnd w:id="170"/>
      <w:bookmarkEnd w:id="171"/>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172" w:name="_Toc6410041"/>
      <w:bookmarkStart w:id="173" w:name="_Toc6410091"/>
      <w:bookmarkStart w:id="174" w:name="_Toc27476115"/>
      <w:r>
        <w:rPr>
          <w:rStyle w:val="CharSectno"/>
        </w:rPr>
        <w:t>30</w:t>
      </w:r>
      <w:r>
        <w:t>.</w:t>
      </w:r>
      <w:r>
        <w:tab/>
        <w:t>Immediate appointment of administrator</w:t>
      </w:r>
      <w:bookmarkEnd w:id="172"/>
      <w:bookmarkEnd w:id="173"/>
      <w:bookmarkEnd w:id="174"/>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175" w:name="_Toc6410042"/>
      <w:bookmarkStart w:id="176" w:name="_Toc6410092"/>
      <w:bookmarkStart w:id="177" w:name="_Toc27476116"/>
      <w:r>
        <w:rPr>
          <w:rStyle w:val="CharSectno"/>
        </w:rPr>
        <w:t>31</w:t>
      </w:r>
      <w:r>
        <w:t>.</w:t>
      </w:r>
      <w:r>
        <w:tab/>
        <w:t>Publication of amendment, administration or revocation</w:t>
      </w:r>
      <w:bookmarkEnd w:id="175"/>
      <w:bookmarkEnd w:id="176"/>
      <w:bookmarkEnd w:id="177"/>
    </w:p>
    <w:p>
      <w:pPr>
        <w:pStyle w:val="Subsection"/>
      </w:pPr>
      <w:r>
        <w:tab/>
      </w:r>
      <w:r>
        <w:tab/>
        <w:t xml:space="preserve">If the Minister exercises a power under section 47ZQ(1) of the Act — </w:t>
      </w:r>
    </w:p>
    <w:p>
      <w:pPr>
        <w:pStyle w:val="Indenta"/>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178" w:name="_Toc6410043"/>
      <w:bookmarkStart w:id="179" w:name="_Toc6410093"/>
      <w:bookmarkStart w:id="180" w:name="_Toc27476117"/>
      <w:r>
        <w:rPr>
          <w:rStyle w:val="CharSectno"/>
        </w:rPr>
        <w:t>32</w:t>
      </w:r>
      <w:r>
        <w:t>.</w:t>
      </w:r>
      <w:r>
        <w:tab/>
        <w:t>Interim Coordinator and Scheme Account</w:t>
      </w:r>
      <w:bookmarkEnd w:id="178"/>
      <w:bookmarkEnd w:id="179"/>
      <w:bookmarkEnd w:id="180"/>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2"/>
      </w:pPr>
      <w:bookmarkStart w:id="181" w:name="_Toc6409994"/>
      <w:bookmarkStart w:id="182" w:name="_Toc6410044"/>
      <w:bookmarkStart w:id="183" w:name="_Toc6410094"/>
      <w:bookmarkStart w:id="184" w:name="_Toc6412854"/>
      <w:bookmarkStart w:id="185" w:name="_Toc6412960"/>
      <w:bookmarkStart w:id="186" w:name="_Toc6413598"/>
      <w:bookmarkStart w:id="187" w:name="_Toc6413919"/>
      <w:bookmarkStart w:id="188" w:name="_Toc6471442"/>
      <w:bookmarkStart w:id="189" w:name="_Toc27476118"/>
      <w:r>
        <w:rPr>
          <w:rStyle w:val="CharPartNo"/>
        </w:rPr>
        <w:t>Part 4</w:t>
      </w:r>
      <w:r>
        <w:t> — </w:t>
      </w:r>
      <w:r>
        <w:rPr>
          <w:rStyle w:val="CharPartText"/>
        </w:rPr>
        <w:t>Miscellaneous</w:t>
      </w:r>
      <w:bookmarkEnd w:id="181"/>
      <w:bookmarkEnd w:id="182"/>
      <w:bookmarkEnd w:id="183"/>
      <w:bookmarkEnd w:id="184"/>
      <w:bookmarkEnd w:id="185"/>
      <w:bookmarkEnd w:id="186"/>
      <w:bookmarkEnd w:id="187"/>
      <w:bookmarkEnd w:id="188"/>
      <w:bookmarkEnd w:id="189"/>
    </w:p>
    <w:p>
      <w:pPr>
        <w:pStyle w:val="Heading3"/>
      </w:pPr>
      <w:bookmarkStart w:id="190" w:name="_Toc6409995"/>
      <w:bookmarkStart w:id="191" w:name="_Toc6410045"/>
      <w:bookmarkStart w:id="192" w:name="_Toc6410095"/>
      <w:bookmarkStart w:id="193" w:name="_Toc6412855"/>
      <w:bookmarkStart w:id="194" w:name="_Toc6412961"/>
      <w:bookmarkStart w:id="195" w:name="_Toc6413599"/>
      <w:bookmarkStart w:id="196" w:name="_Toc6413920"/>
      <w:bookmarkStart w:id="197" w:name="_Toc6471443"/>
      <w:bookmarkStart w:id="198" w:name="_Toc27476119"/>
      <w:r>
        <w:rPr>
          <w:rStyle w:val="CharDivNo"/>
        </w:rPr>
        <w:t>Division 1</w:t>
      </w:r>
      <w:r>
        <w:t> — </w:t>
      </w:r>
      <w:r>
        <w:rPr>
          <w:rStyle w:val="CharDivText"/>
        </w:rPr>
        <w:t>Civil penalty provisions</w:t>
      </w:r>
      <w:bookmarkEnd w:id="190"/>
      <w:bookmarkEnd w:id="191"/>
      <w:bookmarkEnd w:id="192"/>
      <w:bookmarkEnd w:id="193"/>
      <w:bookmarkEnd w:id="194"/>
      <w:bookmarkEnd w:id="195"/>
      <w:bookmarkEnd w:id="196"/>
      <w:bookmarkEnd w:id="197"/>
      <w:bookmarkEnd w:id="198"/>
    </w:p>
    <w:p>
      <w:pPr>
        <w:pStyle w:val="Heading5"/>
      </w:pPr>
      <w:bookmarkStart w:id="199" w:name="_Toc6410046"/>
      <w:bookmarkStart w:id="200" w:name="_Toc6410096"/>
      <w:bookmarkStart w:id="201" w:name="_Toc27476120"/>
      <w:r>
        <w:rPr>
          <w:rStyle w:val="CharSectno"/>
        </w:rPr>
        <w:t>33</w:t>
      </w:r>
      <w:r>
        <w:t>.</w:t>
      </w:r>
      <w:r>
        <w:tab/>
        <w:t>Terms used</w:t>
      </w:r>
      <w:bookmarkEnd w:id="199"/>
      <w:bookmarkEnd w:id="200"/>
      <w:bookmarkEnd w:id="201"/>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202" w:name="_Toc6410047"/>
      <w:bookmarkStart w:id="203" w:name="_Toc6410097"/>
      <w:bookmarkStart w:id="204" w:name="_Toc27476121"/>
      <w:r>
        <w:rPr>
          <w:rStyle w:val="CharSectno"/>
        </w:rPr>
        <w:t>34</w:t>
      </w:r>
      <w:r>
        <w:t>.</w:t>
      </w:r>
      <w:r>
        <w:tab/>
        <w:t>Civil penalty provisions prescribed</w:t>
      </w:r>
      <w:bookmarkEnd w:id="202"/>
      <w:bookmarkEnd w:id="203"/>
      <w:bookmarkEnd w:id="204"/>
    </w:p>
    <w:p>
      <w:pPr>
        <w:pStyle w:val="Subsection"/>
      </w:pPr>
      <w:r>
        <w:tab/>
        <w:t>(1)</w:t>
      </w:r>
      <w:r>
        <w:tab/>
        <w:t xml:space="preserve">Each of the following provisions is a civil penalty provision — </w:t>
      </w:r>
    </w:p>
    <w:p>
      <w:pPr>
        <w:pStyle w:val="Indenta"/>
      </w:pPr>
      <w:r>
        <w:tab/>
        <w:t>(a)</w:t>
      </w:r>
      <w:r>
        <w:tab/>
        <w:t>regulation 10(4);</w:t>
      </w:r>
    </w:p>
    <w:p>
      <w:pPr>
        <w:pStyle w:val="Indenta"/>
      </w:pPr>
      <w:r>
        <w:tab/>
        <w:t>(b)</w:t>
      </w:r>
      <w:r>
        <w:tab/>
        <w:t>regulation 11;</w:t>
      </w:r>
    </w:p>
    <w:p>
      <w:pPr>
        <w:pStyle w:val="Indenta"/>
      </w:pPr>
      <w:r>
        <w:tab/>
        <w:t>(c)</w:t>
      </w:r>
      <w:r>
        <w:tab/>
        <w:t>regulation 12(3);</w:t>
      </w:r>
    </w:p>
    <w:p>
      <w:pPr>
        <w:pStyle w:val="Indenta"/>
        <w:rPr>
          <w:rStyle w:val="DraftersNotes"/>
          <w:b w:val="0"/>
          <w:i w:val="0"/>
          <w:sz w:val="24"/>
        </w:rPr>
      </w:pPr>
      <w:r>
        <w:tab/>
        <w:t>(d)</w:t>
      </w:r>
      <w:r>
        <w:tab/>
        <w:t>regulation 14.</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Heading5"/>
      </w:pPr>
      <w:bookmarkStart w:id="205" w:name="_Toc6410048"/>
      <w:bookmarkStart w:id="206" w:name="_Toc6410098"/>
      <w:bookmarkStart w:id="207" w:name="_Toc27476122"/>
      <w:r>
        <w:rPr>
          <w:rStyle w:val="CharSectno"/>
        </w:rPr>
        <w:t>35</w:t>
      </w:r>
      <w:r>
        <w:t>.</w:t>
      </w:r>
      <w:r>
        <w:tab/>
        <w:t>Court may make orders if person has contravened civil penalty provision</w:t>
      </w:r>
      <w:bookmarkEnd w:id="205"/>
      <w:bookmarkEnd w:id="206"/>
      <w:bookmarkEnd w:id="207"/>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208" w:name="_Toc6410049"/>
      <w:bookmarkStart w:id="209" w:name="_Toc6410099"/>
      <w:bookmarkStart w:id="210" w:name="_Toc27476123"/>
      <w:r>
        <w:rPr>
          <w:rStyle w:val="CharSectno"/>
        </w:rPr>
        <w:t>36</w:t>
      </w:r>
      <w:r>
        <w:t>.</w:t>
      </w:r>
      <w:r>
        <w:tab/>
        <w:t>Warning notice in respect of application for civil penalty order</w:t>
      </w:r>
      <w:bookmarkEnd w:id="208"/>
      <w:bookmarkEnd w:id="209"/>
      <w:bookmarkEnd w:id="210"/>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Subsection"/>
      </w:pPr>
      <w:r>
        <w:tab/>
        <w:t>(4)</w:t>
      </w:r>
      <w:r>
        <w:tab/>
        <w:t>An application for a civil penalty order may be made no later than 6 years after the alleged contravention.</w:t>
      </w:r>
    </w:p>
    <w:p>
      <w:pPr>
        <w:pStyle w:val="Heading5"/>
      </w:pPr>
      <w:bookmarkStart w:id="211" w:name="_Toc6410050"/>
      <w:bookmarkStart w:id="212" w:name="_Toc6410100"/>
      <w:bookmarkStart w:id="213" w:name="_Toc27476124"/>
      <w:r>
        <w:rPr>
          <w:rStyle w:val="CharSectno"/>
        </w:rPr>
        <w:t>37</w:t>
      </w:r>
      <w:r>
        <w:t>.</w:t>
      </w:r>
      <w:r>
        <w:tab/>
        <w:t>Proceedings for civil penalty order</w:t>
      </w:r>
      <w:bookmarkEnd w:id="211"/>
      <w:bookmarkEnd w:id="212"/>
      <w:bookmarkEnd w:id="213"/>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tab/>
        <w:t>(3)</w:t>
      </w:r>
      <w:r>
        <w:tab/>
        <w:t>The court must apply the rules of evidence and procedure for civil matters when hearing proceedings for a civil penalty order.</w:t>
      </w:r>
    </w:p>
    <w:p>
      <w:pPr>
        <w:pStyle w:val="Heading5"/>
      </w:pPr>
      <w:bookmarkStart w:id="214" w:name="_Toc6410051"/>
      <w:bookmarkStart w:id="215" w:name="_Toc6410101"/>
      <w:bookmarkStart w:id="216" w:name="_Toc27476125"/>
      <w:r>
        <w:rPr>
          <w:rStyle w:val="CharSectno"/>
        </w:rPr>
        <w:t>38</w:t>
      </w:r>
      <w:r>
        <w:t>.</w:t>
      </w:r>
      <w:r>
        <w:tab/>
        <w:t>Enforcement of civil penalty order</w:t>
      </w:r>
      <w:bookmarkEnd w:id="214"/>
      <w:bookmarkEnd w:id="215"/>
      <w:bookmarkEnd w:id="216"/>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17" w:name="_Toc6412862"/>
      <w:bookmarkStart w:id="218" w:name="_Toc6412968"/>
      <w:bookmarkStart w:id="219" w:name="_Toc6413606"/>
      <w:bookmarkStart w:id="220" w:name="_Toc6413927"/>
      <w:bookmarkStart w:id="221" w:name="_Toc6471450"/>
      <w:bookmarkStart w:id="222" w:name="_Toc27476126"/>
      <w:bookmarkStart w:id="223" w:name="_Toc6410002"/>
      <w:bookmarkStart w:id="224" w:name="_Toc6410052"/>
      <w:bookmarkStart w:id="225" w:name="_Toc6410102"/>
      <w:r>
        <w:t>Notes</w:t>
      </w:r>
      <w:bookmarkEnd w:id="217"/>
      <w:bookmarkEnd w:id="218"/>
      <w:bookmarkEnd w:id="219"/>
      <w:bookmarkEnd w:id="220"/>
      <w:bookmarkEnd w:id="221"/>
      <w:bookmarkEnd w:id="222"/>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Waste Avoidance and Resource Recovery (Container Deposit Scheme) Regulations 2019</w:t>
      </w:r>
      <w:r>
        <w:rPr>
          <w:i/>
        </w:rPr>
        <w:fldChar w:fldCharType="end"/>
      </w:r>
      <w:r>
        <w:t>.  The following table contains information about those regulations.</w:t>
      </w:r>
    </w:p>
    <w:p>
      <w:pPr>
        <w:pStyle w:val="nHeading3"/>
      </w:pPr>
      <w:bookmarkStart w:id="226" w:name="_Toc27476127"/>
      <w:r>
        <w:t>Compilation table</w:t>
      </w:r>
      <w:bookmarkEnd w:id="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Waste Avoidance and Resource Recovery (Container Deposit Scheme) Regulations 2019</w:t>
            </w:r>
          </w:p>
        </w:tc>
        <w:tc>
          <w:tcPr>
            <w:tcW w:w="1276" w:type="dxa"/>
          </w:tcPr>
          <w:p>
            <w:pPr>
              <w:pStyle w:val="nTable"/>
              <w:spacing w:after="40"/>
            </w:pPr>
            <w:r>
              <w:t>18 Apr 2019 p. 1177</w:t>
            </w:r>
            <w:r>
              <w:noBreakHyphen/>
              <w:t>205</w:t>
            </w:r>
          </w:p>
        </w:tc>
        <w:tc>
          <w:tcPr>
            <w:tcW w:w="2693" w:type="dxa"/>
          </w:tcPr>
          <w:p>
            <w:pPr>
              <w:pStyle w:val="nTable"/>
              <w:spacing w:after="40"/>
            </w:pPr>
            <w:r>
              <w:t>r. 1 and 2: 18 Apr 2019 (see r. 2(a));</w:t>
            </w:r>
            <w:r>
              <w:br/>
              <w:t xml:space="preserve">Regulations other than r. 1 and 2: 19 Apr 2019 (see r. 2(b) and </w:t>
            </w:r>
            <w:r>
              <w:rPr>
                <w:i/>
              </w:rPr>
              <w:t>Gazette</w:t>
            </w:r>
            <w:r>
              <w:t xml:space="preserve"> 18 Apr 2019 p. 1157)</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28" w:name="_Toc6412970"/>
      <w:bookmarkStart w:id="229" w:name="_Toc6413608"/>
      <w:bookmarkStart w:id="230" w:name="_Toc6413929"/>
      <w:bookmarkStart w:id="231" w:name="_Toc6471452"/>
      <w:bookmarkStart w:id="232" w:name="_Toc27476128"/>
      <w:bookmarkEnd w:id="223"/>
      <w:bookmarkEnd w:id="224"/>
      <w:bookmarkEnd w:id="225"/>
      <w:r>
        <w:rPr>
          <w:sz w:val="28"/>
        </w:rPr>
        <w:t>Defined terms</w:t>
      </w:r>
      <w:bookmarkEnd w:id="228"/>
      <w:bookmarkEnd w:id="229"/>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action</w:t>
      </w:r>
      <w:r>
        <w:tab/>
        <w:t>29(4)</w:t>
      </w:r>
    </w:p>
    <w:p>
      <w:pPr>
        <w:pStyle w:val="DefinedTerms"/>
      </w:pPr>
      <w:r>
        <w:t>annual report</w:t>
      </w:r>
      <w:r>
        <w:tab/>
        <w:t>15(1)</w:t>
      </w:r>
    </w:p>
    <w:p>
      <w:pPr>
        <w:pStyle w:val="DefinedTerms"/>
      </w:pPr>
      <w:r>
        <w:t>business plan</w:t>
      </w:r>
      <w:r>
        <w:tab/>
        <w:t>3(1)</w:t>
      </w:r>
    </w:p>
    <w:p>
      <w:pPr>
        <w:pStyle w:val="DefinedTerms"/>
      </w:pPr>
      <w:r>
        <w:t>civil penalty</w:t>
      </w:r>
      <w:r>
        <w:tab/>
        <w:t>33</w:t>
      </w:r>
    </w:p>
    <w:p>
      <w:pPr>
        <w:pStyle w:val="DefinedTerms"/>
      </w:pPr>
      <w:r>
        <w:t>civil penalty order</w:t>
      </w:r>
      <w:r>
        <w:tab/>
        <w:t>33</w:t>
      </w:r>
    </w:p>
    <w:p>
      <w:pPr>
        <w:pStyle w:val="DefinedTerms"/>
      </w:pPr>
      <w:r>
        <w:t>civil penalty provision</w:t>
      </w:r>
      <w:r>
        <w:tab/>
        <w:t>33</w:t>
      </w:r>
    </w:p>
    <w:p>
      <w:pPr>
        <w:pStyle w:val="DefinedTerms"/>
      </w:pPr>
      <w:r>
        <w:t>collection network</w:t>
      </w:r>
      <w:r>
        <w:tab/>
        <w:t>3(1)</w:t>
      </w:r>
    </w:p>
    <w:p>
      <w:pPr>
        <w:pStyle w:val="DefinedTerms"/>
      </w:pPr>
      <w:r>
        <w:t>container recovery rate</w:t>
      </w:r>
      <w:r>
        <w:tab/>
        <w:t>3(1)</w:t>
      </w:r>
    </w:p>
    <w:p>
      <w:pPr>
        <w:pStyle w:val="DefinedTerms"/>
      </w:pPr>
      <w:r>
        <w:t>court</w:t>
      </w:r>
      <w:r>
        <w:tab/>
        <w:t>33</w:t>
      </w:r>
    </w:p>
    <w:p>
      <w:pPr>
        <w:pStyle w:val="DefinedTerms"/>
      </w:pPr>
      <w:r>
        <w:t>direction</w:t>
      </w:r>
      <w:r>
        <w:tab/>
        <w:t>21</w:t>
      </w:r>
    </w:p>
    <w:p>
      <w:pPr>
        <w:pStyle w:val="DefinedTerms"/>
      </w:pPr>
      <w:r>
        <w:t>executive officer</w:t>
      </w:r>
      <w:r>
        <w:tab/>
        <w:t>3(1)</w:t>
      </w:r>
    </w:p>
    <w:p>
      <w:pPr>
        <w:pStyle w:val="DefinedTerms"/>
      </w:pPr>
      <w:r>
        <w:t>initial period</w:t>
      </w:r>
      <w:r>
        <w:tab/>
        <w:t>16(1)</w:t>
      </w:r>
    </w:p>
    <w:p>
      <w:pPr>
        <w:pStyle w:val="DefinedTerms"/>
      </w:pPr>
      <w:r>
        <w:t>Minimum Network Standards Code</w:t>
      </w:r>
      <w:r>
        <w:tab/>
        <w:t>12(1)</w:t>
      </w:r>
    </w:p>
    <w:p>
      <w:pPr>
        <w:pStyle w:val="DefinedTerms"/>
      </w:pPr>
      <w:r>
        <w:t>minor beverage supplier</w:t>
      </w:r>
      <w:r>
        <w:tab/>
        <w:t>3(1)</w:t>
      </w:r>
    </w:p>
    <w:p>
      <w:pPr>
        <w:pStyle w:val="DefinedTerms"/>
      </w:pPr>
      <w:r>
        <w:t>monthly report</w:t>
      </w:r>
      <w:r>
        <w:tab/>
        <w:t>17(1)</w:t>
      </w:r>
    </w:p>
    <w:p>
      <w:pPr>
        <w:pStyle w:val="DefinedTerms"/>
      </w:pPr>
      <w:r>
        <w:t>performance target</w:t>
      </w:r>
      <w:r>
        <w:tab/>
        <w:t>3(1)</w:t>
      </w:r>
    </w:p>
    <w:p>
      <w:pPr>
        <w:pStyle w:val="DefinedTerms"/>
      </w:pPr>
      <w:r>
        <w:t>preliminary year</w:t>
      </w:r>
      <w:r>
        <w:tab/>
        <w:t>10(1)</w:t>
      </w:r>
    </w:p>
    <w:p>
      <w:pPr>
        <w:pStyle w:val="DefinedTerms"/>
      </w:pPr>
      <w:r>
        <w:t>proposed action</w:t>
      </w:r>
      <w:r>
        <w:tab/>
        <w:t>29(1)</w:t>
      </w:r>
    </w:p>
    <w:p>
      <w:pPr>
        <w:pStyle w:val="DefinedTerms"/>
      </w:pPr>
      <w:r>
        <w:t>quarter</w:t>
      </w:r>
      <w:r>
        <w:tab/>
        <w:t>16(1)</w:t>
      </w:r>
    </w:p>
    <w:p>
      <w:pPr>
        <w:pStyle w:val="DefinedTerms"/>
      </w:pPr>
      <w:r>
        <w:t>quarterly report</w:t>
      </w:r>
      <w:r>
        <w:tab/>
        <w:t>16(2)</w:t>
      </w:r>
    </w:p>
    <w:p>
      <w:pPr>
        <w:pStyle w:val="DefinedTerms"/>
      </w:pPr>
      <w:r>
        <w:t>Reporting Code</w:t>
      </w:r>
      <w:r>
        <w:tab/>
        <w:t>3(1)</w:t>
      </w:r>
    </w:p>
    <w:p>
      <w:pPr>
        <w:pStyle w:val="DefinedTerms"/>
      </w:pPr>
      <w:r>
        <w:t>requested action</w:t>
      </w:r>
      <w:r>
        <w:tab/>
        <w:t>28(1)</w:t>
      </w:r>
    </w:p>
    <w:p>
      <w:pPr>
        <w:pStyle w:val="DefinedTerms"/>
      </w:pPr>
      <w:r>
        <w:t>scheme participant</w:t>
      </w:r>
      <w:r>
        <w:tab/>
        <w:t>3(1)</w:t>
      </w:r>
    </w:p>
    <w:p>
      <w:pPr>
        <w:pStyle w:val="DefinedTerms"/>
      </w:pPr>
      <w:r>
        <w:t>submission period</w:t>
      </w:r>
      <w:r>
        <w:tab/>
        <w:t>25(2), 29(2), 30(4)</w:t>
      </w:r>
    </w:p>
    <w:p>
      <w:pPr>
        <w:pStyle w:val="DefinedTerms"/>
      </w:pPr>
      <w:r>
        <w:t>website annual report</w:t>
      </w:r>
      <w:r>
        <w:tab/>
        <w:t>18(1)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171606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DEE5-2F49-4AB9-979A-45CE7439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6487</Words>
  <Characters>32826</Characters>
  <Application>Microsoft Office Word</Application>
  <DocSecurity>0</DocSecurity>
  <Lines>937</Lines>
  <Paragraphs>569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2019 - 00-a0-01</dc:title>
  <dc:subject/>
  <dc:creator/>
  <cp:keywords/>
  <dc:description/>
  <cp:lastModifiedBy>svcMRProcess</cp:lastModifiedBy>
  <cp:revision>4</cp:revision>
  <cp:lastPrinted>2019-04-18T01:07:00Z</cp:lastPrinted>
  <dcterms:created xsi:type="dcterms:W3CDTF">2019-12-17T03:56:00Z</dcterms:created>
  <dcterms:modified xsi:type="dcterms:W3CDTF">2019-12-17T03:56:00Z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19 Apr 2019</vt:lpwstr>
  </property>
  <property fmtid="{D5CDD505-2E9C-101B-9397-08002B2CF9AE}" pid="4" name="Suffix">
    <vt:lpwstr>00-a0-01</vt:lpwstr>
  </property>
  <property fmtid="{D5CDD505-2E9C-101B-9397-08002B2CF9AE}" pid="5" name="CommencementDate">
    <vt:lpwstr>20190419</vt:lpwstr>
  </property>
</Properties>
</file>