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Offshore Minerals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Offshore Minerals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_Toc11751464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_Toc11751465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section</w:t>
      </w:r>
      <w:r>
        <w:tab/>
      </w:r>
      <w:r>
        <w:fldChar w:fldCharType="begin"/>
      </w:r>
      <w:r>
        <w:instrText xml:space="preserve"> PAGEREF _Toc11751466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Australian datum</w:t>
      </w:r>
    </w:p>
    <w:p>
      <w:pPr>
        <w:pStyle w:val="TOC8"/>
        <w:rPr>
          <w:rFonts w:asciiTheme="minorHAnsi" w:eastAsiaTheme="minorEastAsia" w:hAnsiTheme="minorHAnsi" w:cstheme="minorBidi"/>
          <w:szCs w:val="22"/>
        </w:rPr>
      </w:pPr>
      <w:r>
        <w:t>4.</w:t>
      </w:r>
      <w:r>
        <w:tab/>
        <w:t>Geocentric Datum of Australia</w:t>
      </w:r>
      <w:r>
        <w:tab/>
      </w:r>
      <w:r>
        <w:fldChar w:fldCharType="begin"/>
      </w:r>
      <w:r>
        <w:instrText xml:space="preserve"> PAGEREF _Toc11751468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Ballot procedures</w:t>
      </w:r>
    </w:p>
    <w:p>
      <w:pPr>
        <w:pStyle w:val="TOC8"/>
        <w:rPr>
          <w:rFonts w:asciiTheme="minorHAnsi" w:eastAsiaTheme="minorEastAsia" w:hAnsiTheme="minorHAnsi" w:cstheme="minorBidi"/>
          <w:szCs w:val="22"/>
        </w:rPr>
      </w:pPr>
      <w:r>
        <w:t>5.</w:t>
      </w:r>
      <w:r>
        <w:tab/>
        <w:t>Multiple applications: time of lodgment</w:t>
      </w:r>
      <w:r>
        <w:tab/>
      </w:r>
      <w:r>
        <w:fldChar w:fldCharType="begin"/>
      </w:r>
      <w:r>
        <w:instrText xml:space="preserve"> PAGEREF _Toc11751470 \h </w:instrText>
      </w:r>
      <w:r>
        <w:fldChar w:fldCharType="separate"/>
      </w:r>
      <w:r>
        <w:t>3</w:t>
      </w:r>
      <w:r>
        <w:fldChar w:fldCharType="end"/>
      </w:r>
    </w:p>
    <w:p>
      <w:pPr>
        <w:pStyle w:val="TOC8"/>
        <w:rPr>
          <w:rFonts w:asciiTheme="minorHAnsi" w:eastAsiaTheme="minorEastAsia" w:hAnsiTheme="minorHAnsi" w:cstheme="minorBidi"/>
          <w:szCs w:val="22"/>
        </w:rPr>
      </w:pPr>
      <w:r>
        <w:t>6.</w:t>
      </w:r>
      <w:r>
        <w:tab/>
        <w:t>Multiple applications: drawing of lots</w:t>
      </w:r>
      <w:r>
        <w:tab/>
      </w:r>
      <w:r>
        <w:fldChar w:fldCharType="begin"/>
      </w:r>
      <w:r>
        <w:instrText xml:space="preserve"> PAGEREF _Toc11751471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Records and samples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_Toc11751473 \h </w:instrText>
      </w:r>
      <w:r>
        <w:fldChar w:fldCharType="separate"/>
      </w:r>
      <w:r>
        <w:t>5</w:t>
      </w:r>
      <w:r>
        <w:fldChar w:fldCharType="end"/>
      </w:r>
    </w:p>
    <w:p>
      <w:pPr>
        <w:pStyle w:val="TOC8"/>
        <w:rPr>
          <w:rFonts w:asciiTheme="minorHAnsi" w:eastAsiaTheme="minorEastAsia" w:hAnsiTheme="minorHAnsi" w:cstheme="minorBidi"/>
          <w:szCs w:val="22"/>
        </w:rPr>
      </w:pPr>
      <w:r>
        <w:t>8.</w:t>
      </w:r>
      <w:r>
        <w:tab/>
        <w:t>Records</w:t>
      </w:r>
      <w:r>
        <w:tab/>
      </w:r>
      <w:r>
        <w:fldChar w:fldCharType="begin"/>
      </w:r>
      <w:r>
        <w:instrText xml:space="preserve"> PAGEREF _Toc11751474 \h </w:instrText>
      </w:r>
      <w:r>
        <w:fldChar w:fldCharType="separate"/>
      </w:r>
      <w:r>
        <w:t>5</w:t>
      </w:r>
      <w:r>
        <w:fldChar w:fldCharType="end"/>
      </w:r>
    </w:p>
    <w:p>
      <w:pPr>
        <w:pStyle w:val="TOC8"/>
        <w:rPr>
          <w:rFonts w:asciiTheme="minorHAnsi" w:eastAsiaTheme="minorEastAsia" w:hAnsiTheme="minorHAnsi" w:cstheme="minorBidi"/>
          <w:szCs w:val="22"/>
        </w:rPr>
      </w:pPr>
      <w:r>
        <w:t>9.</w:t>
      </w:r>
      <w:r>
        <w:tab/>
        <w:t>Drill cores</w:t>
      </w:r>
      <w:r>
        <w:tab/>
      </w:r>
      <w:r>
        <w:fldChar w:fldCharType="begin"/>
      </w:r>
      <w:r>
        <w:instrText xml:space="preserve"> PAGEREF _Toc11751475 \h </w:instrText>
      </w:r>
      <w:r>
        <w:fldChar w:fldCharType="separate"/>
      </w:r>
      <w:r>
        <w:t>6</w:t>
      </w:r>
      <w:r>
        <w:fldChar w:fldCharType="end"/>
      </w:r>
    </w:p>
    <w:p>
      <w:pPr>
        <w:pStyle w:val="TOC8"/>
        <w:rPr>
          <w:rFonts w:asciiTheme="minorHAnsi" w:eastAsiaTheme="minorEastAsia" w:hAnsiTheme="minorHAnsi" w:cstheme="minorBidi"/>
          <w:szCs w:val="22"/>
        </w:rPr>
      </w:pPr>
      <w:r>
        <w:t>10.</w:t>
      </w:r>
      <w:r>
        <w:tab/>
        <w:t>Testing and analysis of samples</w:t>
      </w:r>
      <w:r>
        <w:tab/>
      </w:r>
      <w:r>
        <w:fldChar w:fldCharType="begin"/>
      </w:r>
      <w:r>
        <w:instrText xml:space="preserve"> PAGEREF _Toc11751476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Restoration of environment</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_Toc11751478 \h </w:instrText>
      </w:r>
      <w:r>
        <w:fldChar w:fldCharType="separate"/>
      </w:r>
      <w:r>
        <w:t>7</w:t>
      </w:r>
      <w:r>
        <w:fldChar w:fldCharType="end"/>
      </w:r>
    </w:p>
    <w:p>
      <w:pPr>
        <w:pStyle w:val="TOC8"/>
        <w:rPr>
          <w:rFonts w:asciiTheme="minorHAnsi" w:eastAsiaTheme="minorEastAsia" w:hAnsiTheme="minorHAnsi" w:cstheme="minorBidi"/>
          <w:szCs w:val="22"/>
        </w:rPr>
      </w:pPr>
      <w:r>
        <w:t>12.</w:t>
      </w:r>
      <w:r>
        <w:tab/>
        <w:t>Removal of unused mining property</w:t>
      </w:r>
      <w:r>
        <w:tab/>
      </w:r>
      <w:r>
        <w:fldChar w:fldCharType="begin"/>
      </w:r>
      <w:r>
        <w:instrText xml:space="preserve"> PAGEREF _Toc11751479 \h </w:instrText>
      </w:r>
      <w:r>
        <w:fldChar w:fldCharType="separate"/>
      </w:r>
      <w:r>
        <w:t>7</w:t>
      </w:r>
      <w:r>
        <w:fldChar w:fldCharType="end"/>
      </w:r>
    </w:p>
    <w:p>
      <w:pPr>
        <w:pStyle w:val="TOC8"/>
        <w:rPr>
          <w:rFonts w:asciiTheme="minorHAnsi" w:eastAsiaTheme="minorEastAsia" w:hAnsiTheme="minorHAnsi" w:cstheme="minorBidi"/>
          <w:szCs w:val="22"/>
        </w:rPr>
      </w:pPr>
      <w:r>
        <w:t>13.</w:t>
      </w:r>
      <w:r>
        <w:tab/>
        <w:t>Disposal of unused mining property</w:t>
      </w:r>
      <w:r>
        <w:tab/>
      </w:r>
      <w:r>
        <w:fldChar w:fldCharType="begin"/>
      </w:r>
      <w:r>
        <w:instrText xml:space="preserve"> PAGEREF _Toc11751480 \h </w:instrText>
      </w:r>
      <w:r>
        <w:fldChar w:fldCharType="separate"/>
      </w:r>
      <w:r>
        <w:t>7</w:t>
      </w:r>
      <w:r>
        <w:fldChar w:fldCharType="end"/>
      </w:r>
    </w:p>
    <w:p>
      <w:pPr>
        <w:pStyle w:val="TOC8"/>
        <w:rPr>
          <w:rFonts w:asciiTheme="minorHAnsi" w:eastAsiaTheme="minorEastAsia" w:hAnsiTheme="minorHAnsi" w:cstheme="minorBidi"/>
          <w:szCs w:val="22"/>
        </w:rPr>
      </w:pPr>
      <w:r>
        <w:t>14.</w:t>
      </w:r>
      <w:r>
        <w:tab/>
        <w:t>Direction to rehabilitate mining area</w:t>
      </w:r>
      <w:r>
        <w:tab/>
      </w:r>
      <w:r>
        <w:fldChar w:fldCharType="begin"/>
      </w:r>
      <w:r>
        <w:instrText xml:space="preserve"> PAGEREF _Toc11751481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15.</w:t>
      </w:r>
      <w:r>
        <w:tab/>
        <w:t>Maps</w:t>
      </w:r>
      <w:r>
        <w:tab/>
      </w:r>
      <w:r>
        <w:fldChar w:fldCharType="begin"/>
      </w:r>
      <w:r>
        <w:instrText xml:space="preserve"> PAGEREF _Toc11751483 \h </w:instrText>
      </w:r>
      <w:r>
        <w:fldChar w:fldCharType="separate"/>
      </w:r>
      <w:r>
        <w:t>9</w:t>
      </w:r>
      <w:r>
        <w:fldChar w:fldCharType="end"/>
      </w:r>
    </w:p>
    <w:p>
      <w:pPr>
        <w:pStyle w:val="TOC8"/>
        <w:rPr>
          <w:rFonts w:asciiTheme="minorHAnsi" w:eastAsiaTheme="minorEastAsia" w:hAnsiTheme="minorHAnsi" w:cstheme="minorBidi"/>
          <w:szCs w:val="22"/>
        </w:rPr>
      </w:pPr>
      <w:r>
        <w:t>16.</w:t>
      </w:r>
      <w:r>
        <w:tab/>
        <w:t>Notice of caveat</w:t>
      </w:r>
      <w:r>
        <w:tab/>
      </w:r>
      <w:r>
        <w:fldChar w:fldCharType="begin"/>
      </w:r>
      <w:r>
        <w:instrText xml:space="preserve"> PAGEREF _Toc11751484 \h </w:instrText>
      </w:r>
      <w:r>
        <w:fldChar w:fldCharType="separate"/>
      </w:r>
      <w:r>
        <w:t>9</w:t>
      </w:r>
      <w:r>
        <w:fldChar w:fldCharType="end"/>
      </w:r>
    </w:p>
    <w:p>
      <w:pPr>
        <w:pStyle w:val="TOC8"/>
        <w:rPr>
          <w:rFonts w:asciiTheme="minorHAnsi" w:eastAsiaTheme="minorEastAsia" w:hAnsiTheme="minorHAnsi" w:cstheme="minorBidi"/>
          <w:szCs w:val="22"/>
        </w:rPr>
      </w:pPr>
      <w:r>
        <w:t>17.</w:t>
      </w:r>
      <w:r>
        <w:tab/>
        <w:t>Copies of documents</w:t>
      </w:r>
      <w:r>
        <w:tab/>
      </w:r>
      <w:r>
        <w:fldChar w:fldCharType="begin"/>
      </w:r>
      <w:r>
        <w:instrText xml:space="preserve"> PAGEREF _Toc11751485 \h </w:instrText>
      </w:r>
      <w:r>
        <w:fldChar w:fldCharType="separate"/>
      </w:r>
      <w:r>
        <w:t>9</w:t>
      </w:r>
      <w:r>
        <w:fldChar w:fldCharType="end"/>
      </w:r>
    </w:p>
    <w:p>
      <w:pPr>
        <w:pStyle w:val="TOC8"/>
        <w:rPr>
          <w:rFonts w:asciiTheme="minorHAnsi" w:eastAsiaTheme="minorEastAsia" w:hAnsiTheme="minorHAnsi" w:cstheme="minorBidi"/>
          <w:szCs w:val="22"/>
        </w:rPr>
      </w:pPr>
      <w:r>
        <w:t>18.</w:t>
      </w:r>
      <w:r>
        <w:tab/>
        <w:t>Discharge of security</w:t>
      </w:r>
      <w:r>
        <w:tab/>
      </w:r>
      <w:r>
        <w:fldChar w:fldCharType="begin"/>
      </w:r>
      <w:r>
        <w:instrText xml:space="preserve"> PAGEREF _Toc11751486 \h </w:instrText>
      </w:r>
      <w:r>
        <w:fldChar w:fldCharType="separate"/>
      </w:r>
      <w:r>
        <w:t>9</w:t>
      </w:r>
      <w:r>
        <w:fldChar w:fldCharType="end"/>
      </w:r>
    </w:p>
    <w:p>
      <w:pPr>
        <w:pStyle w:val="TOC8"/>
        <w:rPr>
          <w:rFonts w:asciiTheme="minorHAnsi" w:eastAsiaTheme="minorEastAsia" w:hAnsiTheme="minorHAnsi" w:cstheme="minorBidi"/>
          <w:szCs w:val="22"/>
        </w:rPr>
      </w:pPr>
      <w:r>
        <w:t>19.</w:t>
      </w:r>
      <w:r>
        <w:tab/>
        <w:t>Licence fees (s. 425(2))</w:t>
      </w:r>
      <w:r>
        <w:tab/>
      </w:r>
      <w:r>
        <w:fldChar w:fldCharType="begin"/>
      </w:r>
      <w:r>
        <w:instrText xml:space="preserve"> PAGEREF _Toc11751487 \h </w:instrText>
      </w:r>
      <w:r>
        <w:fldChar w:fldCharType="separate"/>
      </w:r>
      <w:r>
        <w:t>10</w:t>
      </w:r>
      <w:r>
        <w:fldChar w:fldCharType="end"/>
      </w:r>
    </w:p>
    <w:p>
      <w:pPr>
        <w:pStyle w:val="TOC8"/>
        <w:rPr>
          <w:rFonts w:asciiTheme="minorHAnsi" w:eastAsiaTheme="minorEastAsia" w:hAnsiTheme="minorHAnsi" w:cstheme="minorBidi"/>
          <w:szCs w:val="22"/>
        </w:rPr>
      </w:pPr>
      <w:r>
        <w:t>20.</w:t>
      </w:r>
      <w:r>
        <w:tab/>
        <w:t>Other fees</w:t>
      </w:r>
      <w:r>
        <w:tab/>
      </w:r>
      <w:r>
        <w:fldChar w:fldCharType="begin"/>
      </w:r>
      <w:r>
        <w:instrText xml:space="preserve"> PAGEREF _Toc11751488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Fiducial Network geodetic stations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_Toc11751492 \h </w:instrText>
      </w:r>
      <w:r>
        <w:fldChar w:fldCharType="separate"/>
      </w:r>
      <w:r>
        <w:t>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_Toc11751493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Offshore Minerals Act 2003</w:t>
      </w:r>
    </w:p>
    <w:p>
      <w:pPr>
        <w:pStyle w:val="NameofActReg"/>
      </w:pPr>
      <w:r>
        <w:t>Offshore Minerals Regulations 2010</w:t>
      </w:r>
    </w:p>
    <w:p>
      <w:pPr>
        <w:pStyle w:val="Heading2"/>
        <w:pageBreakBefore w:val="0"/>
      </w:pPr>
      <w:bookmarkStart w:id="3" w:name="_Toc465774428"/>
      <w:bookmarkStart w:id="4" w:name="_Toc466281937"/>
      <w:bookmarkStart w:id="5" w:name="_Toc469996889"/>
      <w:bookmarkStart w:id="6" w:name="_Toc486412411"/>
      <w:bookmarkStart w:id="7" w:name="_Toc517873330"/>
      <w:bookmarkStart w:id="8" w:name="_Toc11751431"/>
      <w:bookmarkStart w:id="9" w:name="_Toc1175146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1751464"/>
      <w:r>
        <w:rPr>
          <w:rStyle w:val="CharSectno"/>
        </w:rPr>
        <w:t>1</w:t>
      </w:r>
      <w:r>
        <w:t>.</w:t>
      </w:r>
      <w:r>
        <w:tab/>
        <w:t>Citation</w:t>
      </w:r>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12" w:name="_Toc11751465"/>
      <w:r>
        <w:rPr>
          <w:rStyle w:val="CharSectno"/>
        </w:rPr>
        <w:t>2</w:t>
      </w:r>
      <w:r>
        <w:rPr>
          <w:spacing w:val="-2"/>
        </w:rPr>
        <w:t>.</w:t>
      </w:r>
      <w:r>
        <w:rPr>
          <w:spacing w:val="-2"/>
        </w:rPr>
        <w:tab/>
        <w:t>Commencement</w:t>
      </w:r>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
          <w:iCs/>
          <w:vertAlign w:val="superscript"/>
        </w:rPr>
        <w:t> </w:t>
      </w:r>
      <w:r>
        <w:rPr>
          <w:iCs/>
          <w:vertAlign w:val="superscript"/>
        </w:rPr>
        <w:t>1</w:t>
      </w:r>
      <w:r>
        <w:t>;</w:t>
      </w:r>
    </w:p>
    <w:p>
      <w:pPr>
        <w:pStyle w:val="Indenta"/>
      </w:pPr>
      <w:r>
        <w:tab/>
        <w:t>(b)</w:t>
      </w:r>
      <w:r>
        <w:tab/>
        <w:t>the rest of the regulations — on the day on which the provisions of the Act, other than sections 1 and 2, come into operation.</w:t>
      </w:r>
    </w:p>
    <w:p>
      <w:pPr>
        <w:pStyle w:val="Heading5"/>
      </w:pPr>
      <w:bookmarkStart w:id="13" w:name="_Toc11751466"/>
      <w:r>
        <w:rPr>
          <w:rStyle w:val="CharSectno"/>
        </w:rPr>
        <w:t>3</w:t>
      </w:r>
      <w:r>
        <w:t>.</w:t>
      </w:r>
      <w:r>
        <w:tab/>
        <w:t>Term used: section</w:t>
      </w:r>
      <w:bookmarkEnd w:id="13"/>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4" w:name="_Toc465774432"/>
      <w:bookmarkStart w:id="15" w:name="_Toc466281941"/>
      <w:bookmarkStart w:id="16" w:name="_Toc469996893"/>
      <w:bookmarkStart w:id="17" w:name="_Toc486412415"/>
      <w:bookmarkStart w:id="18" w:name="_Toc517873334"/>
      <w:bookmarkStart w:id="19" w:name="_Toc11751435"/>
      <w:bookmarkStart w:id="20" w:name="_Toc11751467"/>
      <w:r>
        <w:rPr>
          <w:rStyle w:val="CharPartNo"/>
        </w:rPr>
        <w:t>Part 2</w:t>
      </w:r>
      <w:r>
        <w:rPr>
          <w:rStyle w:val="CharDivNo"/>
        </w:rPr>
        <w:t> </w:t>
      </w:r>
      <w:r>
        <w:t>—</w:t>
      </w:r>
      <w:r>
        <w:rPr>
          <w:rStyle w:val="CharDivText"/>
        </w:rPr>
        <w:t> </w:t>
      </w:r>
      <w:r>
        <w:rPr>
          <w:rStyle w:val="CharPartText"/>
        </w:rPr>
        <w:t>Prescribed Australian datum</w:t>
      </w:r>
      <w:bookmarkEnd w:id="14"/>
      <w:bookmarkEnd w:id="15"/>
      <w:bookmarkEnd w:id="16"/>
      <w:bookmarkEnd w:id="17"/>
      <w:bookmarkEnd w:id="18"/>
      <w:bookmarkEnd w:id="19"/>
      <w:bookmarkEnd w:id="20"/>
    </w:p>
    <w:p>
      <w:pPr>
        <w:pStyle w:val="Heading5"/>
      </w:pPr>
      <w:bookmarkStart w:id="21" w:name="_Toc11751468"/>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21"/>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22" w:name="_Toc465774434"/>
      <w:bookmarkStart w:id="23" w:name="_Toc466281943"/>
      <w:bookmarkStart w:id="24" w:name="_Toc469996895"/>
      <w:bookmarkStart w:id="25" w:name="_Toc486412417"/>
      <w:bookmarkStart w:id="26" w:name="_Toc517873336"/>
      <w:bookmarkStart w:id="27" w:name="_Toc11751437"/>
      <w:bookmarkStart w:id="28" w:name="_Toc11751469"/>
      <w:r>
        <w:rPr>
          <w:rStyle w:val="CharPartNo"/>
        </w:rPr>
        <w:t>Part 3</w:t>
      </w:r>
      <w:r>
        <w:rPr>
          <w:rStyle w:val="CharDivNo"/>
        </w:rPr>
        <w:t> </w:t>
      </w:r>
      <w:r>
        <w:t>—</w:t>
      </w:r>
      <w:r>
        <w:rPr>
          <w:rStyle w:val="CharDivText"/>
        </w:rPr>
        <w:t> </w:t>
      </w:r>
      <w:r>
        <w:rPr>
          <w:rStyle w:val="CharPartText"/>
        </w:rPr>
        <w:t>Ballot procedures</w:t>
      </w:r>
      <w:bookmarkEnd w:id="22"/>
      <w:bookmarkEnd w:id="23"/>
      <w:bookmarkEnd w:id="24"/>
      <w:bookmarkEnd w:id="25"/>
      <w:bookmarkEnd w:id="26"/>
      <w:bookmarkEnd w:id="27"/>
      <w:bookmarkEnd w:id="28"/>
    </w:p>
    <w:p>
      <w:pPr>
        <w:pStyle w:val="Heading5"/>
      </w:pPr>
      <w:bookmarkStart w:id="29" w:name="_Toc11751470"/>
      <w:r>
        <w:rPr>
          <w:rStyle w:val="CharSectno"/>
        </w:rPr>
        <w:t>5</w:t>
      </w:r>
      <w:r>
        <w:t>.</w:t>
      </w:r>
      <w:r>
        <w:tab/>
        <w:t>Multiple applications: time of lodgment</w:t>
      </w:r>
      <w:bookmarkEnd w:id="29"/>
    </w:p>
    <w:p>
      <w:pPr>
        <w:pStyle w:val="Subsection"/>
      </w:pPr>
      <w:r>
        <w:tab/>
      </w:r>
      <w:r>
        <w:tab/>
        <w:t>For the purposes of sections 58(2)(b) and 203(2)(b), the time of 30 minutes is prescribed.</w:t>
      </w:r>
    </w:p>
    <w:p>
      <w:pPr>
        <w:pStyle w:val="Heading5"/>
      </w:pPr>
      <w:bookmarkStart w:id="30" w:name="_Toc11751471"/>
      <w:r>
        <w:rPr>
          <w:rStyle w:val="CharSectno"/>
        </w:rPr>
        <w:t>6</w:t>
      </w:r>
      <w:r>
        <w:t>.</w:t>
      </w:r>
      <w:r>
        <w:tab/>
        <w:t>Multiple applications: drawing of lots</w:t>
      </w:r>
      <w:bookmarkEnd w:id="30"/>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31" w:name="_Toc465774437"/>
      <w:bookmarkStart w:id="32" w:name="_Toc466281946"/>
      <w:bookmarkStart w:id="33" w:name="_Toc469996898"/>
      <w:bookmarkStart w:id="34" w:name="_Toc486412420"/>
      <w:bookmarkStart w:id="35" w:name="_Toc517873339"/>
      <w:bookmarkStart w:id="36" w:name="_Toc11751440"/>
      <w:bookmarkStart w:id="37" w:name="_Toc11751472"/>
      <w:r>
        <w:rPr>
          <w:rStyle w:val="CharPartNo"/>
        </w:rPr>
        <w:t>Part 4</w:t>
      </w:r>
      <w:r>
        <w:rPr>
          <w:rStyle w:val="CharDivNo"/>
        </w:rPr>
        <w:t> </w:t>
      </w:r>
      <w:r>
        <w:t>—</w:t>
      </w:r>
      <w:r>
        <w:rPr>
          <w:rStyle w:val="CharDivText"/>
        </w:rPr>
        <w:t> </w:t>
      </w:r>
      <w:r>
        <w:rPr>
          <w:rStyle w:val="CharPartText"/>
        </w:rPr>
        <w:t>Records and samples</w:t>
      </w:r>
      <w:bookmarkEnd w:id="31"/>
      <w:bookmarkEnd w:id="32"/>
      <w:bookmarkEnd w:id="33"/>
      <w:bookmarkEnd w:id="34"/>
      <w:bookmarkEnd w:id="35"/>
      <w:bookmarkEnd w:id="36"/>
      <w:bookmarkEnd w:id="37"/>
    </w:p>
    <w:p>
      <w:pPr>
        <w:pStyle w:val="Heading5"/>
      </w:pPr>
      <w:bookmarkStart w:id="38" w:name="_Toc11751473"/>
      <w:r>
        <w:rPr>
          <w:rStyle w:val="CharSectno"/>
        </w:rPr>
        <w:t>7</w:t>
      </w:r>
      <w:r>
        <w:t>.</w:t>
      </w:r>
      <w:r>
        <w:tab/>
        <w:t>Terms used</w:t>
      </w:r>
      <w:bookmarkEnd w:id="38"/>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39" w:name="_Toc11751474"/>
      <w:r>
        <w:rPr>
          <w:rStyle w:val="CharSectno"/>
        </w:rPr>
        <w:t>8</w:t>
      </w:r>
      <w:r>
        <w:t>.</w:t>
      </w:r>
      <w:r>
        <w:tab/>
        <w:t>Records</w:t>
      </w:r>
      <w:bookmarkEnd w:id="39"/>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40" w:name="_Toc11751475"/>
      <w:r>
        <w:rPr>
          <w:rStyle w:val="CharSectno"/>
        </w:rPr>
        <w:t>9</w:t>
      </w:r>
      <w:r>
        <w:t>.</w:t>
      </w:r>
      <w:r>
        <w:tab/>
        <w:t>Drill cores</w:t>
      </w:r>
      <w:bookmarkEnd w:id="40"/>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41" w:name="_Toc11751476"/>
      <w:r>
        <w:rPr>
          <w:rStyle w:val="CharSectno"/>
        </w:rPr>
        <w:t>10</w:t>
      </w:r>
      <w:r>
        <w:t>.</w:t>
      </w:r>
      <w:r>
        <w:tab/>
        <w:t>Testing and analysis of samples</w:t>
      </w:r>
      <w:bookmarkEnd w:id="41"/>
    </w:p>
    <w:p>
      <w:pPr>
        <w:pStyle w:val="Subsection"/>
      </w:pPr>
      <w:r>
        <w:tab/>
      </w:r>
      <w:r>
        <w:tab/>
        <w:t>The Minister or an inspector may test or analyse a sample given to the Minister or inspector under section 371.</w:t>
      </w:r>
    </w:p>
    <w:p>
      <w:pPr>
        <w:pStyle w:val="Heading2"/>
      </w:pPr>
      <w:bookmarkStart w:id="42" w:name="_Toc465774442"/>
      <w:bookmarkStart w:id="43" w:name="_Toc466281951"/>
      <w:bookmarkStart w:id="44" w:name="_Toc469996903"/>
      <w:bookmarkStart w:id="45" w:name="_Toc486412425"/>
      <w:bookmarkStart w:id="46" w:name="_Toc517873344"/>
      <w:bookmarkStart w:id="47" w:name="_Toc11751445"/>
      <w:bookmarkStart w:id="48" w:name="_Toc11751477"/>
      <w:r>
        <w:rPr>
          <w:rStyle w:val="CharPartNo"/>
        </w:rPr>
        <w:t>Part 5</w:t>
      </w:r>
      <w:r>
        <w:rPr>
          <w:rStyle w:val="CharDivNo"/>
        </w:rPr>
        <w:t> </w:t>
      </w:r>
      <w:r>
        <w:t>—</w:t>
      </w:r>
      <w:r>
        <w:rPr>
          <w:rStyle w:val="CharDivText"/>
        </w:rPr>
        <w:t> </w:t>
      </w:r>
      <w:r>
        <w:rPr>
          <w:rStyle w:val="CharPartText"/>
        </w:rPr>
        <w:t>Restoration of environment</w:t>
      </w:r>
      <w:bookmarkEnd w:id="42"/>
      <w:bookmarkEnd w:id="43"/>
      <w:bookmarkEnd w:id="44"/>
      <w:bookmarkEnd w:id="45"/>
      <w:bookmarkEnd w:id="46"/>
      <w:bookmarkEnd w:id="47"/>
      <w:bookmarkEnd w:id="48"/>
    </w:p>
    <w:p>
      <w:pPr>
        <w:pStyle w:val="Heading5"/>
      </w:pPr>
      <w:bookmarkStart w:id="49" w:name="_Toc11751478"/>
      <w:r>
        <w:rPr>
          <w:rStyle w:val="CharSectno"/>
        </w:rPr>
        <w:t>11</w:t>
      </w:r>
      <w:r>
        <w:t>.</w:t>
      </w:r>
      <w:r>
        <w:tab/>
        <w:t>Terms used</w:t>
      </w:r>
      <w:bookmarkEnd w:id="49"/>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50" w:name="_Toc11751479"/>
      <w:r>
        <w:rPr>
          <w:rStyle w:val="CharSectno"/>
        </w:rPr>
        <w:t>12</w:t>
      </w:r>
      <w:r>
        <w:t>.</w:t>
      </w:r>
      <w:r>
        <w:tab/>
        <w:t>Removal of unused mining property</w:t>
      </w:r>
      <w:bookmarkEnd w:id="50"/>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51" w:name="_Toc11751480"/>
      <w:r>
        <w:rPr>
          <w:rStyle w:val="CharSectno"/>
        </w:rPr>
        <w:t>13</w:t>
      </w:r>
      <w:r>
        <w:t>.</w:t>
      </w:r>
      <w:r>
        <w:tab/>
        <w:t>Disposal of unused mining property</w:t>
      </w:r>
      <w:bookmarkEnd w:id="51"/>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52" w:name="_Toc11751481"/>
      <w:r>
        <w:rPr>
          <w:rStyle w:val="CharSectno"/>
        </w:rPr>
        <w:t>14</w:t>
      </w:r>
      <w:r>
        <w:t>.</w:t>
      </w:r>
      <w:r>
        <w:tab/>
        <w:t>Direction to rehabilitate mining area</w:t>
      </w:r>
      <w:bookmarkEnd w:id="52"/>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53" w:name="_Toc465774447"/>
      <w:bookmarkStart w:id="54" w:name="_Toc466281956"/>
      <w:bookmarkStart w:id="55" w:name="_Toc469996908"/>
      <w:bookmarkStart w:id="56" w:name="_Toc486412430"/>
      <w:bookmarkStart w:id="57" w:name="_Toc517873349"/>
      <w:bookmarkStart w:id="58" w:name="_Toc11751450"/>
      <w:bookmarkStart w:id="59" w:name="_Toc11751482"/>
      <w:r>
        <w:rPr>
          <w:rStyle w:val="CharPartNo"/>
        </w:rPr>
        <w:t>Part 6</w:t>
      </w:r>
      <w:r>
        <w:rPr>
          <w:rStyle w:val="CharDivNo"/>
        </w:rPr>
        <w:t> </w:t>
      </w:r>
      <w:r>
        <w:t>—</w:t>
      </w:r>
      <w:r>
        <w:rPr>
          <w:rStyle w:val="CharDivText"/>
        </w:rPr>
        <w:t> </w:t>
      </w:r>
      <w:r>
        <w:rPr>
          <w:rStyle w:val="CharPartText"/>
        </w:rPr>
        <w:t>Miscellaneous</w:t>
      </w:r>
      <w:bookmarkEnd w:id="53"/>
      <w:bookmarkEnd w:id="54"/>
      <w:bookmarkEnd w:id="55"/>
      <w:bookmarkEnd w:id="56"/>
      <w:bookmarkEnd w:id="57"/>
      <w:bookmarkEnd w:id="58"/>
      <w:bookmarkEnd w:id="59"/>
    </w:p>
    <w:p>
      <w:pPr>
        <w:pStyle w:val="Heading5"/>
      </w:pPr>
      <w:bookmarkStart w:id="60" w:name="_Toc11751483"/>
      <w:r>
        <w:rPr>
          <w:rStyle w:val="CharSectno"/>
        </w:rPr>
        <w:t>15</w:t>
      </w:r>
      <w:r>
        <w:t>.</w:t>
      </w:r>
      <w:r>
        <w:tab/>
        <w:t>Maps</w:t>
      </w:r>
      <w:bookmarkEnd w:id="60"/>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61" w:name="_Toc11751484"/>
      <w:r>
        <w:rPr>
          <w:rStyle w:val="CharSectno"/>
        </w:rPr>
        <w:t>16</w:t>
      </w:r>
      <w:r>
        <w:t>.</w:t>
      </w:r>
      <w:r>
        <w:tab/>
        <w:t>Notice of caveat</w:t>
      </w:r>
      <w:bookmarkEnd w:id="61"/>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62" w:name="_Toc11751485"/>
      <w:r>
        <w:rPr>
          <w:rStyle w:val="CharSectno"/>
        </w:rPr>
        <w:t>17</w:t>
      </w:r>
      <w:r>
        <w:t>.</w:t>
      </w:r>
      <w:r>
        <w:tab/>
        <w:t>Copies of documents</w:t>
      </w:r>
      <w:bookmarkEnd w:id="62"/>
    </w:p>
    <w:p>
      <w:pPr>
        <w:pStyle w:val="Subsection"/>
      </w:pPr>
      <w:r>
        <w:tab/>
      </w:r>
      <w:r>
        <w:tab/>
        <w:t>The Minister or an inspector may take a copy of a document produced to the Minister or inspector under section 370.</w:t>
      </w:r>
    </w:p>
    <w:p>
      <w:pPr>
        <w:pStyle w:val="Heading5"/>
      </w:pPr>
      <w:bookmarkStart w:id="63" w:name="_Toc11751486"/>
      <w:r>
        <w:rPr>
          <w:rStyle w:val="CharSectno"/>
        </w:rPr>
        <w:t>18</w:t>
      </w:r>
      <w:r>
        <w:t>.</w:t>
      </w:r>
      <w:r>
        <w:tab/>
        <w:t>Discharge of security</w:t>
      </w:r>
      <w:bookmarkEnd w:id="63"/>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64" w:name="_Toc11751487"/>
      <w:r>
        <w:rPr>
          <w:rStyle w:val="CharSectno"/>
        </w:rPr>
        <w:t>19</w:t>
      </w:r>
      <w:r>
        <w:t>.</w:t>
      </w:r>
      <w:r>
        <w:tab/>
        <w:t>Licence fees (s. 425(2))</w:t>
      </w:r>
      <w:bookmarkEnd w:id="64"/>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65" w:name="_Toc11751488"/>
      <w:r>
        <w:rPr>
          <w:rStyle w:val="CharSectno"/>
        </w:rPr>
        <w:t>20</w:t>
      </w:r>
      <w:r>
        <w:t>.</w:t>
      </w:r>
      <w:r>
        <w:tab/>
        <w:t>Other fees</w:t>
      </w:r>
      <w:bookmarkEnd w:id="65"/>
    </w:p>
    <w:p>
      <w:pPr>
        <w:pStyle w:val="Subsection"/>
      </w:pPr>
      <w:r>
        <w:tab/>
      </w:r>
      <w:r>
        <w:tab/>
        <w:t>The fees specified in Schedule 2 are the fees prescribed in respect of the matters specified in that Schedule.</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66" w:name="_Toc465774454"/>
      <w:bookmarkStart w:id="67" w:name="_Toc466281963"/>
      <w:bookmarkStart w:id="68" w:name="_Toc469996915"/>
      <w:bookmarkStart w:id="69" w:name="_Toc486412437"/>
      <w:bookmarkStart w:id="70" w:name="_Toc517873356"/>
      <w:bookmarkStart w:id="71" w:name="_Toc11751457"/>
      <w:bookmarkStart w:id="72" w:name="_Toc11751489"/>
      <w:r>
        <w:rPr>
          <w:rStyle w:val="CharSchNo"/>
        </w:rPr>
        <w:t>Schedule 1</w:t>
      </w:r>
      <w:r>
        <w:rPr>
          <w:rStyle w:val="CharSDivNo"/>
        </w:rPr>
        <w:t> </w:t>
      </w:r>
      <w:r>
        <w:t>—</w:t>
      </w:r>
      <w:r>
        <w:rPr>
          <w:rStyle w:val="CharSDivText"/>
        </w:rPr>
        <w:t> </w:t>
      </w:r>
      <w:r>
        <w:rPr>
          <w:rStyle w:val="CharSchText"/>
        </w:rPr>
        <w:t>Australian Fiducial Network geodetic stations</w:t>
      </w:r>
      <w:bookmarkEnd w:id="66"/>
      <w:bookmarkEnd w:id="67"/>
      <w:bookmarkEnd w:id="68"/>
      <w:bookmarkEnd w:id="69"/>
      <w:bookmarkEnd w:id="70"/>
      <w:bookmarkEnd w:id="71"/>
      <w:bookmarkEnd w:id="72"/>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73" w:name="_Toc465774455"/>
      <w:bookmarkStart w:id="74" w:name="_Toc466281964"/>
      <w:bookmarkStart w:id="75" w:name="_Toc469996916"/>
      <w:bookmarkStart w:id="76" w:name="_Toc486412438"/>
      <w:bookmarkStart w:id="77" w:name="_Toc517873357"/>
      <w:bookmarkStart w:id="78" w:name="_Toc11751458"/>
      <w:bookmarkStart w:id="79" w:name="_Toc11751490"/>
      <w:r>
        <w:rPr>
          <w:rStyle w:val="CharSchNo"/>
        </w:rPr>
        <w:t>Schedule 2</w:t>
      </w:r>
      <w:r>
        <w:rPr>
          <w:rStyle w:val="CharSDivNo"/>
        </w:rPr>
        <w:t> </w:t>
      </w:r>
      <w:r>
        <w:t>—</w:t>
      </w:r>
      <w:r>
        <w:rPr>
          <w:rStyle w:val="CharSDivText"/>
        </w:rPr>
        <w:t> </w:t>
      </w:r>
      <w:r>
        <w:rPr>
          <w:rStyle w:val="CharSchText"/>
        </w:rPr>
        <w:t>Fees</w:t>
      </w:r>
      <w:bookmarkEnd w:id="73"/>
      <w:bookmarkEnd w:id="74"/>
      <w:bookmarkEnd w:id="75"/>
      <w:bookmarkEnd w:id="76"/>
      <w:bookmarkEnd w:id="77"/>
      <w:bookmarkEnd w:id="78"/>
      <w:bookmarkEnd w:id="79"/>
    </w:p>
    <w:p>
      <w:pPr>
        <w:pStyle w:val="yShoulderClause"/>
      </w:pPr>
      <w:r>
        <w:t>[r. 20]</w:t>
      </w:r>
    </w:p>
    <w:p>
      <w:pPr>
        <w:pStyle w:val="yFootnoteheading"/>
        <w:spacing w:after="120"/>
      </w:pPr>
      <w:r>
        <w:tab/>
        <w:t>[Heading inserted: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jc w:val="center"/>
            </w:pPr>
            <w:r>
              <w:rPr>
                <w:b/>
              </w:rPr>
              <w:t>Description</w:t>
            </w:r>
          </w:p>
        </w:tc>
        <w:tc>
          <w:tcPr>
            <w:tcW w:w="1134" w:type="dxa"/>
          </w:tcPr>
          <w:p>
            <w:pPr>
              <w:pStyle w:val="yTableNAm"/>
              <w:ind w:right="98"/>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tabs>
                <w:tab w:val="clear" w:pos="567"/>
                <w:tab w:val="left" w:pos="361"/>
                <w:tab w:val="left" w:pos="841"/>
              </w:tabs>
              <w:ind w:left="841" w:hanging="841"/>
            </w:pPr>
            <w:r>
              <w:tab/>
              <w:t>(a)</w:t>
            </w:r>
            <w:r>
              <w:tab/>
              <w:t>standard block licence application (s. 56(1))</w:t>
            </w:r>
          </w:p>
          <w:p>
            <w:pPr>
              <w:pStyle w:val="yTableNAm"/>
              <w:tabs>
                <w:tab w:val="clear" w:pos="567"/>
                <w:tab w:val="left" w:pos="361"/>
                <w:tab w:val="left" w:pos="841"/>
              </w:tabs>
              <w:ind w:left="841" w:hanging="841"/>
            </w:pPr>
            <w:r>
              <w:tab/>
              <w:t>(b)</w:t>
            </w:r>
            <w:r>
              <w:tab/>
              <w:t>tender block licence application (s. 78(1))</w:t>
            </w:r>
          </w:p>
          <w:p>
            <w:pPr>
              <w:pStyle w:val="yTableNAm"/>
              <w:tabs>
                <w:tab w:val="clear" w:pos="567"/>
                <w:tab w:val="left" w:pos="361"/>
                <w:tab w:val="left" w:pos="841"/>
              </w:tabs>
              <w:ind w:left="841" w:hanging="841"/>
            </w:pPr>
            <w:r>
              <w:tab/>
              <w:t>(c)</w:t>
            </w:r>
            <w:r>
              <w:tab/>
              <w:t>renewal application (s. 106(1))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tabs>
                <w:tab w:val="clear" w:pos="567"/>
                <w:tab w:val="left" w:pos="361"/>
                <w:tab w:val="left" w:pos="841"/>
              </w:tabs>
              <w:ind w:left="841" w:hanging="841"/>
            </w:pPr>
            <w:r>
              <w:tab/>
              <w:t>(a)</w:t>
            </w:r>
            <w:r>
              <w:tab/>
              <w:t>licence application (s. 139(1))</w:t>
            </w:r>
          </w:p>
          <w:p>
            <w:pPr>
              <w:pStyle w:val="yTableNAm"/>
              <w:tabs>
                <w:tab w:val="clear" w:pos="567"/>
                <w:tab w:val="left" w:pos="361"/>
                <w:tab w:val="left" w:pos="841"/>
              </w:tabs>
              <w:ind w:left="841" w:hanging="841"/>
            </w:pPr>
            <w:r>
              <w:tab/>
              <w:t>(b)</w:t>
            </w:r>
            <w:r>
              <w:tab/>
              <w:t>renewal application (s. 163(1))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tabs>
                <w:tab w:val="clear" w:pos="567"/>
                <w:tab w:val="left" w:pos="361"/>
                <w:tab w:val="left" w:pos="841"/>
              </w:tabs>
              <w:ind w:left="841" w:hanging="841"/>
            </w:pPr>
            <w:r>
              <w:tab/>
              <w:t>(a)</w:t>
            </w:r>
            <w:r>
              <w:tab/>
              <w:t>standard block licence application (s. 201(1))</w:t>
            </w:r>
          </w:p>
          <w:p>
            <w:pPr>
              <w:pStyle w:val="yTableNAm"/>
              <w:tabs>
                <w:tab w:val="clear" w:pos="567"/>
                <w:tab w:val="left" w:pos="361"/>
                <w:tab w:val="left" w:pos="841"/>
              </w:tabs>
              <w:ind w:left="841" w:hanging="841"/>
            </w:pPr>
            <w:r>
              <w:tab/>
              <w:t>(b)</w:t>
            </w:r>
            <w:r>
              <w:tab/>
              <w:t>tender block licence application (s. 222(1))</w:t>
            </w:r>
          </w:p>
          <w:p>
            <w:pPr>
              <w:pStyle w:val="yTableNAm"/>
              <w:tabs>
                <w:tab w:val="clear" w:pos="567"/>
                <w:tab w:val="left" w:pos="361"/>
                <w:tab w:val="left" w:pos="841"/>
              </w:tabs>
              <w:ind w:left="841" w:hanging="841"/>
            </w:pPr>
            <w:r>
              <w:tab/>
              <w:t>(c)</w:t>
            </w:r>
            <w:r>
              <w:tab/>
              <w:t>renewal application (s. 240(1))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tabs>
                <w:tab w:val="clear" w:pos="567"/>
                <w:tab w:val="left" w:pos="361"/>
                <w:tab w:val="left" w:pos="841"/>
              </w:tabs>
              <w:ind w:left="841" w:hanging="841"/>
            </w:pPr>
            <w:r>
              <w:tab/>
              <w:t>(a)</w:t>
            </w:r>
            <w:r>
              <w:tab/>
              <w:t>licence application (s. 272(1))</w:t>
            </w:r>
          </w:p>
          <w:p>
            <w:pPr>
              <w:pStyle w:val="yTableNAm"/>
              <w:tabs>
                <w:tab w:val="clear" w:pos="567"/>
                <w:tab w:val="left" w:pos="361"/>
                <w:tab w:val="left" w:pos="841"/>
              </w:tabs>
              <w:ind w:left="841" w:hanging="841"/>
            </w:pPr>
            <w:r>
              <w:tab/>
              <w:t>(b)</w:t>
            </w:r>
            <w:r>
              <w:tab/>
              <w:t>renewal application (s. 292(1))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tcPr>
          <w:p>
            <w:pPr>
              <w:pStyle w:val="yTableNAm"/>
              <w:ind w:right="98"/>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tcPr>
          <w:p>
            <w:pPr>
              <w:pStyle w:val="yTableNAm"/>
              <w:ind w:right="98"/>
              <w:jc w:val="right"/>
            </w:pPr>
            <w:r>
              <w:rPr>
                <w:szCs w:val="22"/>
              </w:rPr>
              <w:t>23.60</w:t>
            </w:r>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tcPr>
          <w:p>
            <w:pPr>
              <w:pStyle w:val="yTableNAm"/>
              <w:ind w:right="98"/>
              <w:jc w:val="right"/>
            </w:pPr>
            <w:r>
              <w:rPr>
                <w:szCs w:val="22"/>
              </w:rPr>
              <w:t>60.00</w:t>
            </w:r>
          </w:p>
        </w:tc>
      </w:tr>
      <w:tr>
        <w:tc>
          <w:tcPr>
            <w:tcW w:w="709" w:type="dxa"/>
          </w:tcPr>
          <w:p>
            <w:pPr>
              <w:pStyle w:val="yTableNAm"/>
            </w:pPr>
            <w:r>
              <w:t>8.</w:t>
            </w:r>
          </w:p>
        </w:tc>
        <w:tc>
          <w:tcPr>
            <w:tcW w:w="5103" w:type="dxa"/>
          </w:tcPr>
          <w:p>
            <w:pPr>
              <w:pStyle w:val="yTableNAm"/>
            </w:pPr>
            <w:r>
              <w:t>Registration of other dealing (s. 339(1)(d))</w:t>
            </w:r>
          </w:p>
        </w:tc>
        <w:tc>
          <w:tcPr>
            <w:tcW w:w="1134" w:type="dxa"/>
          </w:tcPr>
          <w:p>
            <w:pPr>
              <w:pStyle w:val="yTableNAm"/>
              <w:ind w:right="98"/>
              <w:jc w:val="right"/>
            </w:pPr>
            <w:r>
              <w:rPr>
                <w:szCs w:val="22"/>
              </w:rPr>
              <w:t>149.00</w:t>
            </w:r>
          </w:p>
        </w:tc>
      </w:tr>
      <w:tr>
        <w:tc>
          <w:tcPr>
            <w:tcW w:w="709" w:type="dxa"/>
          </w:tcPr>
          <w:p>
            <w:pPr>
              <w:pStyle w:val="yTableNAm"/>
            </w:pPr>
            <w:r>
              <w:t>9.</w:t>
            </w:r>
          </w:p>
        </w:tc>
        <w:tc>
          <w:tcPr>
            <w:tcW w:w="5103" w:type="dxa"/>
          </w:tcPr>
          <w:p>
            <w:pPr>
              <w:pStyle w:val="yTableNAm"/>
            </w:pPr>
            <w:r>
              <w:t>Devolution of licence (s. 340(1)(d))</w:t>
            </w:r>
          </w:p>
        </w:tc>
        <w:tc>
          <w:tcPr>
            <w:tcW w:w="1134" w:type="dxa"/>
          </w:tcPr>
          <w:p>
            <w:pPr>
              <w:pStyle w:val="yTableNAm"/>
              <w:ind w:right="98"/>
              <w:jc w:val="right"/>
            </w:pPr>
            <w:r>
              <w:rPr>
                <w:szCs w:val="22"/>
              </w:rPr>
              <w:t>149.00</w:t>
            </w:r>
          </w:p>
        </w:tc>
      </w:tr>
      <w:tr>
        <w:tc>
          <w:tcPr>
            <w:tcW w:w="709" w:type="dxa"/>
          </w:tcPr>
          <w:p>
            <w:pPr>
              <w:pStyle w:val="yTableNAm"/>
            </w:pPr>
            <w:r>
              <w:t>10.</w:t>
            </w:r>
          </w:p>
        </w:tc>
        <w:tc>
          <w:tcPr>
            <w:tcW w:w="5103" w:type="dxa"/>
          </w:tcPr>
          <w:p>
            <w:pPr>
              <w:pStyle w:val="yTableNAm"/>
            </w:pPr>
            <w:r>
              <w:t>Caveat (s. 344)</w:t>
            </w:r>
          </w:p>
        </w:tc>
        <w:tc>
          <w:tcPr>
            <w:tcW w:w="1134" w:type="dxa"/>
          </w:tcPr>
          <w:p>
            <w:pPr>
              <w:pStyle w:val="yTableNAm"/>
              <w:ind w:right="98"/>
              <w:jc w:val="right"/>
            </w:pPr>
            <w:r>
              <w:rPr>
                <w:szCs w:val="22"/>
              </w:rPr>
              <w:t>149.00</w:t>
            </w:r>
          </w:p>
        </w:tc>
      </w:tr>
      <w:tr>
        <w:tc>
          <w:tcPr>
            <w:tcW w:w="709" w:type="dxa"/>
          </w:tcPr>
          <w:p>
            <w:pPr>
              <w:pStyle w:val="yTableNAm"/>
            </w:pPr>
            <w:r>
              <w:t>11.</w:t>
            </w:r>
          </w:p>
        </w:tc>
        <w:tc>
          <w:tcPr>
            <w:tcW w:w="5103" w:type="dxa"/>
          </w:tcPr>
          <w:p>
            <w:pPr>
              <w:pStyle w:val="yTableNAm"/>
            </w:pPr>
            <w:r>
              <w:t>Certified copy of or extract from register (s. 357(4))</w:t>
            </w:r>
          </w:p>
          <w:p>
            <w:pPr>
              <w:pStyle w:val="yTableNAm"/>
            </w:pPr>
            <w:r>
              <w:t>(per page)</w:t>
            </w:r>
          </w:p>
        </w:tc>
        <w:tc>
          <w:tcPr>
            <w:tcW w:w="1134" w:type="dxa"/>
          </w:tcPr>
          <w:p>
            <w:pPr>
              <w:pStyle w:val="yTableNAm"/>
              <w:ind w:right="98"/>
              <w:jc w:val="right"/>
            </w:pPr>
            <w:r>
              <w:br/>
            </w:r>
            <w:r>
              <w:rPr>
                <w:szCs w:val="22"/>
              </w:rPr>
              <w:t>6.00</w:t>
            </w:r>
          </w:p>
        </w:tc>
      </w:tr>
      <w:tr>
        <w:tc>
          <w:tcPr>
            <w:tcW w:w="709" w:type="dxa"/>
          </w:tcPr>
          <w:p>
            <w:pPr>
              <w:pStyle w:val="yTableNAm"/>
            </w:pPr>
            <w:r>
              <w:t>12.</w:t>
            </w:r>
          </w:p>
        </w:tc>
        <w:tc>
          <w:tcPr>
            <w:tcW w:w="5103" w:type="dxa"/>
          </w:tcPr>
          <w:p>
            <w:pPr>
              <w:pStyle w:val="yTableNAm"/>
            </w:pPr>
            <w:r>
              <w:t>Certified copy of document (s. 358(1)) (per page)</w:t>
            </w:r>
          </w:p>
        </w:tc>
        <w:tc>
          <w:tcPr>
            <w:tcW w:w="1134" w:type="dxa"/>
          </w:tcPr>
          <w:p>
            <w:pPr>
              <w:pStyle w:val="yTableNAm"/>
              <w:ind w:right="98"/>
              <w:jc w:val="right"/>
            </w:pPr>
            <w:r>
              <w:rPr>
                <w:szCs w:val="22"/>
              </w:rPr>
              <w:t>6.00</w:t>
            </w:r>
          </w:p>
        </w:tc>
      </w:tr>
      <w:tr>
        <w:tc>
          <w:tcPr>
            <w:tcW w:w="709" w:type="dxa"/>
          </w:tcPr>
          <w:p>
            <w:pPr>
              <w:pStyle w:val="yTableNAm"/>
            </w:pPr>
            <w:r>
              <w:t>13.</w:t>
            </w:r>
          </w:p>
        </w:tc>
        <w:tc>
          <w:tcPr>
            <w:tcW w:w="5103" w:type="dxa"/>
          </w:tcPr>
          <w:p>
            <w:pPr>
              <w:pStyle w:val="yTableNAm"/>
            </w:pPr>
            <w:r>
              <w:t>Certificate (s. 359(1))</w:t>
            </w:r>
          </w:p>
        </w:tc>
        <w:tc>
          <w:tcPr>
            <w:tcW w:w="1134" w:type="dxa"/>
          </w:tcPr>
          <w:p>
            <w:pPr>
              <w:pStyle w:val="yTableNAm"/>
              <w:ind w:right="98"/>
              <w:jc w:val="right"/>
            </w:pPr>
            <w:r>
              <w:rPr>
                <w:szCs w:val="22"/>
              </w:rPr>
              <w:t>60.00</w:t>
            </w:r>
          </w:p>
        </w:tc>
      </w:tr>
      <w:tr>
        <w:tc>
          <w:tcPr>
            <w:tcW w:w="709" w:type="dxa"/>
          </w:tcPr>
          <w:p>
            <w:pPr>
              <w:pStyle w:val="yTableNAm"/>
            </w:pPr>
            <w:r>
              <w:t>14.</w:t>
            </w:r>
          </w:p>
        </w:tc>
        <w:tc>
          <w:tcPr>
            <w:tcW w:w="5103" w:type="dxa"/>
          </w:tcPr>
          <w:p>
            <w:pPr>
              <w:pStyle w:val="yTableNAm"/>
            </w:pPr>
            <w:r>
              <w:t>Approval of transfer application (s. 363(6))</w:t>
            </w:r>
          </w:p>
        </w:tc>
        <w:tc>
          <w:tcPr>
            <w:tcW w:w="1134" w:type="dxa"/>
          </w:tcPr>
          <w:p>
            <w:pPr>
              <w:pStyle w:val="yTableNAm"/>
              <w:ind w:right="98"/>
              <w:jc w:val="right"/>
            </w:pPr>
            <w:r>
              <w:rPr>
                <w:szCs w:val="22"/>
              </w:rPr>
              <w:t>149.00</w:t>
            </w:r>
          </w:p>
        </w:tc>
      </w:tr>
    </w:tbl>
    <w:p>
      <w:pPr>
        <w:pStyle w:val="yFootnotesection"/>
      </w:pPr>
      <w:r>
        <w:tab/>
        <w:t>[Schedule 2 inserted: Gazette 22 Jun 2012 p. 2796; amended: Gazette 26 Jul 2013 p. 3355-6; 20 Jun 2014 p. 2039; 26 Jun 2015 p. 2256</w:t>
      </w:r>
      <w:r>
        <w:noBreakHyphen/>
        <w:t>7; 24 Jun 2016 p. 2338; 23 Jun 2017 p. 3297; 25 Jun 2018 p. 2312.]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81" w:name="_Toc465774456"/>
      <w:bookmarkStart w:id="82" w:name="_Toc466281965"/>
      <w:bookmarkStart w:id="83" w:name="_Toc469996917"/>
      <w:bookmarkStart w:id="84" w:name="_Toc486412439"/>
      <w:bookmarkStart w:id="85" w:name="_Toc517873358"/>
      <w:bookmarkStart w:id="86" w:name="_Toc11751459"/>
      <w:bookmarkStart w:id="87" w:name="_Toc11751491"/>
      <w:r>
        <w:t>Notes</w:t>
      </w:r>
      <w:bookmarkEnd w:id="81"/>
      <w:bookmarkEnd w:id="82"/>
      <w:bookmarkEnd w:id="83"/>
      <w:bookmarkEnd w:id="84"/>
      <w:bookmarkEnd w:id="85"/>
      <w:bookmarkEnd w:id="86"/>
      <w:bookmarkEnd w:id="87"/>
    </w:p>
    <w:p>
      <w:pPr>
        <w:pStyle w:val="nSubsection"/>
      </w:pPr>
      <w:r>
        <w:rPr>
          <w:vertAlign w:val="superscript"/>
        </w:rPr>
        <w:t>1</w:t>
      </w:r>
      <w:r>
        <w:tab/>
        <w:t xml:space="preserve">This is a compilation of the </w:t>
      </w:r>
      <w:r>
        <w:rPr>
          <w:i/>
          <w:noProof/>
        </w:rPr>
        <w:t>Offshore Minerals Regulations 2010</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88" w:name="_Toc11751492"/>
      <w:r>
        <w:t>Compilation table</w:t>
      </w:r>
      <w:bookmarkEnd w:id="8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c>
          <w:tcPr>
            <w:tcW w:w="3119"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c>
          <w:tcPr>
            <w:tcW w:w="3119"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c>
          <w:tcPr>
            <w:tcW w:w="3119"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c>
          <w:tcPr>
            <w:tcW w:w="3119"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Offshore Minerals Regulations 2010</w:t>
            </w:r>
            <w:r>
              <w:rPr>
                <w:rFonts w:ascii="Times" w:hAnsi="Times"/>
                <w:b/>
                <w:bCs/>
                <w:snapToGrid w:val="0"/>
                <w:spacing w:val="-2"/>
              </w:rPr>
              <w:t xml:space="preserve"> as at 10 Feb 2017</w:t>
            </w:r>
            <w:r>
              <w:rPr>
                <w:rFonts w:ascii="Times" w:hAnsi="Times"/>
                <w:bCs/>
                <w:snapToGrid w:val="0"/>
                <w:spacing w:val="-2"/>
              </w:rPr>
              <w:t xml:space="preserve"> (includes amendments listed above)</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19" w:type="dxa"/>
            <w:tcBorders>
              <w:top w:val="nil"/>
              <w:bottom w:val="single" w:sz="4" w:space="0" w:color="auto"/>
            </w:tcBorders>
          </w:tcPr>
          <w:p>
            <w:pPr>
              <w:pStyle w:val="nTable"/>
              <w:spacing w:after="40"/>
              <w:rPr>
                <w:b/>
                <w:i/>
              </w:rPr>
            </w:pPr>
            <w:r>
              <w:rPr>
                <w:i/>
              </w:rPr>
              <w:t>Mines and Petroleum Regulations Amendment (Fees and Charges) Regulations 2018</w:t>
            </w:r>
            <w:r>
              <w:t xml:space="preserve"> Pt. 9</w:t>
            </w:r>
          </w:p>
        </w:tc>
        <w:tc>
          <w:tcPr>
            <w:tcW w:w="1276" w:type="dxa"/>
            <w:tcBorders>
              <w:top w:val="nil"/>
              <w:bottom w:val="single" w:sz="4" w:space="0" w:color="auto"/>
            </w:tcBorders>
          </w:tcPr>
          <w:p>
            <w:pPr>
              <w:pStyle w:val="nTable"/>
              <w:spacing w:after="40"/>
            </w:pPr>
            <w:r>
              <w:t>25 Jun 2018 p. 2297</w:t>
            </w:r>
            <w:r>
              <w:noBreakHyphen/>
              <w:t>324</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 w:name="_Toc11751493"/>
      <w:r>
        <w:t>Provisions that have not come into operation</w:t>
      </w:r>
      <w:bookmarkEnd w:id="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2019</w:t>
            </w:r>
            <w:r>
              <w:t xml:space="preserve"> Pt. 8</w:t>
            </w:r>
            <w:r>
              <w:rPr>
                <w:vertAlign w:val="superscript"/>
              </w:rPr>
              <w:t> 2</w:t>
            </w:r>
          </w:p>
        </w:tc>
        <w:tc>
          <w:tcPr>
            <w:tcW w:w="1276" w:type="dxa"/>
          </w:tcPr>
          <w:p>
            <w:pPr>
              <w:pStyle w:val="nTable"/>
              <w:spacing w:after="40"/>
            </w:pPr>
            <w:r>
              <w:t>18 Jun 2019 p. 2040</w:t>
            </w:r>
            <w:r>
              <w:noBreakHyphen/>
              <w:t>56</w:t>
            </w:r>
          </w:p>
        </w:tc>
        <w:tc>
          <w:tcPr>
            <w:tcW w:w="2693" w:type="dxa"/>
          </w:tcPr>
          <w:p>
            <w:pPr>
              <w:pStyle w:val="nTable"/>
              <w:spacing w:after="40"/>
            </w:pPr>
            <w:r>
              <w:t>1 Jul 2019 (see r. 2(b))</w:t>
            </w:r>
          </w:p>
        </w:tc>
      </w:tr>
    </w:tbl>
    <w:p>
      <w:pPr>
        <w:pStyle w:val="nSubsection"/>
      </w:pPr>
      <w:r>
        <w:rPr>
          <w:vertAlign w:val="superscript"/>
        </w:rPr>
        <w:t>2</w:t>
      </w:r>
      <w:r>
        <w:tab/>
        <w:t xml:space="preserve">On the date as at which this compilation was prepared, the </w:t>
      </w:r>
      <w:r>
        <w:rPr>
          <w:i/>
        </w:rPr>
        <w:t>Mines and Petroleum Regulations Amendment (Fees and Charges) Regulations 2019</w:t>
      </w:r>
      <w:r>
        <w:t xml:space="preserve"> Pt. 8 had not come into operation.  It reads as follows:</w:t>
      </w:r>
    </w:p>
    <w:p>
      <w:pPr>
        <w:pStyle w:val="BlankOpen"/>
      </w:pPr>
    </w:p>
    <w:p>
      <w:pPr>
        <w:pStyle w:val="nzHeading2"/>
      </w:pPr>
      <w:bookmarkStart w:id="90" w:name="_Toc8722730"/>
      <w:bookmarkStart w:id="91" w:name="_Toc8722800"/>
      <w:bookmarkStart w:id="92" w:name="_Toc8725092"/>
      <w:bookmarkStart w:id="93" w:name="_Toc8731412"/>
      <w:bookmarkStart w:id="94" w:name="_Toc8731781"/>
      <w:bookmarkStart w:id="95" w:name="_Toc8744445"/>
      <w:bookmarkStart w:id="96" w:name="_Toc8744681"/>
      <w:r>
        <w:rPr>
          <w:rStyle w:val="CharPartNo"/>
        </w:rPr>
        <w:t>Part 8</w:t>
      </w:r>
      <w:r>
        <w:rPr>
          <w:rStyle w:val="CharDivNo"/>
        </w:rPr>
        <w:t> </w:t>
      </w:r>
      <w:r>
        <w:t>—</w:t>
      </w:r>
      <w:r>
        <w:rPr>
          <w:rStyle w:val="CharDivText"/>
        </w:rPr>
        <w:t> </w:t>
      </w:r>
      <w:r>
        <w:rPr>
          <w:rStyle w:val="CharPartText"/>
          <w:i/>
        </w:rPr>
        <w:t>Offshore Minerals Regulations 2010</w:t>
      </w:r>
      <w:r>
        <w:rPr>
          <w:rStyle w:val="CharPartText"/>
        </w:rPr>
        <w:t xml:space="preserve"> amended</w:t>
      </w:r>
      <w:bookmarkEnd w:id="90"/>
      <w:bookmarkEnd w:id="91"/>
      <w:bookmarkEnd w:id="92"/>
      <w:bookmarkEnd w:id="93"/>
      <w:bookmarkEnd w:id="94"/>
      <w:bookmarkEnd w:id="95"/>
      <w:bookmarkEnd w:id="96"/>
    </w:p>
    <w:p>
      <w:pPr>
        <w:pStyle w:val="nzHeading5"/>
      </w:pPr>
      <w:bookmarkStart w:id="97" w:name="_Toc8731413"/>
      <w:bookmarkStart w:id="98" w:name="_Toc8744446"/>
      <w:bookmarkStart w:id="99" w:name="_Toc8744682"/>
      <w:r>
        <w:rPr>
          <w:rStyle w:val="CharSectno"/>
        </w:rPr>
        <w:t>22</w:t>
      </w:r>
      <w:r>
        <w:t>.</w:t>
      </w:r>
      <w:r>
        <w:tab/>
        <w:t>Regulations amended</w:t>
      </w:r>
      <w:bookmarkEnd w:id="97"/>
      <w:bookmarkEnd w:id="98"/>
      <w:bookmarkEnd w:id="99"/>
    </w:p>
    <w:p>
      <w:pPr>
        <w:pStyle w:val="nzSubsection"/>
      </w:pPr>
      <w:r>
        <w:tab/>
      </w:r>
      <w:r>
        <w:tab/>
        <w:t xml:space="preserve">This Part amends the </w:t>
      </w:r>
      <w:r>
        <w:rPr>
          <w:i/>
        </w:rPr>
        <w:t>Offshore Minerals Regulations 2010</w:t>
      </w:r>
      <w:r>
        <w:t>.</w:t>
      </w:r>
    </w:p>
    <w:p>
      <w:pPr>
        <w:pStyle w:val="nzHeading5"/>
      </w:pPr>
      <w:bookmarkStart w:id="100" w:name="_Toc8731414"/>
      <w:bookmarkStart w:id="101" w:name="_Toc8744447"/>
      <w:bookmarkStart w:id="102" w:name="_Toc8744683"/>
      <w:r>
        <w:rPr>
          <w:rStyle w:val="CharSectno"/>
        </w:rPr>
        <w:t>23</w:t>
      </w:r>
      <w:r>
        <w:t>.</w:t>
      </w:r>
      <w:r>
        <w:tab/>
        <w:t>Schedule 2 replaced</w:t>
      </w:r>
      <w:bookmarkEnd w:id="100"/>
      <w:bookmarkEnd w:id="101"/>
      <w:bookmarkEnd w:id="102"/>
    </w:p>
    <w:p>
      <w:pPr>
        <w:pStyle w:val="nzSubsection"/>
      </w:pPr>
      <w:r>
        <w:tab/>
      </w:r>
      <w:r>
        <w:tab/>
        <w:t>Delete Schedule 2 and insert:</w:t>
      </w:r>
    </w:p>
    <w:p>
      <w:pPr>
        <w:pStyle w:val="BlankOpen"/>
      </w:pPr>
    </w:p>
    <w:p>
      <w:pPr>
        <w:pStyle w:val="nzHeading2"/>
      </w:pPr>
      <w:bookmarkStart w:id="103" w:name="_Toc8722733"/>
      <w:bookmarkStart w:id="104" w:name="_Toc8722803"/>
      <w:bookmarkStart w:id="105" w:name="_Toc8725095"/>
      <w:bookmarkStart w:id="106" w:name="_Toc8731415"/>
      <w:bookmarkStart w:id="107" w:name="_Toc8731784"/>
      <w:bookmarkStart w:id="108" w:name="_Toc8744448"/>
      <w:bookmarkStart w:id="109" w:name="_Toc8744684"/>
      <w:r>
        <w:t>Schedule 2 — Fees</w:t>
      </w:r>
      <w:bookmarkEnd w:id="103"/>
      <w:bookmarkEnd w:id="104"/>
      <w:bookmarkEnd w:id="105"/>
      <w:bookmarkEnd w:id="106"/>
      <w:bookmarkEnd w:id="107"/>
      <w:bookmarkEnd w:id="108"/>
      <w:bookmarkEnd w:id="109"/>
    </w:p>
    <w:p>
      <w:pPr>
        <w:pStyle w:val="nzShoulderClause"/>
      </w:pPr>
      <w:r>
        <w:t>[r. 20]</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134"/>
      </w:tblGrid>
      <w:tr>
        <w:trPr>
          <w:tblHeader/>
        </w:trPr>
        <w:tc>
          <w:tcPr>
            <w:tcW w:w="709" w:type="dxa"/>
          </w:tcPr>
          <w:p>
            <w:pPr>
              <w:pStyle w:val="nzTable"/>
              <w:rPr>
                <w:b/>
              </w:rPr>
            </w:pPr>
            <w:r>
              <w:rPr>
                <w:b/>
              </w:rPr>
              <w:t>Item</w:t>
            </w:r>
          </w:p>
        </w:tc>
        <w:tc>
          <w:tcPr>
            <w:tcW w:w="4678" w:type="dxa"/>
          </w:tcPr>
          <w:p>
            <w:pPr>
              <w:pStyle w:val="nzTable"/>
              <w:rPr>
                <w:b/>
              </w:rPr>
            </w:pPr>
            <w:r>
              <w:rPr>
                <w:b/>
              </w:rPr>
              <w:t>Description</w:t>
            </w:r>
          </w:p>
        </w:tc>
        <w:tc>
          <w:tcPr>
            <w:tcW w:w="1134" w:type="dxa"/>
            <w:vAlign w:val="center"/>
          </w:tcPr>
          <w:p>
            <w:pPr>
              <w:pStyle w:val="nzTable"/>
              <w:rPr>
                <w:b/>
              </w:rPr>
            </w:pPr>
            <w:r>
              <w:rPr>
                <w:b/>
              </w:rPr>
              <w:t>Fee ($)</w:t>
            </w:r>
          </w:p>
        </w:tc>
      </w:tr>
      <w:tr>
        <w:tc>
          <w:tcPr>
            <w:tcW w:w="709" w:type="dxa"/>
          </w:tcPr>
          <w:p>
            <w:pPr>
              <w:pStyle w:val="nzTable"/>
            </w:pPr>
            <w:r>
              <w:t>1.</w:t>
            </w:r>
          </w:p>
        </w:tc>
        <w:tc>
          <w:tcPr>
            <w:tcW w:w="4678" w:type="dxa"/>
          </w:tcPr>
          <w:p>
            <w:pPr>
              <w:pStyle w:val="nzTable"/>
              <w:tabs>
                <w:tab w:val="left" w:pos="389"/>
              </w:tabs>
            </w:pPr>
            <w:r>
              <w:t xml:space="preserve">Exploration licence — </w:t>
            </w:r>
          </w:p>
          <w:p>
            <w:pPr>
              <w:pStyle w:val="nzTable"/>
              <w:tabs>
                <w:tab w:val="left" w:pos="389"/>
              </w:tabs>
            </w:pPr>
            <w:r>
              <w:t>(a)</w:t>
            </w:r>
            <w:r>
              <w:tab/>
              <w:t>standard block licence application (s. 56(1))</w:t>
            </w:r>
          </w:p>
          <w:p>
            <w:pPr>
              <w:pStyle w:val="nzTable"/>
              <w:tabs>
                <w:tab w:val="left" w:pos="389"/>
              </w:tabs>
            </w:pPr>
            <w:r>
              <w:t>(b)</w:t>
            </w:r>
            <w:r>
              <w:tab/>
              <w:t>tender block licence application (s. 78(1))</w:t>
            </w:r>
          </w:p>
          <w:p>
            <w:pPr>
              <w:pStyle w:val="nzTable"/>
              <w:tabs>
                <w:tab w:val="left" w:pos="389"/>
              </w:tabs>
            </w:pPr>
            <w:r>
              <w:t>(c)</w:t>
            </w:r>
            <w:r>
              <w:tab/>
              <w:t>renewal application (s. 106(1))</w:t>
            </w:r>
          </w:p>
        </w:tc>
        <w:tc>
          <w:tcPr>
            <w:tcW w:w="1134" w:type="dxa"/>
            <w:vAlign w:val="center"/>
          </w:tcPr>
          <w:p>
            <w:pPr>
              <w:pStyle w:val="nzTable"/>
            </w:pPr>
          </w:p>
          <w:p>
            <w:pPr>
              <w:pStyle w:val="nzTable"/>
            </w:pPr>
            <w:r>
              <w:t>3 000.00</w:t>
            </w:r>
          </w:p>
          <w:p>
            <w:pPr>
              <w:pStyle w:val="nzTable"/>
            </w:pPr>
            <w:r>
              <w:t>3 000.00</w:t>
            </w:r>
          </w:p>
          <w:p>
            <w:pPr>
              <w:pStyle w:val="nzTable"/>
            </w:pPr>
            <w:r>
              <w:t>600.00</w:t>
            </w:r>
          </w:p>
        </w:tc>
      </w:tr>
      <w:tr>
        <w:tc>
          <w:tcPr>
            <w:tcW w:w="709" w:type="dxa"/>
          </w:tcPr>
          <w:p>
            <w:pPr>
              <w:pStyle w:val="nzTable"/>
            </w:pPr>
            <w:r>
              <w:t>2.</w:t>
            </w:r>
          </w:p>
        </w:tc>
        <w:tc>
          <w:tcPr>
            <w:tcW w:w="4678" w:type="dxa"/>
          </w:tcPr>
          <w:p>
            <w:pPr>
              <w:pStyle w:val="nzTable"/>
            </w:pPr>
            <w:r>
              <w:t xml:space="preserve">Retention licence — </w:t>
            </w:r>
          </w:p>
          <w:p>
            <w:pPr>
              <w:pStyle w:val="nzTable"/>
              <w:tabs>
                <w:tab w:val="left" w:pos="389"/>
              </w:tabs>
            </w:pPr>
            <w:r>
              <w:t>(a)</w:t>
            </w:r>
            <w:r>
              <w:tab/>
              <w:t>licence application (s. 139(1))</w:t>
            </w:r>
          </w:p>
          <w:p>
            <w:pPr>
              <w:pStyle w:val="nzTable"/>
              <w:tabs>
                <w:tab w:val="left" w:pos="389"/>
              </w:tabs>
            </w:pPr>
            <w:r>
              <w:t>(b)</w:t>
            </w:r>
            <w:r>
              <w:tab/>
              <w:t>renewal application (s. 163(1))</w:t>
            </w:r>
          </w:p>
        </w:tc>
        <w:tc>
          <w:tcPr>
            <w:tcW w:w="1134" w:type="dxa"/>
            <w:vAlign w:val="center"/>
          </w:tcPr>
          <w:p>
            <w:pPr>
              <w:pStyle w:val="nzTable"/>
            </w:pPr>
          </w:p>
          <w:p>
            <w:pPr>
              <w:pStyle w:val="nzTable"/>
            </w:pPr>
            <w:r>
              <w:t>3 000.00</w:t>
            </w:r>
          </w:p>
          <w:p>
            <w:pPr>
              <w:pStyle w:val="nzTable"/>
            </w:pPr>
            <w:r>
              <w:t>600.00</w:t>
            </w:r>
          </w:p>
        </w:tc>
      </w:tr>
      <w:tr>
        <w:tc>
          <w:tcPr>
            <w:tcW w:w="709" w:type="dxa"/>
          </w:tcPr>
          <w:p>
            <w:pPr>
              <w:pStyle w:val="nzTable"/>
            </w:pPr>
            <w:r>
              <w:t>3.</w:t>
            </w:r>
          </w:p>
        </w:tc>
        <w:tc>
          <w:tcPr>
            <w:tcW w:w="4678" w:type="dxa"/>
          </w:tcPr>
          <w:p>
            <w:pPr>
              <w:pStyle w:val="nzTable"/>
            </w:pPr>
            <w:r>
              <w:t xml:space="preserve">Mining licence — </w:t>
            </w:r>
          </w:p>
          <w:p>
            <w:pPr>
              <w:pStyle w:val="nzTable"/>
              <w:tabs>
                <w:tab w:val="left" w:pos="389"/>
              </w:tabs>
            </w:pPr>
            <w:r>
              <w:t>(a)</w:t>
            </w:r>
            <w:r>
              <w:tab/>
              <w:t>standard block licence application (s. 201(1))</w:t>
            </w:r>
          </w:p>
          <w:p>
            <w:pPr>
              <w:pStyle w:val="nzTable"/>
              <w:tabs>
                <w:tab w:val="left" w:pos="389"/>
              </w:tabs>
            </w:pPr>
            <w:r>
              <w:t>(b)</w:t>
            </w:r>
            <w:r>
              <w:tab/>
              <w:t>tender block licence application (s. 222(1))</w:t>
            </w:r>
          </w:p>
          <w:p>
            <w:pPr>
              <w:pStyle w:val="nzTable"/>
              <w:tabs>
                <w:tab w:val="left" w:pos="389"/>
              </w:tabs>
            </w:pPr>
            <w:r>
              <w:t>(c)</w:t>
            </w:r>
            <w:r>
              <w:tab/>
              <w:t>renewal application (s. 240(1))</w:t>
            </w:r>
          </w:p>
        </w:tc>
        <w:tc>
          <w:tcPr>
            <w:tcW w:w="1134" w:type="dxa"/>
            <w:vAlign w:val="center"/>
          </w:tcPr>
          <w:p>
            <w:pPr>
              <w:pStyle w:val="nzTable"/>
            </w:pPr>
          </w:p>
          <w:p>
            <w:pPr>
              <w:pStyle w:val="nzTable"/>
            </w:pPr>
            <w:r>
              <w:t>3 000.00</w:t>
            </w:r>
          </w:p>
          <w:p>
            <w:pPr>
              <w:pStyle w:val="nzTable"/>
            </w:pPr>
            <w:r>
              <w:t>3 000.00</w:t>
            </w:r>
          </w:p>
          <w:p>
            <w:pPr>
              <w:pStyle w:val="nzTable"/>
            </w:pPr>
            <w:r>
              <w:t>600.00</w:t>
            </w:r>
          </w:p>
        </w:tc>
      </w:tr>
      <w:tr>
        <w:tc>
          <w:tcPr>
            <w:tcW w:w="709" w:type="dxa"/>
          </w:tcPr>
          <w:p>
            <w:pPr>
              <w:pStyle w:val="nzTable"/>
            </w:pPr>
            <w:r>
              <w:t>4.</w:t>
            </w:r>
          </w:p>
        </w:tc>
        <w:tc>
          <w:tcPr>
            <w:tcW w:w="4678" w:type="dxa"/>
          </w:tcPr>
          <w:p>
            <w:pPr>
              <w:pStyle w:val="nzTable"/>
            </w:pPr>
            <w:r>
              <w:t xml:space="preserve">Works licence — </w:t>
            </w:r>
          </w:p>
          <w:p>
            <w:pPr>
              <w:pStyle w:val="nzTable"/>
              <w:tabs>
                <w:tab w:val="left" w:pos="389"/>
              </w:tabs>
            </w:pPr>
            <w:r>
              <w:t>(a)</w:t>
            </w:r>
            <w:r>
              <w:tab/>
              <w:t>licence application (s. 272(1))</w:t>
            </w:r>
          </w:p>
          <w:p>
            <w:pPr>
              <w:pStyle w:val="nzTable"/>
              <w:tabs>
                <w:tab w:val="left" w:pos="389"/>
              </w:tabs>
            </w:pPr>
            <w:r>
              <w:t>(b)</w:t>
            </w:r>
            <w:r>
              <w:tab/>
              <w:t>renewal application (s. 292(1))</w:t>
            </w:r>
          </w:p>
        </w:tc>
        <w:tc>
          <w:tcPr>
            <w:tcW w:w="1134" w:type="dxa"/>
            <w:vAlign w:val="center"/>
          </w:tcPr>
          <w:p>
            <w:pPr>
              <w:pStyle w:val="nzTable"/>
            </w:pPr>
          </w:p>
          <w:p>
            <w:pPr>
              <w:pStyle w:val="nzTable"/>
            </w:pPr>
            <w:r>
              <w:t>3 000.00</w:t>
            </w:r>
          </w:p>
          <w:p>
            <w:pPr>
              <w:pStyle w:val="nzTable"/>
            </w:pPr>
            <w:r>
              <w:t>600.00</w:t>
            </w:r>
          </w:p>
        </w:tc>
      </w:tr>
      <w:tr>
        <w:tc>
          <w:tcPr>
            <w:tcW w:w="709" w:type="dxa"/>
          </w:tcPr>
          <w:p>
            <w:pPr>
              <w:pStyle w:val="nzTable"/>
            </w:pPr>
            <w:r>
              <w:t>5.</w:t>
            </w:r>
          </w:p>
        </w:tc>
        <w:tc>
          <w:tcPr>
            <w:tcW w:w="4678" w:type="dxa"/>
          </w:tcPr>
          <w:p>
            <w:pPr>
              <w:pStyle w:val="nzTable"/>
            </w:pPr>
            <w:r>
              <w:t>Special purpose consent application (s. 319(1))</w:t>
            </w:r>
          </w:p>
        </w:tc>
        <w:tc>
          <w:tcPr>
            <w:tcW w:w="1134" w:type="dxa"/>
            <w:vAlign w:val="center"/>
          </w:tcPr>
          <w:p>
            <w:pPr>
              <w:pStyle w:val="nzTable"/>
            </w:pPr>
            <w:r>
              <w:t>300.00</w:t>
            </w:r>
          </w:p>
        </w:tc>
      </w:tr>
      <w:tr>
        <w:tc>
          <w:tcPr>
            <w:tcW w:w="709" w:type="dxa"/>
          </w:tcPr>
          <w:p>
            <w:pPr>
              <w:pStyle w:val="nzTable"/>
            </w:pPr>
            <w:r>
              <w:t>6.</w:t>
            </w:r>
          </w:p>
        </w:tc>
        <w:tc>
          <w:tcPr>
            <w:tcW w:w="4678" w:type="dxa"/>
          </w:tcPr>
          <w:p>
            <w:pPr>
              <w:pStyle w:val="nzTable"/>
            </w:pPr>
            <w:r>
              <w:t>Inspection of register and documents (s. 332(1))</w:t>
            </w:r>
          </w:p>
        </w:tc>
        <w:tc>
          <w:tcPr>
            <w:tcW w:w="1134" w:type="dxa"/>
            <w:vAlign w:val="center"/>
          </w:tcPr>
          <w:p>
            <w:pPr>
              <w:pStyle w:val="nzTable"/>
            </w:pPr>
            <w:r>
              <w:rPr>
                <w:szCs w:val="22"/>
              </w:rPr>
              <w:t>25.00</w:t>
            </w:r>
          </w:p>
        </w:tc>
      </w:tr>
      <w:tr>
        <w:tc>
          <w:tcPr>
            <w:tcW w:w="709" w:type="dxa"/>
          </w:tcPr>
          <w:p>
            <w:pPr>
              <w:pStyle w:val="nzTable"/>
            </w:pPr>
            <w:r>
              <w:t>7.</w:t>
            </w:r>
          </w:p>
        </w:tc>
        <w:tc>
          <w:tcPr>
            <w:tcW w:w="4678" w:type="dxa"/>
          </w:tcPr>
          <w:p>
            <w:pPr>
              <w:pStyle w:val="nzTable"/>
            </w:pPr>
            <w:r>
              <w:t>Registration of transfer (s. 338(1)(</w:t>
            </w:r>
            <w:r>
              <w:rPr>
                <w:spacing w:val="32"/>
              </w:rPr>
              <w:t>f</w:t>
            </w:r>
            <w:r>
              <w:t>))</w:t>
            </w:r>
          </w:p>
        </w:tc>
        <w:tc>
          <w:tcPr>
            <w:tcW w:w="1134" w:type="dxa"/>
            <w:vAlign w:val="center"/>
          </w:tcPr>
          <w:p>
            <w:pPr>
              <w:pStyle w:val="nzTable"/>
              <w:rPr>
                <w:sz w:val="22"/>
                <w:szCs w:val="22"/>
              </w:rPr>
            </w:pPr>
            <w:r>
              <w:rPr>
                <w:sz w:val="22"/>
                <w:szCs w:val="22"/>
              </w:rPr>
              <w:t>63.00</w:t>
            </w:r>
          </w:p>
        </w:tc>
      </w:tr>
      <w:tr>
        <w:tc>
          <w:tcPr>
            <w:tcW w:w="709" w:type="dxa"/>
          </w:tcPr>
          <w:p>
            <w:pPr>
              <w:pStyle w:val="nzTable"/>
            </w:pPr>
            <w:r>
              <w:t>8.</w:t>
            </w:r>
          </w:p>
        </w:tc>
        <w:tc>
          <w:tcPr>
            <w:tcW w:w="4678" w:type="dxa"/>
          </w:tcPr>
          <w:p>
            <w:pPr>
              <w:pStyle w:val="nzTable"/>
            </w:pPr>
            <w:r>
              <w:t>Registration of other dealing (s. 339(1)(d))</w:t>
            </w:r>
          </w:p>
        </w:tc>
        <w:tc>
          <w:tcPr>
            <w:tcW w:w="1134" w:type="dxa"/>
            <w:vAlign w:val="center"/>
          </w:tcPr>
          <w:p>
            <w:pPr>
              <w:pStyle w:val="nzTable"/>
              <w:rPr>
                <w:sz w:val="22"/>
                <w:szCs w:val="22"/>
              </w:rPr>
            </w:pPr>
            <w:r>
              <w:rPr>
                <w:sz w:val="22"/>
                <w:szCs w:val="22"/>
              </w:rPr>
              <w:t>156.00</w:t>
            </w:r>
          </w:p>
        </w:tc>
      </w:tr>
      <w:tr>
        <w:tc>
          <w:tcPr>
            <w:tcW w:w="709" w:type="dxa"/>
          </w:tcPr>
          <w:p>
            <w:pPr>
              <w:pStyle w:val="nzTable"/>
            </w:pPr>
            <w:r>
              <w:t>9.</w:t>
            </w:r>
          </w:p>
        </w:tc>
        <w:tc>
          <w:tcPr>
            <w:tcW w:w="4678" w:type="dxa"/>
          </w:tcPr>
          <w:p>
            <w:pPr>
              <w:pStyle w:val="nzTable"/>
            </w:pPr>
            <w:r>
              <w:t>Devolution of licence (s. 340(1)(d))</w:t>
            </w:r>
          </w:p>
        </w:tc>
        <w:tc>
          <w:tcPr>
            <w:tcW w:w="1134" w:type="dxa"/>
            <w:vAlign w:val="center"/>
          </w:tcPr>
          <w:p>
            <w:pPr>
              <w:pStyle w:val="nzTable"/>
              <w:rPr>
                <w:sz w:val="22"/>
                <w:szCs w:val="22"/>
              </w:rPr>
            </w:pPr>
            <w:r>
              <w:rPr>
                <w:sz w:val="22"/>
                <w:szCs w:val="22"/>
              </w:rPr>
              <w:t>156.00</w:t>
            </w:r>
          </w:p>
        </w:tc>
      </w:tr>
      <w:tr>
        <w:tc>
          <w:tcPr>
            <w:tcW w:w="709" w:type="dxa"/>
          </w:tcPr>
          <w:p>
            <w:pPr>
              <w:pStyle w:val="nzTable"/>
            </w:pPr>
            <w:r>
              <w:t>10.</w:t>
            </w:r>
          </w:p>
        </w:tc>
        <w:tc>
          <w:tcPr>
            <w:tcW w:w="4678" w:type="dxa"/>
          </w:tcPr>
          <w:p>
            <w:pPr>
              <w:pStyle w:val="nzTable"/>
            </w:pPr>
            <w:r>
              <w:t>Caveat (s. 344)</w:t>
            </w:r>
          </w:p>
        </w:tc>
        <w:tc>
          <w:tcPr>
            <w:tcW w:w="1134" w:type="dxa"/>
            <w:vAlign w:val="center"/>
          </w:tcPr>
          <w:p>
            <w:pPr>
              <w:pStyle w:val="nzTable"/>
              <w:rPr>
                <w:sz w:val="22"/>
                <w:szCs w:val="22"/>
              </w:rPr>
            </w:pPr>
            <w:r>
              <w:rPr>
                <w:sz w:val="22"/>
                <w:szCs w:val="22"/>
              </w:rPr>
              <w:t>156.00</w:t>
            </w:r>
          </w:p>
        </w:tc>
      </w:tr>
      <w:tr>
        <w:tc>
          <w:tcPr>
            <w:tcW w:w="709" w:type="dxa"/>
          </w:tcPr>
          <w:p>
            <w:pPr>
              <w:pStyle w:val="nzTable"/>
            </w:pPr>
            <w:r>
              <w:t>11.</w:t>
            </w:r>
          </w:p>
        </w:tc>
        <w:tc>
          <w:tcPr>
            <w:tcW w:w="4678" w:type="dxa"/>
          </w:tcPr>
          <w:p>
            <w:pPr>
              <w:pStyle w:val="nzTable"/>
            </w:pPr>
            <w:r>
              <w:t>Certified copy of or extract from register (s. 357(4)) (per page)</w:t>
            </w:r>
          </w:p>
        </w:tc>
        <w:tc>
          <w:tcPr>
            <w:tcW w:w="1134" w:type="dxa"/>
            <w:vAlign w:val="center"/>
          </w:tcPr>
          <w:p>
            <w:pPr>
              <w:pStyle w:val="nzTable"/>
            </w:pPr>
            <w:r>
              <w:rPr>
                <w:szCs w:val="22"/>
              </w:rPr>
              <w:t>6.30</w:t>
            </w:r>
          </w:p>
        </w:tc>
      </w:tr>
      <w:tr>
        <w:tc>
          <w:tcPr>
            <w:tcW w:w="709" w:type="dxa"/>
          </w:tcPr>
          <w:p>
            <w:pPr>
              <w:pStyle w:val="nzTable"/>
            </w:pPr>
            <w:r>
              <w:t>12.</w:t>
            </w:r>
          </w:p>
        </w:tc>
        <w:tc>
          <w:tcPr>
            <w:tcW w:w="4678" w:type="dxa"/>
          </w:tcPr>
          <w:p>
            <w:pPr>
              <w:pStyle w:val="nzTable"/>
            </w:pPr>
            <w:r>
              <w:t>Certified copy of document (s. 358(1)) (per page)</w:t>
            </w:r>
          </w:p>
        </w:tc>
        <w:tc>
          <w:tcPr>
            <w:tcW w:w="1134" w:type="dxa"/>
            <w:vAlign w:val="center"/>
          </w:tcPr>
          <w:p>
            <w:pPr>
              <w:pStyle w:val="nzTable"/>
            </w:pPr>
            <w:r>
              <w:rPr>
                <w:szCs w:val="22"/>
              </w:rPr>
              <w:t>6.30</w:t>
            </w:r>
          </w:p>
        </w:tc>
      </w:tr>
      <w:tr>
        <w:tc>
          <w:tcPr>
            <w:tcW w:w="709" w:type="dxa"/>
          </w:tcPr>
          <w:p>
            <w:pPr>
              <w:pStyle w:val="nzTable"/>
            </w:pPr>
            <w:r>
              <w:t>13.</w:t>
            </w:r>
          </w:p>
        </w:tc>
        <w:tc>
          <w:tcPr>
            <w:tcW w:w="4678" w:type="dxa"/>
          </w:tcPr>
          <w:p>
            <w:pPr>
              <w:pStyle w:val="nzTable"/>
            </w:pPr>
            <w:r>
              <w:t>Certificate (s. 359(1))</w:t>
            </w:r>
          </w:p>
        </w:tc>
        <w:tc>
          <w:tcPr>
            <w:tcW w:w="1134" w:type="dxa"/>
            <w:vAlign w:val="center"/>
          </w:tcPr>
          <w:p>
            <w:pPr>
              <w:pStyle w:val="nzTable"/>
            </w:pPr>
            <w:r>
              <w:rPr>
                <w:szCs w:val="22"/>
              </w:rPr>
              <w:t>63.00</w:t>
            </w:r>
          </w:p>
        </w:tc>
      </w:tr>
      <w:tr>
        <w:tc>
          <w:tcPr>
            <w:tcW w:w="709" w:type="dxa"/>
          </w:tcPr>
          <w:p>
            <w:pPr>
              <w:pStyle w:val="nzTable"/>
            </w:pPr>
            <w:r>
              <w:t>14.</w:t>
            </w:r>
          </w:p>
        </w:tc>
        <w:tc>
          <w:tcPr>
            <w:tcW w:w="4678" w:type="dxa"/>
          </w:tcPr>
          <w:p>
            <w:pPr>
              <w:pStyle w:val="nzTable"/>
            </w:pPr>
            <w:r>
              <w:t>Approval of transfer application (s. 363(6))</w:t>
            </w:r>
          </w:p>
        </w:tc>
        <w:tc>
          <w:tcPr>
            <w:tcW w:w="1134" w:type="dxa"/>
            <w:vAlign w:val="center"/>
          </w:tcPr>
          <w:p>
            <w:pPr>
              <w:pStyle w:val="nzTable"/>
            </w:pPr>
            <w:r>
              <w:rPr>
                <w:szCs w:val="22"/>
              </w:rPr>
              <w:t>156.00</w:t>
            </w:r>
          </w:p>
        </w:tc>
      </w:tr>
    </w:tbl>
    <w:p>
      <w:pPr>
        <w:pStyle w:val="BlankClose"/>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1" w:name="_Toc465774458"/>
      <w:bookmarkStart w:id="112" w:name="_Toc466281967"/>
      <w:bookmarkStart w:id="113" w:name="_Toc469996919"/>
      <w:bookmarkStart w:id="114" w:name="_Toc486412441"/>
      <w:bookmarkStart w:id="115" w:name="_Toc517873360"/>
      <w:bookmarkStart w:id="116" w:name="_Toc11751462"/>
      <w:bookmarkStart w:id="117" w:name="_Toc11751494"/>
      <w:r>
        <w:rPr>
          <w:sz w:val="28"/>
        </w:rPr>
        <w:t>Defined terms</w:t>
      </w:r>
      <w:bookmarkEnd w:id="111"/>
      <w:bookmarkEnd w:id="112"/>
      <w:bookmarkEnd w:id="113"/>
      <w:bookmarkEnd w:id="114"/>
      <w:bookmarkEnd w:id="115"/>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AFN coordinates</w:t>
      </w:r>
      <w:r>
        <w:tab/>
        <w:t>4(1)</w:t>
      </w:r>
    </w:p>
    <w:p>
      <w:pPr>
        <w:pStyle w:val="DefinedTerms"/>
      </w:pPr>
      <w:r>
        <w:t>applicant</w:t>
      </w:r>
      <w:r>
        <w:tab/>
        <w:t>6(1)</w:t>
      </w:r>
    </w:p>
    <w:p>
      <w:pPr>
        <w:pStyle w:val="DefinedTerms"/>
      </w:pPr>
      <w:r>
        <w:t>environmental data</w:t>
      </w:r>
      <w:r>
        <w:tab/>
        <w:t>7</w:t>
      </w:r>
    </w:p>
    <w:p>
      <w:pPr>
        <w:pStyle w:val="DefinedTerms"/>
      </w:pPr>
      <w:r>
        <w:t>GDA</w:t>
      </w:r>
      <w:r>
        <w:tab/>
        <w:t>4(1)</w:t>
      </w:r>
    </w:p>
    <w:p>
      <w:pPr>
        <w:pStyle w:val="DefinedTerms"/>
      </w:pPr>
      <w:r>
        <w:t>geological data</w:t>
      </w:r>
      <w:r>
        <w:tab/>
        <w:t>7</w:t>
      </w:r>
    </w:p>
    <w:p>
      <w:pPr>
        <w:pStyle w:val="DefinedTerms"/>
      </w:pPr>
      <w:r>
        <w:t>geophysical data</w:t>
      </w:r>
      <w:r>
        <w:tab/>
        <w:t>7</w:t>
      </w:r>
    </w:p>
    <w:p>
      <w:pPr>
        <w:pStyle w:val="DefinedTerms"/>
      </w:pPr>
      <w:r>
        <w:t>GRS80 ellipsoid</w:t>
      </w:r>
      <w:r>
        <w:tab/>
        <w:t>4(1)</w:t>
      </w:r>
    </w:p>
    <w:p>
      <w:pPr>
        <w:pStyle w:val="DefinedTerms"/>
      </w:pPr>
      <w:r>
        <w:t>licence holder</w:t>
      </w:r>
      <w:r>
        <w:tab/>
        <w:t>11</w:t>
      </w:r>
    </w:p>
    <w:p>
      <w:pPr>
        <w:pStyle w:val="DefinedTerms"/>
      </w:pPr>
      <w:r>
        <w:t>responsible licence holder</w:t>
      </w:r>
      <w:r>
        <w:tab/>
        <w:t>11</w:t>
      </w:r>
    </w:p>
    <w:p>
      <w:pPr>
        <w:pStyle w:val="DefinedTerms"/>
      </w:pPr>
      <w:r>
        <w:t>section</w:t>
      </w:r>
      <w:r>
        <w:tab/>
        <w:t>3</w:t>
      </w:r>
    </w:p>
    <w:p>
      <w:pPr>
        <w:pStyle w:val="DefinedTerms"/>
      </w:pPr>
      <w:r>
        <w:t>unused mining property</w:t>
      </w:r>
      <w:r>
        <w:tab/>
        <w:t>11</w:t>
      </w:r>
    </w:p>
    <w:p>
      <w:pPr>
        <w:pStyle w:val="DefinedTerms"/>
      </w:pPr>
      <w:r>
        <w:t>year</w:t>
      </w:r>
      <w:r>
        <w:tab/>
        <w:t>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80" w:name="Schedule"/>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01143317"/>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3197</Words>
  <Characters>15730</Characters>
  <Application>Microsoft Office Word</Application>
  <DocSecurity>0</DocSecurity>
  <Lines>629</Lines>
  <Paragraphs>511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2010 - 01-d0-01</dc:title>
  <dc:subject/>
  <dc:creator/>
  <cp:keywords/>
  <dc:description/>
  <cp:lastModifiedBy>svcMRProcess</cp:lastModifiedBy>
  <cp:revision>4</cp:revision>
  <cp:lastPrinted>2017-02-13T07:38:00Z</cp:lastPrinted>
  <dcterms:created xsi:type="dcterms:W3CDTF">2019-06-21T03:18:00Z</dcterms:created>
  <dcterms:modified xsi:type="dcterms:W3CDTF">2019-06-21T03:18:00Z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AsAtDate">
    <vt:lpwstr>18 Jun 2019</vt:lpwstr>
  </property>
  <property fmtid="{D5CDD505-2E9C-101B-9397-08002B2CF9AE}" pid="8" name="Suffix">
    <vt:lpwstr>01-d0-01</vt:lpwstr>
  </property>
  <property fmtid="{D5CDD505-2E9C-101B-9397-08002B2CF9AE}" pid="9" name="CommencementDate">
    <vt:lpwstr>20190618</vt:lpwstr>
  </property>
</Properties>
</file>