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8480"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ind w:left="284" w:right="576"/>
      </w:pPr>
      <w:r>
        <w:fldChar w:fldCharType="begin"/>
      </w:r>
      <w:r>
        <w:instrText xml:space="preserve"> STYLEREF "PrincipalAct_Reg"</w:instrText>
      </w:r>
      <w:r>
        <w:fldChar w:fldCharType="separate"/>
      </w:r>
      <w:r>
        <w:rPr>
          <w:noProof/>
        </w:rPr>
        <w:t>Petroleum and Geothermal Energy Resources (Registration Fees) Act 1967</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Petroleum and Geothermal Energy Resources (Registration Fees) Regulations 1990</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Petroleum and Geothermal Energy Resources (Registration Fees) Regulations 1990</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_Toc11752736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_Toc11752737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Prescribed amounts</w:t>
      </w:r>
      <w:r>
        <w:tab/>
      </w:r>
      <w:r>
        <w:fldChar w:fldCharType="begin"/>
      </w:r>
      <w:r>
        <w:instrText xml:space="preserve"> PAGEREF _Toc11752738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_Toc11752740 \h </w:instrText>
      </w:r>
      <w:r>
        <w:fldChar w:fldCharType="separate"/>
      </w:r>
      <w:r>
        <w:t>3</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_Toc11752741 \h </w:instrText>
      </w:r>
      <w:r>
        <w:fldChar w:fldCharType="separate"/>
      </w:r>
      <w:r>
        <w:t>4</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rPr>
          <w:snapToGrid w:val="0"/>
        </w:rPr>
      </w:pPr>
      <w:r>
        <w:rPr>
          <w:snapToGrid w:val="0"/>
        </w:rPr>
        <w:t>Petroleum and Geothermal Energy Resources (Registration Fees) Act 1967</w:t>
      </w:r>
    </w:p>
    <w:p>
      <w:pPr>
        <w:pStyle w:val="NameofActReg"/>
      </w:pPr>
      <w:r>
        <w:t>Petroleum and Geothermal Energy Resources (Registration Fees) Regulations 1990</w:t>
      </w:r>
    </w:p>
    <w:p>
      <w:pPr>
        <w:pStyle w:val="Heading5"/>
        <w:rPr>
          <w:snapToGrid w:val="0"/>
        </w:rPr>
      </w:pPr>
      <w:bookmarkStart w:id="3" w:name="_Toc11752736"/>
      <w:r>
        <w:rPr>
          <w:rStyle w:val="CharSectno"/>
        </w:rPr>
        <w:t>1</w:t>
      </w:r>
      <w:r>
        <w:rPr>
          <w:snapToGrid w:val="0"/>
        </w:rPr>
        <w:t>.</w:t>
      </w:r>
      <w:r>
        <w:rPr>
          <w:snapToGrid w:val="0"/>
        </w:rPr>
        <w:tab/>
        <w:t>Citation</w:t>
      </w:r>
      <w:bookmarkEnd w:id="3"/>
    </w:p>
    <w:p>
      <w:pPr>
        <w:pStyle w:val="Subsection"/>
        <w:rPr>
          <w:snapToGrid w:val="0"/>
        </w:rPr>
      </w:pPr>
      <w:r>
        <w:rPr>
          <w:snapToGrid w:val="0"/>
        </w:rPr>
        <w:tab/>
      </w:r>
      <w:r>
        <w:rPr>
          <w:snapToGrid w:val="0"/>
        </w:rPr>
        <w:tab/>
        <w:t xml:space="preserve">These regulations may be cited as the </w:t>
      </w:r>
      <w:r>
        <w:rPr>
          <w:i/>
          <w:snapToGrid w:val="0"/>
        </w:rPr>
        <w:t xml:space="preserve">Petroleum </w:t>
      </w:r>
      <w:r>
        <w:rPr>
          <w:i/>
          <w:iCs/>
        </w:rPr>
        <w:t>and Geothermal Energy Resources</w:t>
      </w:r>
      <w:r>
        <w:rPr>
          <w:i/>
          <w:snapToGrid w:val="0"/>
        </w:rPr>
        <w:t xml:space="preserve"> (Registration Fees) Regulations 1990</w:t>
      </w:r>
      <w:r>
        <w:rPr>
          <w:rFonts w:ascii="Times" w:hAnsi="Times"/>
          <w:iCs/>
          <w:snapToGrid w:val="0"/>
          <w:vertAlign w:val="superscript"/>
        </w:rPr>
        <w:t> 1</w:t>
      </w:r>
      <w:r>
        <w:rPr>
          <w:snapToGrid w:val="0"/>
        </w:rPr>
        <w:t>.</w:t>
      </w:r>
    </w:p>
    <w:p>
      <w:pPr>
        <w:pStyle w:val="Footnotesection"/>
      </w:pPr>
      <w:r>
        <w:tab/>
        <w:t>[Regulation 1 amended in Gazette 23 Jun 2009 p. 2481.]</w:t>
      </w:r>
    </w:p>
    <w:p>
      <w:pPr>
        <w:pStyle w:val="Heading5"/>
        <w:rPr>
          <w:snapToGrid w:val="0"/>
        </w:rPr>
      </w:pPr>
      <w:bookmarkStart w:id="4" w:name="_Toc11752737"/>
      <w:r>
        <w:rPr>
          <w:rStyle w:val="CharSectno"/>
        </w:rPr>
        <w:t>2</w:t>
      </w:r>
      <w:r>
        <w:rPr>
          <w:snapToGrid w:val="0"/>
        </w:rPr>
        <w:t>.</w:t>
      </w:r>
      <w:r>
        <w:rPr>
          <w:snapToGrid w:val="0"/>
        </w:rPr>
        <w:tab/>
        <w:t>Commencement</w:t>
      </w:r>
      <w:bookmarkEnd w:id="4"/>
    </w:p>
    <w:p>
      <w:pPr>
        <w:pStyle w:val="Subsection"/>
        <w:rPr>
          <w:snapToGrid w:val="0"/>
        </w:rPr>
      </w:pPr>
      <w:r>
        <w:rPr>
          <w:snapToGrid w:val="0"/>
        </w:rPr>
        <w:tab/>
      </w:r>
      <w:r>
        <w:rPr>
          <w:snapToGrid w:val="0"/>
        </w:rPr>
        <w:tab/>
        <w:t xml:space="preserve">These regulations shall come into operation on the commencement of the </w:t>
      </w:r>
      <w:r>
        <w:rPr>
          <w:i/>
          <w:snapToGrid w:val="0"/>
        </w:rPr>
        <w:t>Petroleum (Registration Fees) Amendment Act 1990</w:t>
      </w:r>
      <w:r>
        <w:rPr>
          <w:rFonts w:ascii="Times" w:hAnsi="Times"/>
          <w:iCs/>
          <w:snapToGrid w:val="0"/>
          <w:vertAlign w:val="superscript"/>
        </w:rPr>
        <w:t> 1</w:t>
      </w:r>
      <w:r>
        <w:rPr>
          <w:snapToGrid w:val="0"/>
        </w:rPr>
        <w:t>.</w:t>
      </w:r>
    </w:p>
    <w:p>
      <w:pPr>
        <w:pStyle w:val="Heading5"/>
        <w:rPr>
          <w:snapToGrid w:val="0"/>
        </w:rPr>
      </w:pPr>
      <w:bookmarkStart w:id="5" w:name="_Toc391909251"/>
      <w:bookmarkStart w:id="6" w:name="_Toc517874040"/>
      <w:bookmarkStart w:id="7" w:name="_Toc11752738"/>
      <w:r>
        <w:rPr>
          <w:rStyle w:val="CharSectno"/>
        </w:rPr>
        <w:t>3</w:t>
      </w:r>
      <w:r>
        <w:rPr>
          <w:snapToGrid w:val="0"/>
        </w:rPr>
        <w:t>.</w:t>
      </w:r>
      <w:r>
        <w:rPr>
          <w:snapToGrid w:val="0"/>
        </w:rPr>
        <w:tab/>
        <w:t>Prescribed amounts</w:t>
      </w:r>
      <w:bookmarkEnd w:id="5"/>
      <w:bookmarkEnd w:id="6"/>
      <w:bookmarkEnd w:id="7"/>
    </w:p>
    <w:p>
      <w:pPr>
        <w:pStyle w:val="Subsection"/>
        <w:rPr>
          <w:snapToGrid w:val="0"/>
        </w:rPr>
      </w:pPr>
      <w:r>
        <w:rPr>
          <w:snapToGrid w:val="0"/>
        </w:rPr>
        <w:tab/>
        <w:t>(1)</w:t>
      </w:r>
      <w:r>
        <w:rPr>
          <w:snapToGrid w:val="0"/>
        </w:rPr>
        <w:tab/>
        <w:t>For the purposes of section 4(2) of the Act, the prescribed amount is an amount of</w:t>
      </w:r>
      <w:r>
        <w:t xml:space="preserve"> $5 451.00.</w:t>
      </w:r>
    </w:p>
    <w:p>
      <w:pPr>
        <w:pStyle w:val="Subsection"/>
        <w:rPr>
          <w:snapToGrid w:val="0"/>
        </w:rPr>
      </w:pPr>
      <w:r>
        <w:rPr>
          <w:snapToGrid w:val="0"/>
        </w:rPr>
        <w:tab/>
        <w:t>(2)</w:t>
      </w:r>
      <w:r>
        <w:rPr>
          <w:snapToGrid w:val="0"/>
        </w:rPr>
        <w:tab/>
        <w:t>For the purposes of section 4(3) of the Act, the prescribed amount is an amount of</w:t>
      </w:r>
      <w:r>
        <w:t xml:space="preserve"> $5 451.00.</w:t>
      </w:r>
    </w:p>
    <w:p>
      <w:pPr>
        <w:pStyle w:val="Subsection"/>
        <w:rPr>
          <w:snapToGrid w:val="0"/>
        </w:rPr>
      </w:pPr>
      <w:r>
        <w:rPr>
          <w:snapToGrid w:val="0"/>
        </w:rPr>
        <w:tab/>
        <w:t>(3)</w:t>
      </w:r>
      <w:r>
        <w:rPr>
          <w:snapToGrid w:val="0"/>
        </w:rPr>
        <w:tab/>
        <w:t>For the purposes of section 4(4) of the Act, the prescribed amount is an amount of</w:t>
      </w:r>
      <w:r>
        <w:t xml:space="preserve"> $8 292.00.</w:t>
      </w:r>
    </w:p>
    <w:p>
      <w:pPr>
        <w:pStyle w:val="Subsection"/>
        <w:rPr>
          <w:snapToGrid w:val="0"/>
        </w:rPr>
      </w:pPr>
      <w:r>
        <w:rPr>
          <w:snapToGrid w:val="0"/>
        </w:rPr>
        <w:tab/>
        <w:t>(4)</w:t>
      </w:r>
      <w:r>
        <w:rPr>
          <w:snapToGrid w:val="0"/>
        </w:rPr>
        <w:tab/>
        <w:t>For the purposes of section 4(6) of the Act, the prescribed amount is an amount of</w:t>
      </w:r>
      <w:r>
        <w:t xml:space="preserve"> $5 451.00.</w:t>
      </w:r>
    </w:p>
    <w:p>
      <w:pPr>
        <w:pStyle w:val="Subsection"/>
        <w:rPr>
          <w:snapToGrid w:val="0"/>
        </w:rPr>
      </w:pPr>
      <w:r>
        <w:rPr>
          <w:snapToGrid w:val="0"/>
        </w:rPr>
        <w:tab/>
        <w:t>(5)</w:t>
      </w:r>
      <w:r>
        <w:rPr>
          <w:snapToGrid w:val="0"/>
        </w:rPr>
        <w:tab/>
        <w:t>For the purposes of section 4(7) of the Act, the prescribed amount is an amount of</w:t>
      </w:r>
      <w:r>
        <w:t xml:space="preserve"> $8 292.00.</w:t>
      </w:r>
    </w:p>
    <w:p>
      <w:pPr>
        <w:pStyle w:val="Footnotesection"/>
      </w:pPr>
      <w:r>
        <w:tab/>
        <w:t xml:space="preserve">[Regulation 3 amended: Gazette 28 Jun 2002 p. 3092; 28 Feb 2003 p. 673; 23 Jun 2009 p. 2481; 11 May 2010 p. 1825-6; 16 Jul 2010 p. 3365; 1 Jul 2011 p. 2742; 12 Jun 2012 p. 2457; 25 Feb 2014 p. 504; </w:t>
      </w:r>
      <w:r>
        <w:rPr>
          <w:spacing w:val="-4"/>
        </w:rPr>
        <w:t>17 Jun 2014 p. 1</w:t>
      </w:r>
      <w:r>
        <w:t>988; 30 Jun 2015 p. 2352; 24 Jun 2016 p. 2333; 23 Jun 2017 p. 3303; 25 Jun 2018 p. 2318.]</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nHeading2"/>
      </w:pPr>
      <w:bookmarkStart w:id="8" w:name="_Toc509231979"/>
      <w:bookmarkStart w:id="9" w:name="_Toc518981944"/>
      <w:bookmarkStart w:id="10" w:name="_Toc11752726"/>
      <w:bookmarkStart w:id="11" w:name="_Toc11752739"/>
      <w:r>
        <w:t>Notes</w:t>
      </w:r>
      <w:bookmarkEnd w:id="8"/>
      <w:bookmarkEnd w:id="9"/>
      <w:bookmarkEnd w:id="10"/>
      <w:bookmarkEnd w:id="11"/>
    </w:p>
    <w:p>
      <w:pPr>
        <w:pStyle w:val="nSubsection"/>
      </w:pPr>
      <w:r>
        <w:rPr>
          <w:vertAlign w:val="superscript"/>
        </w:rPr>
        <w:t>1</w:t>
      </w:r>
      <w:r>
        <w:tab/>
        <w:t xml:space="preserve">This is a compilation of the </w:t>
      </w:r>
      <w:r>
        <w:rPr>
          <w:i/>
          <w:noProof/>
        </w:rPr>
        <w:t>Petroleum and Geothermal Energy Resources (Registration Fees) Regulations 1990</w:t>
      </w:r>
      <w:r>
        <w:t xml:space="preserve"> and includes the amendments made by the other written laws referred to in the following table</w:t>
      </w:r>
      <w:r>
        <w:rPr>
          <w:vertAlign w:val="superscript"/>
        </w:rPr>
        <w:t> 1a</w:t>
      </w:r>
      <w:r>
        <w:t>.  The table also contains information about any reprint.</w:t>
      </w:r>
    </w:p>
    <w:p>
      <w:pPr>
        <w:pStyle w:val="nHeading3"/>
        <w:rPr>
          <w:snapToGrid w:val="0"/>
        </w:rPr>
      </w:pPr>
      <w:bookmarkStart w:id="12" w:name="_Toc11752740"/>
      <w:r>
        <w:t>Compilation table</w:t>
      </w:r>
      <w:bookmarkEnd w:id="12"/>
    </w:p>
    <w:tbl>
      <w:tblPr>
        <w:tblW w:w="0" w:type="auto"/>
        <w:tblInd w:w="56" w:type="dxa"/>
        <w:tblLayout w:type="fixed"/>
        <w:tblCellMar>
          <w:left w:w="56" w:type="dxa"/>
          <w:right w:w="56" w:type="dxa"/>
        </w:tblCellMar>
        <w:tblLook w:val="0000" w:firstRow="0" w:lastRow="0" w:firstColumn="0" w:lastColumn="0" w:noHBand="0" w:noVBand="0"/>
      </w:tblPr>
      <w:tblGrid>
        <w:gridCol w:w="3118"/>
        <w:gridCol w:w="6"/>
        <w:gridCol w:w="1270"/>
        <w:gridCol w:w="6"/>
        <w:gridCol w:w="2687"/>
        <w:gridCol w:w="38"/>
      </w:tblGrid>
      <w:tr>
        <w:trPr>
          <w:gridAfter w:val="1"/>
          <w:wAfter w:w="38" w:type="dxa"/>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gridSpan w:val="2"/>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rPr>
          <w:gridAfter w:val="1"/>
          <w:wAfter w:w="38" w:type="dxa"/>
        </w:trPr>
        <w:tc>
          <w:tcPr>
            <w:tcW w:w="3118" w:type="dxa"/>
          </w:tcPr>
          <w:p>
            <w:pPr>
              <w:pStyle w:val="nTable"/>
              <w:spacing w:after="40"/>
            </w:pPr>
            <w:r>
              <w:rPr>
                <w:i/>
              </w:rPr>
              <w:t>Petroleum (Registration Fees) Regulations 1990</w:t>
            </w:r>
            <w:r>
              <w:rPr>
                <w:iCs/>
              </w:rPr>
              <w:t xml:space="preserve"> </w:t>
            </w:r>
            <w:r>
              <w:rPr>
                <w:iCs/>
                <w:vertAlign w:val="superscript"/>
              </w:rPr>
              <w:t>2</w:t>
            </w:r>
          </w:p>
        </w:tc>
        <w:tc>
          <w:tcPr>
            <w:tcW w:w="1276" w:type="dxa"/>
            <w:gridSpan w:val="2"/>
          </w:tcPr>
          <w:p>
            <w:pPr>
              <w:pStyle w:val="nTable"/>
              <w:spacing w:after="40"/>
            </w:pPr>
            <w:r>
              <w:t>28 Sep 1990 p. 5108</w:t>
            </w:r>
          </w:p>
        </w:tc>
        <w:tc>
          <w:tcPr>
            <w:tcW w:w="2693" w:type="dxa"/>
            <w:gridSpan w:val="2"/>
          </w:tcPr>
          <w:p>
            <w:pPr>
              <w:pStyle w:val="nTable"/>
              <w:spacing w:after="40"/>
            </w:pPr>
            <w:r>
              <w:t xml:space="preserve">1 Oct 1990 (see r. 2 and </w:t>
            </w:r>
            <w:r>
              <w:rPr>
                <w:i/>
              </w:rPr>
              <w:t>Gazette</w:t>
            </w:r>
            <w:r>
              <w:t xml:space="preserve"> 28 Sep 1990 p. 5099)</w:t>
            </w:r>
          </w:p>
        </w:tc>
      </w:tr>
      <w:tr>
        <w:trPr>
          <w:gridAfter w:val="1"/>
          <w:wAfter w:w="38" w:type="dxa"/>
        </w:trPr>
        <w:tc>
          <w:tcPr>
            <w:tcW w:w="3118" w:type="dxa"/>
          </w:tcPr>
          <w:p>
            <w:pPr>
              <w:pStyle w:val="nTable"/>
              <w:spacing w:after="40"/>
              <w:rPr>
                <w:i/>
              </w:rPr>
            </w:pPr>
            <w:r>
              <w:rPr>
                <w:i/>
              </w:rPr>
              <w:t>Petroleum (Registration Fees) Amendment Regulations 2002</w:t>
            </w:r>
          </w:p>
        </w:tc>
        <w:tc>
          <w:tcPr>
            <w:tcW w:w="1276" w:type="dxa"/>
            <w:gridSpan w:val="2"/>
          </w:tcPr>
          <w:p>
            <w:pPr>
              <w:pStyle w:val="nTable"/>
              <w:spacing w:after="40"/>
            </w:pPr>
            <w:r>
              <w:t>28 Jun 2002 p. 3091</w:t>
            </w:r>
            <w:r>
              <w:noBreakHyphen/>
              <w:t>2</w:t>
            </w:r>
          </w:p>
        </w:tc>
        <w:tc>
          <w:tcPr>
            <w:tcW w:w="2693" w:type="dxa"/>
            <w:gridSpan w:val="2"/>
          </w:tcPr>
          <w:p>
            <w:pPr>
              <w:pStyle w:val="nTable"/>
              <w:spacing w:after="40"/>
            </w:pPr>
            <w:r>
              <w:t>1 Jul 2002 (see r. 2)</w:t>
            </w:r>
          </w:p>
        </w:tc>
      </w:tr>
      <w:tr>
        <w:trPr>
          <w:gridAfter w:val="1"/>
          <w:wAfter w:w="38" w:type="dxa"/>
        </w:trPr>
        <w:tc>
          <w:tcPr>
            <w:tcW w:w="3118" w:type="dxa"/>
          </w:tcPr>
          <w:p>
            <w:pPr>
              <w:pStyle w:val="nTable"/>
              <w:spacing w:after="40"/>
              <w:rPr>
                <w:i/>
              </w:rPr>
            </w:pPr>
            <w:r>
              <w:rPr>
                <w:i/>
              </w:rPr>
              <w:t>Petroleum (Registration Fees) Amendment Regulations 2003</w:t>
            </w:r>
          </w:p>
        </w:tc>
        <w:tc>
          <w:tcPr>
            <w:tcW w:w="1276" w:type="dxa"/>
            <w:gridSpan w:val="2"/>
          </w:tcPr>
          <w:p>
            <w:pPr>
              <w:pStyle w:val="nTable"/>
              <w:spacing w:after="40"/>
            </w:pPr>
            <w:r>
              <w:t>28 Feb 2003 p. 672</w:t>
            </w:r>
            <w:r>
              <w:noBreakHyphen/>
              <w:t>3</w:t>
            </w:r>
          </w:p>
        </w:tc>
        <w:tc>
          <w:tcPr>
            <w:tcW w:w="2693" w:type="dxa"/>
            <w:gridSpan w:val="2"/>
          </w:tcPr>
          <w:p>
            <w:pPr>
              <w:pStyle w:val="nTable"/>
              <w:spacing w:after="40"/>
            </w:pPr>
            <w:r>
              <w:t>28 Feb 2003</w:t>
            </w:r>
          </w:p>
        </w:tc>
      </w:tr>
      <w:tr>
        <w:trPr>
          <w:gridAfter w:val="1"/>
          <w:wAfter w:w="38" w:type="dxa"/>
          <w:cantSplit/>
        </w:trPr>
        <w:tc>
          <w:tcPr>
            <w:tcW w:w="7087" w:type="dxa"/>
            <w:gridSpan w:val="5"/>
          </w:tcPr>
          <w:p>
            <w:pPr>
              <w:pStyle w:val="nTable"/>
              <w:spacing w:after="40"/>
              <w:rPr>
                <w:iCs/>
              </w:rPr>
            </w:pPr>
            <w:r>
              <w:rPr>
                <w:b/>
                <w:bCs/>
              </w:rPr>
              <w:t xml:space="preserve">Reprint 1: The </w:t>
            </w:r>
            <w:r>
              <w:rPr>
                <w:b/>
                <w:bCs/>
                <w:i/>
              </w:rPr>
              <w:t>Petroleum (Registration Fees) Regulations 1990</w:t>
            </w:r>
            <w:r>
              <w:rPr>
                <w:b/>
                <w:bCs/>
                <w:iCs/>
              </w:rPr>
              <w:t xml:space="preserve"> as at 7 May 2004</w:t>
            </w:r>
            <w:r>
              <w:rPr>
                <w:iCs/>
              </w:rPr>
              <w:t xml:space="preserve"> (includes amendments listed above)</w:t>
            </w:r>
          </w:p>
        </w:tc>
      </w:tr>
      <w:tr>
        <w:trPr>
          <w:gridAfter w:val="1"/>
          <w:wAfter w:w="38" w:type="dxa"/>
        </w:trPr>
        <w:tc>
          <w:tcPr>
            <w:tcW w:w="3118" w:type="dxa"/>
          </w:tcPr>
          <w:p>
            <w:pPr>
              <w:pStyle w:val="nTable"/>
              <w:spacing w:after="40"/>
              <w:rPr>
                <w:i/>
              </w:rPr>
            </w:pPr>
            <w:r>
              <w:rPr>
                <w:i/>
              </w:rPr>
              <w:t>Petroleum (Registration Fees) Amendment Regulations 2009</w:t>
            </w:r>
          </w:p>
        </w:tc>
        <w:tc>
          <w:tcPr>
            <w:tcW w:w="1276" w:type="dxa"/>
            <w:gridSpan w:val="2"/>
          </w:tcPr>
          <w:p>
            <w:pPr>
              <w:pStyle w:val="nTable"/>
              <w:spacing w:after="40"/>
            </w:pPr>
            <w:r>
              <w:t>23 Jun 2009 p. 2480-1</w:t>
            </w:r>
          </w:p>
        </w:tc>
        <w:tc>
          <w:tcPr>
            <w:tcW w:w="2693" w:type="dxa"/>
            <w:gridSpan w:val="2"/>
          </w:tcPr>
          <w:p>
            <w:pPr>
              <w:pStyle w:val="nTable"/>
              <w:spacing w:after="40"/>
            </w:pPr>
            <w:r>
              <w:rPr>
                <w:snapToGrid w:val="0"/>
              </w:rPr>
              <w:t>r. 1 and 2: 23 Jun 2009 (see r. 2(a));</w:t>
            </w:r>
            <w:r>
              <w:rPr>
                <w:snapToGrid w:val="0"/>
              </w:rPr>
              <w:br/>
              <w:t>Regulations other than r. 1 and 2: 1 Jul 2009 (see r. 2(b))</w:t>
            </w:r>
          </w:p>
        </w:tc>
      </w:tr>
      <w:tr>
        <w:trPr>
          <w:gridAfter w:val="1"/>
          <w:wAfter w:w="38" w:type="dxa"/>
        </w:trPr>
        <w:tc>
          <w:tcPr>
            <w:tcW w:w="3118" w:type="dxa"/>
          </w:tcPr>
          <w:p>
            <w:pPr>
              <w:pStyle w:val="nTable"/>
              <w:spacing w:after="40"/>
              <w:rPr>
                <w:i/>
              </w:rPr>
            </w:pPr>
            <w:r>
              <w:rPr>
                <w:i/>
              </w:rPr>
              <w:t>Petroleum and Geothermal Energy Resources (Registration Fees) Amendment Regulations 2010</w:t>
            </w:r>
          </w:p>
        </w:tc>
        <w:tc>
          <w:tcPr>
            <w:tcW w:w="1276" w:type="dxa"/>
            <w:gridSpan w:val="2"/>
          </w:tcPr>
          <w:p>
            <w:pPr>
              <w:pStyle w:val="nTable"/>
              <w:spacing w:after="40"/>
            </w:pPr>
            <w:r>
              <w:t>11 May 2010 p. 1825-6</w:t>
            </w:r>
          </w:p>
        </w:tc>
        <w:tc>
          <w:tcPr>
            <w:tcW w:w="2693" w:type="dxa"/>
            <w:gridSpan w:val="2"/>
          </w:tcPr>
          <w:p>
            <w:pPr>
              <w:pStyle w:val="nTable"/>
              <w:spacing w:after="40"/>
              <w:rPr>
                <w:snapToGrid w:val="0"/>
              </w:rPr>
            </w:pPr>
            <w:r>
              <w:rPr>
                <w:snapToGrid w:val="0"/>
              </w:rPr>
              <w:t>r. 1 and 2: 11 May 2010 (see r. 2(a));</w:t>
            </w:r>
            <w:r>
              <w:rPr>
                <w:snapToGrid w:val="0"/>
              </w:rPr>
              <w:br/>
              <w:t>Regulations other than r. 1 and 2: 12 May 2010 (see r. 2(b))</w:t>
            </w:r>
          </w:p>
        </w:tc>
      </w:tr>
      <w:tr>
        <w:trPr>
          <w:gridAfter w:val="1"/>
          <w:wAfter w:w="38" w:type="dxa"/>
        </w:trPr>
        <w:tc>
          <w:tcPr>
            <w:tcW w:w="3118" w:type="dxa"/>
          </w:tcPr>
          <w:p>
            <w:pPr>
              <w:pStyle w:val="nTable"/>
              <w:spacing w:after="40"/>
              <w:rPr>
                <w:i/>
              </w:rPr>
            </w:pPr>
            <w:r>
              <w:rPr>
                <w:i/>
              </w:rPr>
              <w:t>Petroleum and Geothermal Energy Resources (Registration Fees) Amendment Regulations (No. 2) 2010</w:t>
            </w:r>
          </w:p>
        </w:tc>
        <w:tc>
          <w:tcPr>
            <w:tcW w:w="1276" w:type="dxa"/>
            <w:gridSpan w:val="2"/>
          </w:tcPr>
          <w:p>
            <w:pPr>
              <w:pStyle w:val="nTable"/>
              <w:spacing w:after="40"/>
            </w:pPr>
            <w:r>
              <w:t>16 Jul 2010 p. 3364-5</w:t>
            </w:r>
          </w:p>
        </w:tc>
        <w:tc>
          <w:tcPr>
            <w:tcW w:w="2693" w:type="dxa"/>
            <w:gridSpan w:val="2"/>
          </w:tcPr>
          <w:p>
            <w:pPr>
              <w:pStyle w:val="nTable"/>
              <w:spacing w:after="40"/>
              <w:rPr>
                <w:snapToGrid w:val="0"/>
              </w:rPr>
            </w:pPr>
            <w:r>
              <w:rPr>
                <w:snapToGrid w:val="0"/>
              </w:rPr>
              <w:t>r. 1 and 2: 16 Jul 2010 (see r. 2(a));</w:t>
            </w:r>
            <w:r>
              <w:rPr>
                <w:snapToGrid w:val="0"/>
              </w:rPr>
              <w:br/>
              <w:t>Regulations other than r. 1 and 2: 17 Jul 2010 (see r. 2(b)(ii))</w:t>
            </w:r>
          </w:p>
        </w:tc>
      </w:tr>
      <w:tr>
        <w:trPr>
          <w:gridAfter w:val="1"/>
          <w:wAfter w:w="38" w:type="dxa"/>
          <w:cantSplit/>
        </w:trPr>
        <w:tc>
          <w:tcPr>
            <w:tcW w:w="7087" w:type="dxa"/>
            <w:gridSpan w:val="5"/>
          </w:tcPr>
          <w:p>
            <w:pPr>
              <w:pStyle w:val="nTable"/>
              <w:spacing w:after="40"/>
              <w:rPr>
                <w:snapToGrid w:val="0"/>
              </w:rPr>
            </w:pPr>
            <w:r>
              <w:rPr>
                <w:b/>
                <w:bCs/>
              </w:rPr>
              <w:t xml:space="preserve">Reprint 2: The </w:t>
            </w:r>
            <w:r>
              <w:rPr>
                <w:b/>
                <w:bCs/>
                <w:i/>
              </w:rPr>
              <w:t>Petroleum</w:t>
            </w:r>
            <w:r>
              <w:rPr>
                <w:b/>
                <w:bCs/>
                <w:i/>
                <w:iCs/>
              </w:rPr>
              <w:t xml:space="preserve"> and Geothermal Energy Resources</w:t>
            </w:r>
            <w:r>
              <w:rPr>
                <w:b/>
                <w:bCs/>
                <w:i/>
              </w:rPr>
              <w:t xml:space="preserve"> (Registration Fees) Regulations 1990</w:t>
            </w:r>
            <w:r>
              <w:rPr>
                <w:b/>
                <w:bCs/>
                <w:iCs/>
              </w:rPr>
              <w:t xml:space="preserve"> as at 6 Aug 2010</w:t>
            </w:r>
            <w:r>
              <w:rPr>
                <w:iCs/>
              </w:rPr>
              <w:t xml:space="preserve"> (includes amendments listed above)</w:t>
            </w:r>
          </w:p>
        </w:tc>
      </w:tr>
      <w:tr>
        <w:trPr>
          <w:gridAfter w:val="1"/>
          <w:wAfter w:w="38" w:type="dxa"/>
        </w:trPr>
        <w:tc>
          <w:tcPr>
            <w:tcW w:w="3118" w:type="dxa"/>
          </w:tcPr>
          <w:p>
            <w:pPr>
              <w:pStyle w:val="nTable"/>
              <w:spacing w:after="40"/>
              <w:rPr>
                <w:i/>
              </w:rPr>
            </w:pPr>
            <w:r>
              <w:rPr>
                <w:i/>
              </w:rPr>
              <w:t>Petroleum and Geothermal Energy Resources (Registration Fees) Amendment Regulations 2011</w:t>
            </w:r>
          </w:p>
        </w:tc>
        <w:tc>
          <w:tcPr>
            <w:tcW w:w="1276" w:type="dxa"/>
            <w:gridSpan w:val="2"/>
          </w:tcPr>
          <w:p>
            <w:pPr>
              <w:pStyle w:val="nTable"/>
              <w:spacing w:after="40"/>
            </w:pPr>
            <w:r>
              <w:t>1 Jul 2011 p. 2741</w:t>
            </w:r>
            <w:r>
              <w:noBreakHyphen/>
              <w:t>2</w:t>
            </w:r>
          </w:p>
        </w:tc>
        <w:tc>
          <w:tcPr>
            <w:tcW w:w="2693" w:type="dxa"/>
            <w:gridSpan w:val="2"/>
          </w:tcPr>
          <w:p>
            <w:pPr>
              <w:pStyle w:val="nTable"/>
              <w:spacing w:after="40"/>
              <w:rPr>
                <w:rFonts w:ascii="Times" w:hAnsi="Times"/>
                <w:snapToGrid w:val="0"/>
              </w:rPr>
            </w:pPr>
            <w:r>
              <w:rPr>
                <w:rFonts w:ascii="Times" w:hAnsi="Times"/>
                <w:snapToGrid w:val="0"/>
              </w:rPr>
              <w:t>r. 1 and 2: 1 Jul 2011 (see r. 2(a));</w:t>
            </w:r>
            <w:r>
              <w:rPr>
                <w:rFonts w:ascii="Times" w:hAnsi="Times"/>
                <w:snapToGrid w:val="0"/>
              </w:rPr>
              <w:br/>
              <w:t>Regulations other than r. 1 and 2: 1 Jul 2011 (see r. 2(b))</w:t>
            </w:r>
          </w:p>
        </w:tc>
      </w:tr>
      <w:tr>
        <w:trPr>
          <w:gridAfter w:val="1"/>
          <w:wAfter w:w="38" w:type="dxa"/>
        </w:trPr>
        <w:tc>
          <w:tcPr>
            <w:tcW w:w="3118" w:type="dxa"/>
          </w:tcPr>
          <w:p>
            <w:pPr>
              <w:pStyle w:val="nTable"/>
              <w:spacing w:after="40"/>
            </w:pPr>
            <w:r>
              <w:rPr>
                <w:i/>
              </w:rPr>
              <w:t>Petroleum and Geothermal Energy Resources (Registration Fees) Amendment Regulations 2012</w:t>
            </w:r>
          </w:p>
        </w:tc>
        <w:tc>
          <w:tcPr>
            <w:tcW w:w="1276" w:type="dxa"/>
            <w:gridSpan w:val="2"/>
          </w:tcPr>
          <w:p>
            <w:pPr>
              <w:pStyle w:val="nTable"/>
              <w:spacing w:after="40"/>
            </w:pPr>
            <w:r>
              <w:t>12 Jun 2012 p. 2457</w:t>
            </w:r>
          </w:p>
        </w:tc>
        <w:tc>
          <w:tcPr>
            <w:tcW w:w="2693" w:type="dxa"/>
            <w:gridSpan w:val="2"/>
          </w:tcPr>
          <w:p>
            <w:pPr>
              <w:pStyle w:val="nTable"/>
              <w:spacing w:after="40"/>
              <w:rPr>
                <w:rFonts w:ascii="Times" w:hAnsi="Times"/>
                <w:b/>
                <w:snapToGrid w:val="0"/>
              </w:rPr>
            </w:pPr>
            <w:r>
              <w:rPr>
                <w:rFonts w:ascii="Times" w:hAnsi="Times"/>
                <w:snapToGrid w:val="0"/>
              </w:rPr>
              <w:t>r. 1 and 2: 12 Jun 2012 (see r. 2(a));</w:t>
            </w:r>
            <w:r>
              <w:rPr>
                <w:rFonts w:ascii="Times" w:hAnsi="Times"/>
                <w:snapToGrid w:val="0"/>
              </w:rPr>
              <w:br/>
              <w:t>Regulations other than r. 1 and 2: 1 Jul 2012 (see r. 2(b))</w:t>
            </w:r>
          </w:p>
        </w:tc>
      </w:tr>
      <w:tr>
        <w:trPr>
          <w:gridAfter w:val="1"/>
          <w:wAfter w:w="38" w:type="dxa"/>
        </w:trPr>
        <w:tc>
          <w:tcPr>
            <w:tcW w:w="3118" w:type="dxa"/>
          </w:tcPr>
          <w:p>
            <w:pPr>
              <w:pStyle w:val="nTable"/>
              <w:keepNext/>
              <w:spacing w:after="40"/>
              <w:rPr>
                <w:i/>
              </w:rPr>
            </w:pPr>
            <w:r>
              <w:rPr>
                <w:i/>
              </w:rPr>
              <w:t>Petroleum and Geothermal Energy Resources (Registration Fees) Amendment Regulations 2014</w:t>
            </w:r>
          </w:p>
        </w:tc>
        <w:tc>
          <w:tcPr>
            <w:tcW w:w="1276" w:type="dxa"/>
            <w:gridSpan w:val="2"/>
          </w:tcPr>
          <w:p>
            <w:pPr>
              <w:pStyle w:val="nTable"/>
              <w:keepNext/>
              <w:spacing w:after="40"/>
              <w:rPr>
                <w:i/>
              </w:rPr>
            </w:pPr>
            <w:r>
              <w:t>25 Feb 2014 p. 504</w:t>
            </w:r>
          </w:p>
        </w:tc>
        <w:tc>
          <w:tcPr>
            <w:tcW w:w="2693" w:type="dxa"/>
            <w:gridSpan w:val="2"/>
          </w:tcPr>
          <w:p>
            <w:pPr>
              <w:pStyle w:val="nTable"/>
              <w:keepNext/>
              <w:spacing w:after="40"/>
              <w:rPr>
                <w:rFonts w:ascii="Times" w:hAnsi="Times"/>
                <w:snapToGrid w:val="0"/>
              </w:rPr>
            </w:pPr>
            <w:r>
              <w:rPr>
                <w:rFonts w:ascii="Times" w:hAnsi="Times"/>
                <w:snapToGrid w:val="0"/>
              </w:rPr>
              <w:t>r. 1 and 2: 25 Feb 2014 (see r. 2(a));</w:t>
            </w:r>
            <w:r>
              <w:rPr>
                <w:rFonts w:ascii="Times" w:hAnsi="Times"/>
                <w:snapToGrid w:val="0"/>
              </w:rPr>
              <w:br/>
              <w:t>Regulations other than r. 1 and 2: 26 Feb 2014 (see r. 2(b))</w:t>
            </w:r>
          </w:p>
        </w:tc>
      </w:tr>
      <w:tr>
        <w:trPr>
          <w:gridAfter w:val="1"/>
          <w:wAfter w:w="38" w:type="dxa"/>
        </w:trPr>
        <w:tc>
          <w:tcPr>
            <w:tcW w:w="3118" w:type="dxa"/>
          </w:tcPr>
          <w:p>
            <w:pPr>
              <w:pStyle w:val="nTable"/>
              <w:spacing w:after="40"/>
              <w:rPr>
                <w:i/>
              </w:rPr>
            </w:pPr>
            <w:r>
              <w:rPr>
                <w:i/>
              </w:rPr>
              <w:t>Petroleum and Geothermal Energy Resources (Registration Fees) Amendment Regulations (No. 2) 2014</w:t>
            </w:r>
          </w:p>
        </w:tc>
        <w:tc>
          <w:tcPr>
            <w:tcW w:w="1276" w:type="dxa"/>
            <w:gridSpan w:val="2"/>
          </w:tcPr>
          <w:p>
            <w:pPr>
              <w:pStyle w:val="nTable"/>
              <w:keepNext/>
              <w:spacing w:after="40"/>
            </w:pPr>
            <w:r>
              <w:rPr>
                <w:spacing w:val="-4"/>
              </w:rPr>
              <w:t>17 Jun 2014 p. 1</w:t>
            </w:r>
            <w:r>
              <w:t>987</w:t>
            </w:r>
            <w:r>
              <w:noBreakHyphen/>
              <w:t>8</w:t>
            </w:r>
          </w:p>
        </w:tc>
        <w:tc>
          <w:tcPr>
            <w:tcW w:w="2693" w:type="dxa"/>
            <w:gridSpan w:val="2"/>
          </w:tcPr>
          <w:p>
            <w:pPr>
              <w:pStyle w:val="nTable"/>
              <w:keepNext/>
              <w:spacing w:after="40"/>
              <w:rPr>
                <w:rFonts w:ascii="Times" w:hAnsi="Times"/>
                <w:snapToGrid w:val="0"/>
              </w:rPr>
            </w:pPr>
            <w:r>
              <w:rPr>
                <w:rFonts w:ascii="Times" w:hAnsi="Times"/>
                <w:bCs/>
                <w:snapToGrid w:val="0"/>
                <w:spacing w:val="-2"/>
              </w:rPr>
              <w:t>r. 1 and 2: 17 Jun 2014 (see r. 2(a));</w:t>
            </w:r>
            <w:r>
              <w:rPr>
                <w:rFonts w:ascii="Times" w:hAnsi="Times"/>
                <w:bCs/>
                <w:snapToGrid w:val="0"/>
                <w:spacing w:val="-2"/>
              </w:rPr>
              <w:br/>
              <w:t>Regulations other than r. 1 and 2: 1 Jul 2014 (see r. 2(b))</w:t>
            </w:r>
          </w:p>
        </w:tc>
      </w:tr>
      <w:tr>
        <w:trPr>
          <w:gridAfter w:val="1"/>
          <w:wAfter w:w="38" w:type="dxa"/>
        </w:trPr>
        <w:tc>
          <w:tcPr>
            <w:tcW w:w="3118" w:type="dxa"/>
          </w:tcPr>
          <w:p>
            <w:pPr>
              <w:pStyle w:val="nTable"/>
              <w:spacing w:after="40"/>
              <w:rPr>
                <w:i/>
              </w:rPr>
            </w:pPr>
            <w:r>
              <w:rPr>
                <w:i/>
              </w:rPr>
              <w:t>Petroleum and Geothermal Energy Resources (Registration Fees) Amendment Regulations 2015</w:t>
            </w:r>
          </w:p>
        </w:tc>
        <w:tc>
          <w:tcPr>
            <w:tcW w:w="1276" w:type="dxa"/>
            <w:gridSpan w:val="2"/>
          </w:tcPr>
          <w:p>
            <w:pPr>
              <w:pStyle w:val="nTable"/>
              <w:keepNext/>
              <w:spacing w:after="40"/>
              <w:rPr>
                <w:spacing w:val="-4"/>
              </w:rPr>
            </w:pPr>
            <w:r>
              <w:rPr>
                <w:spacing w:val="-4"/>
              </w:rPr>
              <w:t>30 Jun 2015 p. 2351</w:t>
            </w:r>
            <w:r>
              <w:rPr>
                <w:spacing w:val="-4"/>
              </w:rPr>
              <w:noBreakHyphen/>
              <w:t>2</w:t>
            </w:r>
          </w:p>
        </w:tc>
        <w:tc>
          <w:tcPr>
            <w:tcW w:w="2693" w:type="dxa"/>
            <w:gridSpan w:val="2"/>
          </w:tcPr>
          <w:p>
            <w:pPr>
              <w:pStyle w:val="nTable"/>
              <w:keepNext/>
              <w:spacing w:after="40"/>
              <w:rPr>
                <w:rFonts w:ascii="Times" w:hAnsi="Times"/>
                <w:bCs/>
                <w:snapToGrid w:val="0"/>
                <w:spacing w:val="-2"/>
              </w:rPr>
            </w:pPr>
            <w:r>
              <w:rPr>
                <w:rFonts w:ascii="Times" w:hAnsi="Times"/>
                <w:bCs/>
                <w:snapToGrid w:val="0"/>
                <w:spacing w:val="-2"/>
              </w:rPr>
              <w:t>r. 1 and 2: 30 Jun 2015 (see r. 2(a));</w:t>
            </w:r>
            <w:r>
              <w:rPr>
                <w:rFonts w:ascii="Times" w:hAnsi="Times"/>
                <w:bCs/>
                <w:snapToGrid w:val="0"/>
                <w:spacing w:val="-2"/>
              </w:rPr>
              <w:br/>
              <w:t>Regulations other than r. 1 and 2: 1 Jul 2015 (see r. 2(b))</w:t>
            </w:r>
          </w:p>
        </w:tc>
      </w:tr>
      <w:tr>
        <w:trPr>
          <w:gridAfter w:val="1"/>
          <w:wAfter w:w="38" w:type="dxa"/>
        </w:trPr>
        <w:tc>
          <w:tcPr>
            <w:tcW w:w="3118" w:type="dxa"/>
          </w:tcPr>
          <w:p>
            <w:pPr>
              <w:pStyle w:val="nTable"/>
              <w:spacing w:after="40"/>
            </w:pPr>
            <w:r>
              <w:rPr>
                <w:i/>
              </w:rPr>
              <w:t>Mines and Petroleum Regulations Amendment (Fees and Levies) Regulations 2016</w:t>
            </w:r>
            <w:r>
              <w:t xml:space="preserve"> Pt. 12</w:t>
            </w:r>
          </w:p>
        </w:tc>
        <w:tc>
          <w:tcPr>
            <w:tcW w:w="1276" w:type="dxa"/>
            <w:gridSpan w:val="2"/>
          </w:tcPr>
          <w:p>
            <w:pPr>
              <w:pStyle w:val="nTable"/>
              <w:keepNext/>
              <w:spacing w:after="40"/>
              <w:rPr>
                <w:spacing w:val="-4"/>
              </w:rPr>
            </w:pPr>
            <w:r>
              <w:rPr>
                <w:spacing w:val="-4"/>
              </w:rPr>
              <w:t>24 Jun 2016 p. 2325</w:t>
            </w:r>
            <w:r>
              <w:rPr>
                <w:spacing w:val="-4"/>
              </w:rPr>
              <w:noBreakHyphen/>
              <w:t>34</w:t>
            </w:r>
          </w:p>
        </w:tc>
        <w:tc>
          <w:tcPr>
            <w:tcW w:w="2693" w:type="dxa"/>
            <w:gridSpan w:val="2"/>
          </w:tcPr>
          <w:p>
            <w:pPr>
              <w:pStyle w:val="nTable"/>
              <w:keepNext/>
              <w:spacing w:after="40"/>
              <w:rPr>
                <w:rFonts w:ascii="Times" w:hAnsi="Times"/>
                <w:bCs/>
                <w:snapToGrid w:val="0"/>
                <w:spacing w:val="-2"/>
              </w:rPr>
            </w:pPr>
            <w:r>
              <w:rPr>
                <w:rFonts w:ascii="Times" w:hAnsi="Times"/>
                <w:bCs/>
                <w:snapToGrid w:val="0"/>
                <w:spacing w:val="-2"/>
              </w:rPr>
              <w:t>1 Jul 2016 (see r. 2(b))</w:t>
            </w:r>
          </w:p>
        </w:tc>
      </w:tr>
      <w:tr>
        <w:tblPrEx>
          <w:tblBorders>
            <w:top w:val="single" w:sz="4" w:space="0" w:color="auto"/>
            <w:bottom w:val="single" w:sz="4" w:space="0" w:color="auto"/>
            <w:insideH w:val="single" w:sz="4" w:space="0" w:color="auto"/>
          </w:tblBorders>
        </w:tblPrEx>
        <w:trPr>
          <w:gridAfter w:val="1"/>
          <w:wAfter w:w="38" w:type="dxa"/>
        </w:trPr>
        <w:tc>
          <w:tcPr>
            <w:tcW w:w="3118" w:type="dxa"/>
            <w:tcBorders>
              <w:top w:val="nil"/>
              <w:bottom w:val="nil"/>
            </w:tcBorders>
          </w:tcPr>
          <w:p>
            <w:pPr>
              <w:pStyle w:val="nTable"/>
              <w:spacing w:after="40"/>
            </w:pPr>
            <w:r>
              <w:rPr>
                <w:i/>
              </w:rPr>
              <w:t>Mines and Petroleum Regulations Amendment (Fees and Charges) Regulations 2017</w:t>
            </w:r>
            <w:r>
              <w:t xml:space="preserve"> Pt. 13</w:t>
            </w:r>
          </w:p>
        </w:tc>
        <w:tc>
          <w:tcPr>
            <w:tcW w:w="1276" w:type="dxa"/>
            <w:gridSpan w:val="2"/>
            <w:tcBorders>
              <w:top w:val="nil"/>
              <w:bottom w:val="nil"/>
            </w:tcBorders>
          </w:tcPr>
          <w:p>
            <w:pPr>
              <w:pStyle w:val="nTable"/>
              <w:spacing w:after="40"/>
            </w:pPr>
            <w:r>
              <w:t>23 Jun 2017 p. 3279</w:t>
            </w:r>
            <w:r>
              <w:noBreakHyphen/>
              <w:t>309</w:t>
            </w:r>
          </w:p>
        </w:tc>
        <w:tc>
          <w:tcPr>
            <w:tcW w:w="2693" w:type="dxa"/>
            <w:gridSpan w:val="2"/>
            <w:tcBorders>
              <w:top w:val="nil"/>
              <w:bottom w:val="nil"/>
            </w:tcBorders>
          </w:tcPr>
          <w:p>
            <w:pPr>
              <w:pStyle w:val="nTable"/>
              <w:spacing w:after="40"/>
              <w:rPr>
                <w:rFonts w:ascii="Times" w:hAnsi="Times"/>
                <w:bCs/>
                <w:snapToGrid w:val="0"/>
                <w:spacing w:val="-2"/>
              </w:rPr>
            </w:pPr>
            <w:r>
              <w:rPr>
                <w:rFonts w:ascii="Times" w:hAnsi="Times"/>
                <w:bCs/>
                <w:snapToGrid w:val="0"/>
                <w:spacing w:val="-2"/>
              </w:rPr>
              <w:t>1 Jul 2017 (see r. 2(b))</w:t>
            </w:r>
          </w:p>
        </w:tc>
      </w:tr>
      <w:tr>
        <w:tblPrEx>
          <w:tblBorders>
            <w:top w:val="single" w:sz="4" w:space="0" w:color="auto"/>
            <w:bottom w:val="single" w:sz="4" w:space="0" w:color="auto"/>
            <w:insideH w:val="single" w:sz="4" w:space="0" w:color="auto"/>
          </w:tblBorders>
        </w:tblPrEx>
        <w:tc>
          <w:tcPr>
            <w:tcW w:w="3124" w:type="dxa"/>
            <w:gridSpan w:val="2"/>
            <w:tcBorders>
              <w:top w:val="nil"/>
              <w:bottom w:val="nil"/>
            </w:tcBorders>
          </w:tcPr>
          <w:p>
            <w:pPr>
              <w:pStyle w:val="nTable"/>
              <w:spacing w:after="40"/>
              <w:rPr>
                <w:i/>
              </w:rPr>
            </w:pPr>
            <w:r>
              <w:rPr>
                <w:i/>
              </w:rPr>
              <w:t>Mines and Petroleum Regulations Amendment (Fees and Charges) Regulations 2018</w:t>
            </w:r>
            <w:r>
              <w:t xml:space="preserve"> Pt. 13</w:t>
            </w:r>
          </w:p>
        </w:tc>
        <w:tc>
          <w:tcPr>
            <w:tcW w:w="1276" w:type="dxa"/>
            <w:gridSpan w:val="2"/>
            <w:tcBorders>
              <w:top w:val="nil"/>
              <w:bottom w:val="nil"/>
            </w:tcBorders>
          </w:tcPr>
          <w:p>
            <w:pPr>
              <w:pStyle w:val="nTable"/>
              <w:spacing w:after="40"/>
            </w:pPr>
            <w:r>
              <w:t>25 Jun 2018 p. 2297</w:t>
            </w:r>
            <w:r>
              <w:noBreakHyphen/>
              <w:t>324</w:t>
            </w:r>
          </w:p>
        </w:tc>
        <w:tc>
          <w:tcPr>
            <w:tcW w:w="2725" w:type="dxa"/>
            <w:gridSpan w:val="2"/>
            <w:tcBorders>
              <w:top w:val="nil"/>
              <w:bottom w:val="nil"/>
            </w:tcBorders>
          </w:tcPr>
          <w:p>
            <w:pPr>
              <w:pStyle w:val="nTable"/>
              <w:spacing w:after="40"/>
              <w:rPr>
                <w:rFonts w:ascii="Times" w:hAnsi="Times"/>
                <w:bCs/>
                <w:snapToGrid w:val="0"/>
                <w:spacing w:val="-2"/>
              </w:rPr>
            </w:pPr>
            <w:r>
              <w:rPr>
                <w:rFonts w:ascii="Times" w:hAnsi="Times"/>
                <w:bCs/>
                <w:snapToGrid w:val="0"/>
                <w:spacing w:val="-2"/>
              </w:rPr>
              <w:t>1 Jul 2018 (see r. 2(b))</w:t>
            </w:r>
          </w:p>
        </w:tc>
      </w:tr>
      <w:tr>
        <w:tblPrEx>
          <w:tblBorders>
            <w:top w:val="single" w:sz="4" w:space="0" w:color="auto"/>
            <w:bottom w:val="single" w:sz="4" w:space="0" w:color="auto"/>
            <w:insideH w:val="single" w:sz="4" w:space="0" w:color="auto"/>
          </w:tblBorders>
        </w:tblPrEx>
        <w:trPr>
          <w:gridAfter w:val="1"/>
          <w:wAfter w:w="38" w:type="dxa"/>
        </w:trPr>
        <w:tc>
          <w:tcPr>
            <w:tcW w:w="7087" w:type="dxa"/>
            <w:gridSpan w:val="5"/>
            <w:tcBorders>
              <w:top w:val="nil"/>
              <w:bottom w:val="single" w:sz="8" w:space="0" w:color="auto"/>
            </w:tcBorders>
            <w:shd w:val="clear" w:color="auto" w:fill="auto"/>
          </w:tcPr>
          <w:p>
            <w:pPr>
              <w:pStyle w:val="nTable"/>
              <w:spacing w:after="40"/>
              <w:rPr>
                <w:rFonts w:ascii="Times" w:hAnsi="Times"/>
                <w:bCs/>
                <w:snapToGrid w:val="0"/>
                <w:spacing w:val="-2"/>
              </w:rPr>
            </w:pPr>
            <w:r>
              <w:rPr>
                <w:rFonts w:ascii="Times" w:hAnsi="Times"/>
                <w:b/>
                <w:bCs/>
                <w:snapToGrid w:val="0"/>
                <w:spacing w:val="-2"/>
              </w:rPr>
              <w:t xml:space="preserve">Reprint 3: The </w:t>
            </w:r>
            <w:r>
              <w:rPr>
                <w:rFonts w:ascii="Times" w:hAnsi="Times"/>
                <w:b/>
                <w:bCs/>
                <w:i/>
                <w:noProof/>
                <w:snapToGrid w:val="0"/>
                <w:spacing w:val="-2"/>
              </w:rPr>
              <w:t>Petroleum and Geothermal Energy Resources (Registration Fees) Regulations 1990</w:t>
            </w:r>
            <w:r>
              <w:rPr>
                <w:rFonts w:ascii="Times" w:hAnsi="Times"/>
                <w:b/>
                <w:bCs/>
                <w:snapToGrid w:val="0"/>
                <w:spacing w:val="-2"/>
              </w:rPr>
              <w:t xml:space="preserve"> as at 13 Jul 2018</w:t>
            </w:r>
            <w:r>
              <w:rPr>
                <w:rFonts w:ascii="Times" w:hAnsi="Times"/>
                <w:bCs/>
                <w:snapToGrid w:val="0"/>
                <w:spacing w:val="-2"/>
              </w:rPr>
              <w:t xml:space="preserve"> (includes amendments listed above)</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3" w:name="_Toc11752741"/>
      <w:r>
        <w:t>Provisions that have not come into operation</w:t>
      </w:r>
      <w:bookmarkEnd w:id="13"/>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Pr>
          <w:p>
            <w:pPr>
              <w:pStyle w:val="nTable"/>
              <w:spacing w:after="40"/>
            </w:pPr>
            <w:r>
              <w:rPr>
                <w:i/>
              </w:rPr>
              <w:t>Mines and Petroleum Regulations Amendment (Fees and Charges) Regulations 2019</w:t>
            </w:r>
            <w:r>
              <w:t xml:space="preserve"> Pt. 12</w:t>
            </w:r>
            <w:r>
              <w:rPr>
                <w:vertAlign w:val="superscript"/>
              </w:rPr>
              <w:t> 3</w:t>
            </w:r>
          </w:p>
        </w:tc>
        <w:tc>
          <w:tcPr>
            <w:tcW w:w="1276" w:type="dxa"/>
          </w:tcPr>
          <w:p>
            <w:pPr>
              <w:pStyle w:val="nTable"/>
              <w:spacing w:after="40"/>
            </w:pPr>
            <w:r>
              <w:t>18 Jun 2019 p. 2040</w:t>
            </w:r>
            <w:r>
              <w:noBreakHyphen/>
              <w:t>56</w:t>
            </w:r>
          </w:p>
        </w:tc>
        <w:tc>
          <w:tcPr>
            <w:tcW w:w="2693" w:type="dxa"/>
          </w:tcPr>
          <w:p>
            <w:pPr>
              <w:pStyle w:val="nTable"/>
              <w:spacing w:after="40"/>
            </w:pPr>
            <w:r>
              <w:t>1 Jul 2019 (see r. 2(b))</w:t>
            </w:r>
          </w:p>
        </w:tc>
      </w:tr>
    </w:tbl>
    <w:p>
      <w:pPr>
        <w:pStyle w:val="nSubsection"/>
      </w:pPr>
      <w:r>
        <w:rPr>
          <w:vertAlign w:val="superscript"/>
        </w:rPr>
        <w:t>2</w:t>
      </w:r>
      <w:r>
        <w:tab/>
        <w:t xml:space="preserve">Now known as the </w:t>
      </w:r>
      <w:r>
        <w:rPr>
          <w:i/>
        </w:rPr>
        <w:t>Petroleum and Geothermal Energy Resources (Registration Fees) Regulations 1990</w:t>
      </w:r>
      <w:r>
        <w:t>; citation changed (see note under r. 1).</w:t>
      </w:r>
    </w:p>
    <w:p>
      <w:pPr>
        <w:pStyle w:val="nSubsection"/>
      </w:pPr>
      <w:r>
        <w:rPr>
          <w:vertAlign w:val="superscript"/>
        </w:rPr>
        <w:t>3</w:t>
      </w:r>
      <w:r>
        <w:tab/>
        <w:t xml:space="preserve">On the date as at which this compilation was prepared, the </w:t>
      </w:r>
      <w:r>
        <w:rPr>
          <w:i/>
        </w:rPr>
        <w:t>Mines and Petroleum Regulations Amendment (Fees and Charges) Regulations 2019</w:t>
      </w:r>
      <w:r>
        <w:t xml:space="preserve"> Pt. 12 had not come into operation.  It reads as follows:</w:t>
      </w:r>
    </w:p>
    <w:p>
      <w:pPr>
        <w:pStyle w:val="BlankOpen"/>
      </w:pPr>
    </w:p>
    <w:p>
      <w:pPr>
        <w:pStyle w:val="nzHeading2"/>
      </w:pPr>
      <w:bookmarkStart w:id="14" w:name="_Toc8722746"/>
      <w:bookmarkStart w:id="15" w:name="_Toc8722816"/>
      <w:bookmarkStart w:id="16" w:name="_Toc8725108"/>
      <w:bookmarkStart w:id="17" w:name="_Toc8731428"/>
      <w:bookmarkStart w:id="18" w:name="_Toc8731797"/>
      <w:bookmarkStart w:id="19" w:name="_Toc8744461"/>
      <w:bookmarkStart w:id="20" w:name="_Toc8744697"/>
      <w:r>
        <w:rPr>
          <w:rStyle w:val="CharPartNo"/>
        </w:rPr>
        <w:t>Part 12</w:t>
      </w:r>
      <w:r>
        <w:rPr>
          <w:rStyle w:val="CharDivNo"/>
        </w:rPr>
        <w:t> </w:t>
      </w:r>
      <w:r>
        <w:t>—</w:t>
      </w:r>
      <w:r>
        <w:rPr>
          <w:rStyle w:val="CharDivText"/>
        </w:rPr>
        <w:t> </w:t>
      </w:r>
      <w:r>
        <w:rPr>
          <w:rStyle w:val="CharPartText"/>
          <w:i/>
        </w:rPr>
        <w:t>Petroleum and Geothermal Energy Resources (Registration Fees) Regulations 1990</w:t>
      </w:r>
      <w:r>
        <w:rPr>
          <w:rStyle w:val="CharPartText"/>
        </w:rPr>
        <w:t xml:space="preserve"> amended</w:t>
      </w:r>
      <w:bookmarkEnd w:id="14"/>
      <w:bookmarkEnd w:id="15"/>
      <w:bookmarkEnd w:id="16"/>
      <w:bookmarkEnd w:id="17"/>
      <w:bookmarkEnd w:id="18"/>
      <w:bookmarkEnd w:id="19"/>
      <w:bookmarkEnd w:id="20"/>
    </w:p>
    <w:p>
      <w:pPr>
        <w:pStyle w:val="nzHeading5"/>
      </w:pPr>
      <w:bookmarkStart w:id="21" w:name="_Toc8731429"/>
      <w:bookmarkStart w:id="22" w:name="_Toc8744462"/>
      <w:bookmarkStart w:id="23" w:name="_Toc8744698"/>
      <w:r>
        <w:rPr>
          <w:rStyle w:val="CharSectno"/>
        </w:rPr>
        <w:t>32</w:t>
      </w:r>
      <w:r>
        <w:t>.</w:t>
      </w:r>
      <w:r>
        <w:tab/>
        <w:t>Regulations amended</w:t>
      </w:r>
      <w:bookmarkEnd w:id="21"/>
      <w:bookmarkEnd w:id="22"/>
      <w:bookmarkEnd w:id="23"/>
    </w:p>
    <w:p>
      <w:pPr>
        <w:pStyle w:val="nzSubsection"/>
        <w:rPr>
          <w:rStyle w:val="CharDivText"/>
        </w:rPr>
      </w:pPr>
      <w:r>
        <w:tab/>
      </w:r>
      <w:r>
        <w:tab/>
        <w:t xml:space="preserve">This Part amends the </w:t>
      </w:r>
      <w:r>
        <w:rPr>
          <w:rStyle w:val="CharDivText"/>
          <w:i/>
        </w:rPr>
        <w:t>Petroleum and Geothermal Energy Resources (Registration Fees) Regulations 1990</w:t>
      </w:r>
      <w:r>
        <w:rPr>
          <w:rStyle w:val="CharDivText"/>
        </w:rPr>
        <w:t>.</w:t>
      </w:r>
    </w:p>
    <w:p>
      <w:pPr>
        <w:pStyle w:val="nzHeading5"/>
      </w:pPr>
      <w:bookmarkStart w:id="24" w:name="_Toc8731430"/>
      <w:bookmarkStart w:id="25" w:name="_Toc8744463"/>
      <w:bookmarkStart w:id="26" w:name="_Toc8744699"/>
      <w:r>
        <w:rPr>
          <w:rStyle w:val="CharSectno"/>
        </w:rPr>
        <w:t>33</w:t>
      </w:r>
      <w:r>
        <w:t>.</w:t>
      </w:r>
      <w:r>
        <w:tab/>
        <w:t>Regulation 3 amended</w:t>
      </w:r>
      <w:bookmarkEnd w:id="24"/>
      <w:bookmarkEnd w:id="25"/>
      <w:bookmarkEnd w:id="26"/>
    </w:p>
    <w:p>
      <w:pPr>
        <w:pStyle w:val="nzSubsection"/>
      </w:pPr>
      <w:r>
        <w:tab/>
        <w:t>(1)</w:t>
      </w:r>
      <w:r>
        <w:tab/>
        <w:t>In regulation 3(1) and (2) delete “$5 451.00.” and insert:</w:t>
      </w:r>
    </w:p>
    <w:p>
      <w:pPr>
        <w:pStyle w:val="BlankOpen"/>
      </w:pPr>
    </w:p>
    <w:p>
      <w:pPr>
        <w:pStyle w:val="nzSubsection"/>
      </w:pPr>
      <w:r>
        <w:tab/>
      </w:r>
      <w:r>
        <w:tab/>
        <w:t>$5 724.00.</w:t>
      </w:r>
    </w:p>
    <w:p>
      <w:pPr>
        <w:pStyle w:val="BlankClose"/>
      </w:pPr>
    </w:p>
    <w:p>
      <w:pPr>
        <w:pStyle w:val="nzSubsection"/>
      </w:pPr>
      <w:r>
        <w:tab/>
        <w:t>(2)</w:t>
      </w:r>
      <w:r>
        <w:tab/>
        <w:t>In regulation 3(3) delete “$8 292.00.” and insert:</w:t>
      </w:r>
    </w:p>
    <w:p>
      <w:pPr>
        <w:pStyle w:val="BlankOpen"/>
      </w:pPr>
    </w:p>
    <w:p>
      <w:pPr>
        <w:pStyle w:val="nzSubsection"/>
      </w:pPr>
      <w:r>
        <w:tab/>
      </w:r>
      <w:r>
        <w:tab/>
        <w:t>$8 707.00.</w:t>
      </w:r>
    </w:p>
    <w:p>
      <w:pPr>
        <w:pStyle w:val="BlankClose"/>
      </w:pPr>
    </w:p>
    <w:p>
      <w:pPr>
        <w:pStyle w:val="nzSubsection"/>
      </w:pPr>
      <w:r>
        <w:tab/>
        <w:t>(3)</w:t>
      </w:r>
      <w:r>
        <w:tab/>
        <w:t>In regulation 3(4) delete “$5 451.00.” and insert:</w:t>
      </w:r>
    </w:p>
    <w:p>
      <w:pPr>
        <w:pStyle w:val="BlankOpen"/>
      </w:pPr>
    </w:p>
    <w:p>
      <w:pPr>
        <w:pStyle w:val="nzSubsection"/>
      </w:pPr>
      <w:r>
        <w:tab/>
      </w:r>
      <w:r>
        <w:tab/>
        <w:t>$5 724.00.</w:t>
      </w:r>
    </w:p>
    <w:p>
      <w:pPr>
        <w:pStyle w:val="BlankClose"/>
      </w:pPr>
    </w:p>
    <w:p>
      <w:pPr>
        <w:pStyle w:val="nzSubsection"/>
      </w:pPr>
      <w:r>
        <w:tab/>
        <w:t>(4)</w:t>
      </w:r>
      <w:r>
        <w:tab/>
        <w:t>In regulation 3(5) delete “$8 292.00.” and insert:</w:t>
      </w:r>
    </w:p>
    <w:p>
      <w:pPr>
        <w:pStyle w:val="BlankOpen"/>
      </w:pPr>
    </w:p>
    <w:p>
      <w:pPr>
        <w:pStyle w:val="nzSubsection"/>
      </w:pPr>
      <w:r>
        <w:tab/>
      </w:r>
      <w:r>
        <w:tab/>
        <w:t>$8 707.00.</w:t>
      </w:r>
    </w:p>
    <w:p>
      <w:pPr>
        <w:pStyle w:val="BlankClose"/>
      </w:pPr>
    </w:p>
    <w:p/>
    <w:p>
      <w:pPr>
        <w:sectPr>
          <w:headerReference w:type="even" r:id="rId25"/>
          <w:headerReference w:type="default" r:id="rId26"/>
          <w:headerReference w:type="first" r:id="rId27"/>
          <w:pgSz w:w="11907" w:h="16840" w:code="9"/>
          <w:pgMar w:top="2376" w:right="2404" w:bottom="3544" w:left="2404" w:header="720"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81" w:right="2410" w:bottom="2977" w:left="2410" w:header="720" w:footer="3379"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03-b0-01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18 Jun 2019</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Jun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03-b0-01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Jun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03-b0-01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03-b0-01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18 Jun 2019</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Jun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03-b0-01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Jun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03-b0-01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Petroleum and Geothermal Energy Resources (Registration Fees) Regulations 1990</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Petroleum and Geothermal Energy Resources (Registration Fees) Regulations 1990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7" w:name="Compilation"/>
    <w:bookmarkEnd w:id="27"/>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8" w:name="Coversheet"/>
    <w:bookmarkEnd w:id="28"/>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and Geothermal Energy Resources (Registration Fees) Regulations 1990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Petroleum and Geothermal Energy Resources (Registration Fees) Regulations 1990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Petroleum and Geothermal Energy Resources (Registration Fees) Regulations 1990</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Petroleum and Geothermal Energy Resources (Registration Fees) Regulations 1990</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1C8597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9282A9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0907954"/>
    <w:lvl w:ilvl="0">
      <w:start w:val="1"/>
      <w:numFmt w:val="decimal"/>
      <w:pStyle w:val="ListNumber3"/>
      <w:lvlText w:val="%1."/>
      <w:lvlJc w:val="left"/>
      <w:pPr>
        <w:tabs>
          <w:tab w:val="num" w:pos="926"/>
        </w:tabs>
        <w:ind w:left="926" w:hanging="360"/>
      </w:pPr>
    </w:lvl>
  </w:abstractNum>
  <w:abstractNum w:abstractNumId="3">
    <w:nsid w:val="FFFFFF7F"/>
    <w:multiLevelType w:val="singleLevel"/>
    <w:tmpl w:val="AFB42788"/>
    <w:lvl w:ilvl="0">
      <w:start w:val="1"/>
      <w:numFmt w:val="decimal"/>
      <w:pStyle w:val="ListNumber2"/>
      <w:lvlText w:val="%1."/>
      <w:lvlJc w:val="left"/>
      <w:pPr>
        <w:tabs>
          <w:tab w:val="num" w:pos="643"/>
        </w:tabs>
        <w:ind w:left="643" w:hanging="360"/>
      </w:pPr>
    </w:lvl>
  </w:abstractNum>
  <w:abstractNum w:abstractNumId="4">
    <w:nsid w:val="FFFFFF80"/>
    <w:multiLevelType w:val="singleLevel"/>
    <w:tmpl w:val="7BC814C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81C5A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81C440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07A6F02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F4AB09A"/>
    <w:lvl w:ilvl="0">
      <w:start w:val="1"/>
      <w:numFmt w:val="decimal"/>
      <w:pStyle w:val="ListNumber"/>
      <w:lvlText w:val="%1."/>
      <w:lvlJc w:val="left"/>
      <w:pPr>
        <w:tabs>
          <w:tab w:val="num" w:pos="360"/>
        </w:tabs>
        <w:ind w:left="360" w:hanging="360"/>
      </w:pPr>
    </w:lvl>
  </w:abstractNum>
  <w:abstractNum w:abstractNumId="9">
    <w:nsid w:val="FFFFFF89"/>
    <w:multiLevelType w:val="singleLevel"/>
    <w:tmpl w:val="6DA0FBB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D918FD64"/>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4"/>
  </w:num>
  <w:num w:numId="13">
    <w:abstractNumId w:val="19"/>
  </w:num>
  <w:num w:numId="14">
    <w:abstractNumId w:val="16"/>
  </w:num>
  <w:num w:numId="15">
    <w:abstractNumId w:val="14"/>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6"/>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80319140359"/>
    <w:docVar w:name="WAFER_20140123102858" w:val="RemoveTocBookmarks,RemoveUnusedBookmarks,RemoveLanguageTags,UsedStyles,ResetPageSize,UpdateArrangement"/>
    <w:docVar w:name="WAFER_20140123102858_GUID" w:val="8ec0c930-baf4-4627-a5d2-cb35d15f162a"/>
    <w:docVar w:name="WAFER_20140123110833" w:val="RemoveTocBookmarks,RunningHeaders"/>
    <w:docVar w:name="WAFER_20140123110833_GUID" w:val="6014fdf9-eed2-46f3-b9a2-3ea461cb01c3"/>
    <w:docVar w:name="WAFER_20140220161119" w:val="RemoveTocBookmarks,RemoveUnusedBookmarks,RemoveLanguageTags,UsedStyles,ResetPageSize,UpdateArrangement"/>
    <w:docVar w:name="WAFER_20140220161119_GUID" w:val="8f2f9164-503c-4ce9-a200-11c95326f2e2"/>
    <w:docVar w:name="WAFER_20140226112505" w:val="RemoveTocBookmarks,RemoveUnusedBookmarks,RemoveLanguageTags,UsedStyles,ResetPageSize"/>
    <w:docVar w:name="WAFER_20140226112505_GUID" w:val="cf1f7d7f-0441-4b85-a548-6975ea52414a"/>
    <w:docVar w:name="WAFER_20140226112521" w:val="RemoveTocBookmarks,RunningHeaders"/>
    <w:docVar w:name="WAFER_20140226112521_GUID" w:val="e446f812-64c9-4971-ab39-787763d0a626"/>
    <w:docVar w:name="WAFER_20140630162438" w:val="RemoveTocBookmarks,RunningHeaders"/>
    <w:docVar w:name="WAFER_20140630162438_GUID" w:val="ff94cf16-6037-4551-88ac-320533049ed4"/>
    <w:docVar w:name="WAFER_20150630075822" w:val="ResetPageSize,UpdateArrangement,UpdateNTable"/>
    <w:docVar w:name="WAFER_20150630075822_GUID" w:val="cadf384c-706e-48d1-a3b1-6af731885f01"/>
    <w:docVar w:name="WAFER_20151109113855" w:val="UpdateStyles,UsedStyles"/>
    <w:docVar w:name="WAFER_20151109113855_GUID" w:val="04542f8b-48ff-4830-89cd-dd749679835f"/>
    <w:docVar w:name="WAFER_20180319140359" w:val="RemoveTocBookmarks,RemoveUnusedBookmarks,RemoveLanguageTags,UsedStyles,ResetPageSize,RemoveCustomizations"/>
    <w:docVar w:name="WAFER_20180319140359_GUID" w:val="2ad7fd08-a9c8-472b-89b4-02e295771b0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7.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1142</Words>
  <Characters>5631</Characters>
  <Application>Microsoft Office Word</Application>
  <DocSecurity>0</DocSecurity>
  <Lines>244</Lines>
  <Paragraphs>130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Petroleum and Geothermal Energy Resources (Registration Fees) Regulations 1990 - 03-b0-01</dc:title>
  <dc:subject/>
  <dc:creator/>
  <cp:keywords/>
  <dc:description/>
  <cp:lastModifiedBy>svcMRProcess</cp:lastModifiedBy>
  <cp:revision>4</cp:revision>
  <cp:lastPrinted>2018-05-07T01:56:00Z</cp:lastPrinted>
  <dcterms:created xsi:type="dcterms:W3CDTF">2019-06-21T03:22:00Z</dcterms:created>
  <dcterms:modified xsi:type="dcterms:W3CDTF">2019-06-21T03:22:00Z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September 1990 p.5108</vt:lpwstr>
  </property>
  <property fmtid="{D5CDD505-2E9C-101B-9397-08002B2CF9AE}" pid="3" name="DocumentType">
    <vt:lpwstr>Reg</vt:lpwstr>
  </property>
  <property fmtid="{D5CDD505-2E9C-101B-9397-08002B2CF9AE}" pid="4" name="OwlsUID">
    <vt:i4>4685</vt:i4>
  </property>
  <property fmtid="{D5CDD505-2E9C-101B-9397-08002B2CF9AE}" pid="5" name="ReprintedAsAt">
    <vt:filetime>2018-07-12T16:00:00Z</vt:filetime>
  </property>
  <property fmtid="{D5CDD505-2E9C-101B-9397-08002B2CF9AE}" pid="6" name="ReprintNo">
    <vt:lpwstr>3</vt:lpwstr>
  </property>
  <property fmtid="{D5CDD505-2E9C-101B-9397-08002B2CF9AE}" pid="7" name="AsAtDate">
    <vt:lpwstr>18 Jun 2019</vt:lpwstr>
  </property>
  <property fmtid="{D5CDD505-2E9C-101B-9397-08002B2CF9AE}" pid="8" name="Suffix">
    <vt:lpwstr>03-b0-01</vt:lpwstr>
  </property>
  <property fmtid="{D5CDD505-2E9C-101B-9397-08002B2CF9AE}" pid="9" name="CommencementDate">
    <vt:lpwstr>20190618</vt:lpwstr>
  </property>
</Properties>
</file>