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_Toc11761119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_Toc11761120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_Toc11761121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_Toc11761122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_Toc11761123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_Toc11761124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_Toc11761125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_Toc11761126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_Toc11761130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_Toc11761131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11761119"/>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11761120"/>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11761121"/>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11761122"/>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11761123"/>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11761124"/>
      <w:r>
        <w:rPr>
          <w:rStyle w:val="CharSectno"/>
        </w:rPr>
        <w:t>10</w:t>
      </w:r>
      <w:r>
        <w:t>.</w:t>
      </w:r>
      <w:r>
        <w:tab/>
        <w:t>Prescribed fees</w:t>
      </w:r>
      <w:bookmarkEnd w:id="8"/>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tcPr>
          <w:p>
            <w:pPr>
              <w:pStyle w:val="TableNAm"/>
              <w:jc w:val="right"/>
            </w:pPr>
            <w:r>
              <w:br/>
            </w:r>
            <w:r>
              <w:br/>
            </w:r>
            <w:r>
              <w:rPr>
                <w:szCs w:val="24"/>
              </w:rPr>
              <w:t>1 060.90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tcPr>
          <w:p>
            <w:pPr>
              <w:pStyle w:val="TableNAm"/>
              <w:jc w:val="right"/>
            </w:pPr>
            <w:r>
              <w:br/>
            </w:r>
            <w:r>
              <w:br/>
            </w: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tcPr>
          <w:p>
            <w:pPr>
              <w:pStyle w:val="TableNAm"/>
              <w:jc w:val="right"/>
            </w:pPr>
            <w:r>
              <w:br/>
            </w:r>
            <w:r>
              <w:b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tcPr>
          <w:p>
            <w:pPr>
              <w:pStyle w:val="TableNAm"/>
              <w:jc w:val="right"/>
            </w:pPr>
            <w:r>
              <w:br/>
            </w:r>
            <w:r>
              <w:b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tcPr>
          <w:p>
            <w:pPr>
              <w:pStyle w:val="TableNAm"/>
              <w:jc w:val="right"/>
            </w:pPr>
            <w:r>
              <w:br/>
              <w:t>750.90</w:t>
            </w:r>
          </w:p>
        </w:tc>
      </w:tr>
      <w:tr>
        <w:tc>
          <w:tcPr>
            <w:tcW w:w="709" w:type="dxa"/>
          </w:tcPr>
          <w:p>
            <w:pPr>
              <w:pStyle w:val="TableNAm"/>
            </w:pPr>
            <w:r>
              <w:t>6.</w:t>
            </w:r>
          </w:p>
        </w:tc>
        <w:tc>
          <w:tcPr>
            <w:tcW w:w="4111" w:type="dxa"/>
          </w:tcPr>
          <w:p>
            <w:pPr>
              <w:pStyle w:val="TableNAm"/>
            </w:pPr>
            <w:r>
              <w:t>Application for grant of interim licence</w:t>
            </w:r>
          </w:p>
        </w:tc>
        <w:tc>
          <w:tcPr>
            <w:tcW w:w="1559" w:type="dxa"/>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tcPr>
          <w:p>
            <w:pPr>
              <w:pStyle w:val="TableNAm"/>
              <w:jc w:val="right"/>
            </w:pPr>
            <w:r>
              <w:t>28.00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r>
            <w:r>
              <w:rPr>
                <w:szCs w:val="24"/>
              </w:rPr>
              <w:t>75.85</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t>14.10</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r>
              <w:t>11.25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keepNext/>
              <w:jc w:val="right"/>
            </w:pPr>
            <w:r>
              <w:t>11.60</w:t>
            </w:r>
          </w:p>
          <w:p>
            <w:pPr>
              <w:pStyle w:val="TableNAm"/>
              <w:keepNext/>
              <w:jc w:val="right"/>
            </w:pPr>
            <w:r>
              <w:t>2.20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$312.90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 xml:space="preserve">9; 25 Jun 2018 p. 2341.] </w:t>
      </w:r>
    </w:p>
    <w:p>
      <w:pPr>
        <w:pStyle w:val="Heading5"/>
        <w:rPr>
          <w:snapToGrid w:val="0"/>
        </w:rPr>
      </w:pPr>
      <w:bookmarkStart w:id="9" w:name="_Toc11761125"/>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11761126"/>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11747528"/>
      <w:bookmarkStart w:id="12" w:name="_Toc11755113"/>
      <w:bookmarkStart w:id="13" w:name="_Toc11761127"/>
      <w:r>
        <w:rPr>
          <w:rStyle w:val="CharSchNo"/>
        </w:rPr>
        <w:t>Schedule 1</w:t>
      </w:r>
      <w:r>
        <w:t> — </w:t>
      </w:r>
      <w:r>
        <w:rPr>
          <w:rStyle w:val="CharSchText"/>
        </w:rPr>
        <w:t>Forms</w:t>
      </w:r>
      <w:bookmarkEnd w:id="11"/>
      <w:bookmarkEnd w:id="12"/>
      <w:bookmarkEnd w:id="13"/>
    </w:p>
    <w:p>
      <w:pPr>
        <w:pStyle w:val="yShoulderClause"/>
      </w:pPr>
      <w:r>
        <w:t>[r. 3]</w:t>
      </w:r>
    </w:p>
    <w:p>
      <w:pPr>
        <w:pStyle w:val="yFootnoteheading"/>
      </w:pPr>
      <w:r>
        <w:tab/>
        <w:t>[Heading inserted: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r>
              <w:rPr>
                <w:vertAlign w:val="superscript"/>
              </w:rPr>
              <w:t xml:space="preserve">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 w:name="_Toc11747529"/>
      <w:bookmarkStart w:id="16" w:name="_Toc11755114"/>
      <w:bookmarkStart w:id="17" w:name="_Toc11761128"/>
      <w:r>
        <w:rPr>
          <w:rStyle w:val="CharSchNo"/>
        </w:rPr>
        <w:t>Schedule 2</w:t>
      </w:r>
      <w:r>
        <w:t> — </w:t>
      </w:r>
      <w:r>
        <w:rPr>
          <w:rStyle w:val="CharSchText"/>
        </w:rPr>
        <w:t>Prescribed offences and modified penalties</w:t>
      </w:r>
      <w:bookmarkEnd w:id="15"/>
      <w:bookmarkEnd w:id="16"/>
      <w:bookmarkEnd w:id="17"/>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18" w:name="_Toc11747530"/>
      <w:bookmarkStart w:id="19" w:name="_Toc11755115"/>
      <w:bookmarkStart w:id="20" w:name="_Toc11761129"/>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 w:name="_Toc11761130"/>
      <w:r>
        <w:rPr>
          <w:snapToGrid w:val="0"/>
        </w:rPr>
        <w:t>Compilation table</w:t>
      </w:r>
      <w:bookmarkEnd w:id="21"/>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5"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5"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5"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5"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5"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5"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5"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5"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5"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5"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5"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5"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5"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5"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5" w:type="dxa"/>
            <w:gridSpan w:val="3"/>
          </w:tcPr>
          <w:p>
            <w:pPr>
              <w:pStyle w:val="nTable"/>
              <w:spacing w:after="40"/>
            </w:pPr>
            <w:r>
              <w:t>12 Mar 1996</w:t>
            </w:r>
          </w:p>
        </w:tc>
      </w:tr>
      <w:tr>
        <w:trPr>
          <w:cantSplit/>
        </w:trPr>
        <w:tc>
          <w:tcPr>
            <w:tcW w:w="7158"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5"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5" w:type="dxa"/>
            <w:gridSpan w:val="3"/>
          </w:tcPr>
          <w:p>
            <w:pPr>
              <w:pStyle w:val="nTable"/>
              <w:spacing w:after="40"/>
            </w:pPr>
            <w:r>
              <w:t>1 Jul 2003 (see r. 2)</w:t>
            </w:r>
          </w:p>
        </w:tc>
      </w:tr>
      <w:tr>
        <w:trPr>
          <w:cantSplit/>
        </w:trPr>
        <w:tc>
          <w:tcPr>
            <w:tcW w:w="7158"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5"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5"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5"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5" w:type="dxa"/>
            <w:gridSpan w:val="3"/>
          </w:tcPr>
          <w:p>
            <w:pPr>
              <w:pStyle w:val="nTable"/>
              <w:spacing w:after="40"/>
            </w:pPr>
            <w:r>
              <w:t>22 Sep 2006 (see r. 2(a))</w:t>
            </w:r>
          </w:p>
        </w:tc>
      </w:tr>
      <w:tr>
        <w:trPr>
          <w:cantSplit/>
        </w:trPr>
        <w:tc>
          <w:tcPr>
            <w:tcW w:w="7158"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5"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5"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5"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8"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5"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5"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5"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5" w:type="dxa"/>
            <w:gridSpan w:val="3"/>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pPr>
            <w:r>
              <w:t>20 Aug 2013 p. 3830</w:t>
            </w:r>
          </w:p>
        </w:tc>
        <w:tc>
          <w:tcPr>
            <w:tcW w:w="2755" w:type="dxa"/>
            <w:gridSpan w:val="3"/>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8"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pPr>
            <w:r>
              <w:t>17 Jun 2014 p. 1965</w:t>
            </w:r>
            <w:r>
              <w:noBreakHyphen/>
              <w:t>6</w:t>
            </w:r>
          </w:p>
        </w:tc>
        <w:tc>
          <w:tcPr>
            <w:tcW w:w="2755" w:type="dxa"/>
            <w:gridSpan w:val="3"/>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5" w:type="dxa"/>
            <w:gridSpan w:val="3"/>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5" w:type="dxa"/>
            <w:gridSpan w:val="3"/>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5" w:type="dxa"/>
            <w:gridSpan w:val="3"/>
            <w:tcBorders>
              <w:top w:val="nil"/>
              <w:bottom w:val="nil"/>
            </w:tcBorders>
          </w:tcPr>
          <w:p>
            <w:pPr>
              <w:pStyle w:val="nTable"/>
              <w:spacing w:after="40"/>
            </w:pPr>
            <w:r>
              <w:t>1 Jul 2016 (see r. 2(b))</w:t>
            </w:r>
          </w:p>
        </w:tc>
      </w:tr>
      <w:tr>
        <w:trPr>
          <w:gridAfter w:val="1"/>
          <w:wAfter w:w="39"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single" w:sz="4" w:space="0" w:color="auto"/>
            </w:tcBorders>
          </w:tcPr>
          <w:p>
            <w:pPr>
              <w:pStyle w:val="nTable"/>
              <w:spacing w:after="40"/>
            </w:pPr>
            <w:r>
              <w:rPr>
                <w:i/>
              </w:rPr>
              <w:t xml:space="preserve">Commerce and Industrial Relations Regulations Amendment (Administration) Regulations 2018 </w:t>
            </w:r>
            <w:r>
              <w:t>Pt. 3</w:t>
            </w:r>
          </w:p>
        </w:tc>
        <w:tc>
          <w:tcPr>
            <w:tcW w:w="1280" w:type="dxa"/>
            <w:tcBorders>
              <w:top w:val="nil"/>
              <w:bottom w:val="single" w:sz="4" w:space="0" w:color="auto"/>
            </w:tcBorders>
          </w:tcPr>
          <w:p>
            <w:pPr>
              <w:pStyle w:val="nTable"/>
              <w:spacing w:after="40"/>
            </w:pPr>
            <w:r>
              <w:t>2 Oct 2018 p. 3794</w:t>
            </w:r>
            <w:r>
              <w:noBreakHyphen/>
              <w:t>6</w:t>
            </w:r>
          </w:p>
        </w:tc>
        <w:tc>
          <w:tcPr>
            <w:tcW w:w="2697" w:type="dxa"/>
            <w:tcBorders>
              <w:top w:val="nil"/>
              <w:bottom w:val="single" w:sz="4" w:space="0" w:color="auto"/>
            </w:tcBorders>
          </w:tcPr>
          <w:p>
            <w:pPr>
              <w:pStyle w:val="nTable"/>
              <w:spacing w:after="40"/>
              <w:rPr>
                <w:bCs/>
                <w:snapToGrid w:val="0"/>
                <w:spacing w:val="-2"/>
              </w:rPr>
            </w:pPr>
            <w:r>
              <w:rPr>
                <w:bCs/>
                <w:snapToGrid w:val="0"/>
                <w:spacing w:val="-2"/>
              </w:rPr>
              <w:t>3 Oct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11750470"/>
      <w:bookmarkStart w:id="23" w:name="_Toc11761131"/>
      <w:r>
        <w:t>Provisions that have not come into operation</w:t>
      </w:r>
      <w:bookmarkEnd w:id="22"/>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10</w:t>
            </w:r>
            <w:r>
              <w:rPr>
                <w:snapToGrid w:val="0"/>
                <w:vertAlign w:val="superscript"/>
              </w:rPr>
              <w:t> 3</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On the date as at which this compilation was prepared, the </w:t>
      </w:r>
      <w:r>
        <w:rPr>
          <w:i/>
        </w:rPr>
        <w:t xml:space="preserve">Commerce Regulations Amendment (Fees and Charges) Regulations 2019 </w:t>
      </w:r>
      <w:r>
        <w:t>Pt. 10 had not come into operation. It reads as follows:</w:t>
      </w:r>
    </w:p>
    <w:p>
      <w:pPr>
        <w:pStyle w:val="BlankOpen"/>
        <w:rPr>
          <w:rStyle w:val="CharPartNo"/>
          <w:b/>
          <w:sz w:val="19"/>
        </w:rPr>
      </w:pPr>
    </w:p>
    <w:p>
      <w:pPr>
        <w:pStyle w:val="nzHeading2"/>
      </w:pPr>
      <w:r>
        <w:t>Part 10 — Employment Agents Regulations 1976 amended</w:t>
      </w:r>
    </w:p>
    <w:p>
      <w:pPr>
        <w:pStyle w:val="nzHeading5"/>
        <w:rPr>
          <w:snapToGrid w:val="0"/>
        </w:rPr>
      </w:pPr>
      <w:r>
        <w:t>19</w:t>
      </w:r>
      <w:r>
        <w:rPr>
          <w:snapToGrid w:val="0"/>
        </w:rPr>
        <w:t>.</w:t>
      </w:r>
      <w:r>
        <w:rPr>
          <w:snapToGrid w:val="0"/>
        </w:rPr>
        <w:tab/>
        <w:t>Regulations amended</w:t>
      </w:r>
    </w:p>
    <w:p>
      <w:pPr>
        <w:pStyle w:val="nzSubsection"/>
      </w:pPr>
      <w:r>
        <w:tab/>
      </w:r>
      <w:r>
        <w:tab/>
        <w:t xml:space="preserve">This Part amends the </w:t>
      </w:r>
      <w:r>
        <w:rPr>
          <w:i/>
        </w:rPr>
        <w:t>Employment Agents Regulations 1976</w:t>
      </w:r>
      <w:r>
        <w:t>.</w:t>
      </w:r>
    </w:p>
    <w:p>
      <w:pPr>
        <w:pStyle w:val="nzHeading5"/>
      </w:pPr>
      <w:r>
        <w:t>20.</w:t>
      </w:r>
      <w:r>
        <w:tab/>
        <w:t>Regulation 10 amended</w:t>
      </w:r>
    </w:p>
    <w:p>
      <w:pPr>
        <w:pStyle w:val="nzSubsection"/>
      </w:pPr>
      <w:r>
        <w:tab/>
        <w:t>(1)</w:t>
      </w:r>
      <w:r>
        <w:tab/>
        <w:t>Delete regulation 10(1) and insert:</w:t>
      </w:r>
    </w:p>
    <w:p>
      <w:pPr>
        <w:pStyle w:val="BlankOpen"/>
      </w:pPr>
    </w:p>
    <w:p>
      <w:pPr>
        <w:pStyle w:val="nzSubsection"/>
      </w:pPr>
      <w:r>
        <w:tab/>
        <w:t>(1)</w:t>
      </w:r>
      <w:r>
        <w:tab/>
        <w:t>The fees set out in the Table are payable with respect to the matters set out opposite them in the Table.</w:t>
      </w:r>
    </w:p>
    <w:p>
      <w:pPr>
        <w:pStyle w:val="nz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nzTableNAm"/>
              <w:keepNext/>
              <w:rPr>
                <w:b/>
              </w:rPr>
            </w:pPr>
          </w:p>
        </w:tc>
        <w:tc>
          <w:tcPr>
            <w:tcW w:w="4111" w:type="dxa"/>
          </w:tcPr>
          <w:p>
            <w:pPr>
              <w:pStyle w:val="nzTableNAm"/>
              <w:keepNext/>
              <w:rPr>
                <w:b/>
              </w:rPr>
            </w:pPr>
            <w:r>
              <w:rPr>
                <w:b/>
              </w:rPr>
              <w:t>Matter</w:t>
            </w:r>
          </w:p>
        </w:tc>
        <w:tc>
          <w:tcPr>
            <w:tcW w:w="1559" w:type="dxa"/>
          </w:tcPr>
          <w:p>
            <w:pPr>
              <w:pStyle w:val="nzTableNAm"/>
              <w:keepNext/>
              <w:jc w:val="center"/>
              <w:rPr>
                <w:b/>
              </w:rPr>
            </w:pPr>
            <w:r>
              <w:rPr>
                <w:b/>
              </w:rPr>
              <w:t>Fee</w:t>
            </w:r>
            <w:r>
              <w:rPr>
                <w:b/>
              </w:rPr>
              <w:br/>
              <w:t>($)</w:t>
            </w:r>
          </w:p>
        </w:tc>
      </w:tr>
      <w:tr>
        <w:tc>
          <w:tcPr>
            <w:tcW w:w="709" w:type="dxa"/>
          </w:tcPr>
          <w:p>
            <w:pPr>
              <w:pStyle w:val="nzTableNAm"/>
            </w:pPr>
            <w:r>
              <w:t>1.</w:t>
            </w:r>
          </w:p>
        </w:tc>
        <w:tc>
          <w:tcPr>
            <w:tcW w:w="4111" w:type="dxa"/>
          </w:tcPr>
          <w:p>
            <w:pPr>
              <w:pStyle w:val="nzTableNAm"/>
            </w:pPr>
            <w:r>
              <w:t>Application for grant of general licence for period not exceeding prescribed period</w:t>
            </w:r>
          </w:p>
        </w:tc>
        <w:tc>
          <w:tcPr>
            <w:tcW w:w="1559" w:type="dxa"/>
            <w:vAlign w:val="bottom"/>
          </w:tcPr>
          <w:p>
            <w:pPr>
              <w:pStyle w:val="nzTableNAm"/>
              <w:jc w:val="right"/>
            </w:pPr>
            <w:r>
              <w:rPr>
                <w:szCs w:val="24"/>
              </w:rPr>
              <w:t>1 114.00</w:t>
            </w:r>
          </w:p>
        </w:tc>
      </w:tr>
      <w:tr>
        <w:tc>
          <w:tcPr>
            <w:tcW w:w="709" w:type="dxa"/>
          </w:tcPr>
          <w:p>
            <w:pPr>
              <w:pStyle w:val="nzTableNAm"/>
            </w:pPr>
            <w:r>
              <w:t>2.</w:t>
            </w:r>
          </w:p>
        </w:tc>
        <w:tc>
          <w:tcPr>
            <w:tcW w:w="4111" w:type="dxa"/>
          </w:tcPr>
          <w:p>
            <w:pPr>
              <w:pStyle w:val="nzTableNAm"/>
            </w:pPr>
            <w:r>
              <w:t>Application for renewal of general licence for period not exceeding prescribed period</w:t>
            </w:r>
          </w:p>
        </w:tc>
        <w:tc>
          <w:tcPr>
            <w:tcW w:w="1559" w:type="dxa"/>
            <w:vAlign w:val="bottom"/>
          </w:tcPr>
          <w:p>
            <w:pPr>
              <w:pStyle w:val="nzTableNAm"/>
              <w:jc w:val="right"/>
            </w:pPr>
            <w:r>
              <w:rPr>
                <w:szCs w:val="24"/>
              </w:rPr>
              <w:t>606.30</w:t>
            </w:r>
          </w:p>
        </w:tc>
      </w:tr>
      <w:tr>
        <w:tc>
          <w:tcPr>
            <w:tcW w:w="709" w:type="dxa"/>
          </w:tcPr>
          <w:p>
            <w:pPr>
              <w:pStyle w:val="nzTableNAm"/>
            </w:pPr>
            <w:r>
              <w:t>3.</w:t>
            </w:r>
          </w:p>
        </w:tc>
        <w:tc>
          <w:tcPr>
            <w:tcW w:w="4111" w:type="dxa"/>
          </w:tcPr>
          <w:p>
            <w:pPr>
              <w:pStyle w:val="nzTableNAm"/>
            </w:pPr>
            <w:r>
              <w:t>Application for grant of restricted licence for period not exceeding prescribed period</w:t>
            </w:r>
          </w:p>
        </w:tc>
        <w:tc>
          <w:tcPr>
            <w:tcW w:w="1559" w:type="dxa"/>
            <w:vAlign w:val="bottom"/>
          </w:tcPr>
          <w:p>
            <w:pPr>
              <w:pStyle w:val="nzTableNAm"/>
              <w:jc w:val="right"/>
            </w:pPr>
            <w:r>
              <w:t>1 012.40</w:t>
            </w:r>
          </w:p>
        </w:tc>
      </w:tr>
      <w:tr>
        <w:tc>
          <w:tcPr>
            <w:tcW w:w="709" w:type="dxa"/>
          </w:tcPr>
          <w:p>
            <w:pPr>
              <w:pStyle w:val="nzTableNAm"/>
            </w:pPr>
            <w:r>
              <w:t>4.</w:t>
            </w:r>
          </w:p>
        </w:tc>
        <w:tc>
          <w:tcPr>
            <w:tcW w:w="4111" w:type="dxa"/>
          </w:tcPr>
          <w:p>
            <w:pPr>
              <w:pStyle w:val="nzTableNAm"/>
            </w:pPr>
            <w:r>
              <w:t>Application for renewal of restricted licence for period not exceeding prescribed period</w:t>
            </w:r>
          </w:p>
        </w:tc>
        <w:tc>
          <w:tcPr>
            <w:tcW w:w="1559" w:type="dxa"/>
            <w:vAlign w:val="bottom"/>
          </w:tcPr>
          <w:p>
            <w:pPr>
              <w:pStyle w:val="nzTableNAm"/>
              <w:jc w:val="right"/>
            </w:pPr>
            <w:r>
              <w:t>750.90</w:t>
            </w:r>
          </w:p>
        </w:tc>
      </w:tr>
      <w:tr>
        <w:tc>
          <w:tcPr>
            <w:tcW w:w="709" w:type="dxa"/>
          </w:tcPr>
          <w:p>
            <w:pPr>
              <w:pStyle w:val="nzTableNAm"/>
            </w:pPr>
            <w:r>
              <w:t>5.</w:t>
            </w:r>
          </w:p>
        </w:tc>
        <w:tc>
          <w:tcPr>
            <w:tcW w:w="4111" w:type="dxa"/>
          </w:tcPr>
          <w:p>
            <w:pPr>
              <w:pStyle w:val="nzTableNAm"/>
            </w:pPr>
            <w:r>
              <w:t>Application for renewal of general or restricted licence for period of 3 years</w:t>
            </w:r>
          </w:p>
        </w:tc>
        <w:tc>
          <w:tcPr>
            <w:tcW w:w="1559" w:type="dxa"/>
            <w:vAlign w:val="bottom"/>
          </w:tcPr>
          <w:p>
            <w:pPr>
              <w:pStyle w:val="nzTableNAm"/>
              <w:jc w:val="right"/>
            </w:pPr>
            <w:r>
              <w:t>788.00</w:t>
            </w:r>
          </w:p>
        </w:tc>
      </w:tr>
      <w:tr>
        <w:tc>
          <w:tcPr>
            <w:tcW w:w="709" w:type="dxa"/>
          </w:tcPr>
          <w:p>
            <w:pPr>
              <w:pStyle w:val="nzTableNAm"/>
            </w:pPr>
            <w:r>
              <w:t>6.</w:t>
            </w:r>
          </w:p>
        </w:tc>
        <w:tc>
          <w:tcPr>
            <w:tcW w:w="4111" w:type="dxa"/>
          </w:tcPr>
          <w:p>
            <w:pPr>
              <w:pStyle w:val="nzTableNAm"/>
            </w:pPr>
            <w:r>
              <w:t>Application for grant of interim licence</w:t>
            </w:r>
          </w:p>
        </w:tc>
        <w:tc>
          <w:tcPr>
            <w:tcW w:w="1559" w:type="dxa"/>
            <w:vAlign w:val="bottom"/>
          </w:tcPr>
          <w:p>
            <w:pPr>
              <w:pStyle w:val="nzTableNAm"/>
              <w:jc w:val="right"/>
            </w:pPr>
            <w:r>
              <w:t>36.35</w:t>
            </w:r>
          </w:p>
        </w:tc>
      </w:tr>
      <w:tr>
        <w:tc>
          <w:tcPr>
            <w:tcW w:w="709" w:type="dxa"/>
          </w:tcPr>
          <w:p>
            <w:pPr>
              <w:pStyle w:val="nzTableNAm"/>
            </w:pPr>
            <w:r>
              <w:t>7.</w:t>
            </w:r>
          </w:p>
        </w:tc>
        <w:tc>
          <w:tcPr>
            <w:tcW w:w="4111" w:type="dxa"/>
          </w:tcPr>
          <w:p>
            <w:pPr>
              <w:pStyle w:val="nzTableNAm"/>
            </w:pPr>
            <w:r>
              <w:t>Issue of duplicate licence</w:t>
            </w:r>
          </w:p>
        </w:tc>
        <w:tc>
          <w:tcPr>
            <w:tcW w:w="1559" w:type="dxa"/>
            <w:vAlign w:val="bottom"/>
          </w:tcPr>
          <w:p>
            <w:pPr>
              <w:pStyle w:val="nzTableNAm"/>
              <w:jc w:val="right"/>
            </w:pPr>
            <w:r>
              <w:t>29.50</w:t>
            </w:r>
          </w:p>
        </w:tc>
      </w:tr>
      <w:tr>
        <w:tc>
          <w:tcPr>
            <w:tcW w:w="709" w:type="dxa"/>
          </w:tcPr>
          <w:p>
            <w:pPr>
              <w:pStyle w:val="nzTableNAm"/>
            </w:pPr>
            <w:r>
              <w:t>8.</w:t>
            </w:r>
          </w:p>
        </w:tc>
        <w:tc>
          <w:tcPr>
            <w:tcW w:w="4111" w:type="dxa"/>
          </w:tcPr>
          <w:p>
            <w:pPr>
              <w:pStyle w:val="nzTableNAm"/>
            </w:pPr>
            <w:r>
              <w:t>Application for transfer of licence under section 19(6) of the Act</w:t>
            </w:r>
          </w:p>
        </w:tc>
        <w:tc>
          <w:tcPr>
            <w:tcW w:w="1559" w:type="dxa"/>
            <w:vAlign w:val="bottom"/>
          </w:tcPr>
          <w:p>
            <w:pPr>
              <w:pStyle w:val="nzTableNAm"/>
              <w:jc w:val="right"/>
            </w:pPr>
            <w:r>
              <w:rPr>
                <w:szCs w:val="24"/>
              </w:rPr>
              <w:t>79.50</w:t>
            </w:r>
          </w:p>
        </w:tc>
      </w:tr>
      <w:tr>
        <w:tc>
          <w:tcPr>
            <w:tcW w:w="709" w:type="dxa"/>
          </w:tcPr>
          <w:p>
            <w:pPr>
              <w:pStyle w:val="nzTableNAm"/>
            </w:pPr>
            <w:r>
              <w:t>9.</w:t>
            </w:r>
          </w:p>
        </w:tc>
        <w:tc>
          <w:tcPr>
            <w:tcW w:w="4111" w:type="dxa"/>
          </w:tcPr>
          <w:p>
            <w:pPr>
              <w:pStyle w:val="nzTableNAm"/>
            </w:pPr>
            <w:r>
              <w:t>Inspection of record under section 51 of the Act</w:t>
            </w:r>
          </w:p>
        </w:tc>
        <w:tc>
          <w:tcPr>
            <w:tcW w:w="1559" w:type="dxa"/>
            <w:vAlign w:val="bottom"/>
          </w:tcPr>
          <w:p>
            <w:pPr>
              <w:pStyle w:val="nzTableNAm"/>
              <w:jc w:val="right"/>
            </w:pPr>
            <w:r>
              <w:t>14.80</w:t>
            </w:r>
          </w:p>
        </w:tc>
      </w:tr>
      <w:tr>
        <w:tc>
          <w:tcPr>
            <w:tcW w:w="709" w:type="dxa"/>
          </w:tcPr>
          <w:p>
            <w:pPr>
              <w:pStyle w:val="nzTableNAm"/>
            </w:pPr>
            <w:r>
              <w:t>10.</w:t>
            </w:r>
          </w:p>
        </w:tc>
        <w:tc>
          <w:tcPr>
            <w:tcW w:w="4111" w:type="dxa"/>
          </w:tcPr>
          <w:p>
            <w:pPr>
              <w:pStyle w:val="nzTableNAm"/>
            </w:pPr>
            <w:r>
              <w:t>Inspection of Register</w:t>
            </w:r>
          </w:p>
        </w:tc>
        <w:tc>
          <w:tcPr>
            <w:tcW w:w="1559" w:type="dxa"/>
            <w:vAlign w:val="bottom"/>
          </w:tcPr>
          <w:p>
            <w:pPr>
              <w:pStyle w:val="nzTableNAm"/>
              <w:jc w:val="right"/>
            </w:pPr>
            <w:r>
              <w:t>11.80</w:t>
            </w:r>
          </w:p>
        </w:tc>
      </w:tr>
      <w:tr>
        <w:tc>
          <w:tcPr>
            <w:tcW w:w="709" w:type="dxa"/>
          </w:tcPr>
          <w:p>
            <w:pPr>
              <w:pStyle w:val="nzTableNAm"/>
            </w:pPr>
            <w:r>
              <w:t>11.</w:t>
            </w:r>
          </w:p>
        </w:tc>
        <w:tc>
          <w:tcPr>
            <w:tcW w:w="4111" w:type="dxa"/>
          </w:tcPr>
          <w:p>
            <w:pPr>
              <w:pStyle w:val="nzTableNAm"/>
            </w:pPr>
            <w:r>
              <w:t xml:space="preserve">Copy (certified or uncertified) of individual registration in Register — </w:t>
            </w:r>
          </w:p>
          <w:p>
            <w:pPr>
              <w:pStyle w:val="nzTableNAm"/>
            </w:pPr>
            <w:r>
              <w:tab/>
              <w:t>first page</w:t>
            </w:r>
          </w:p>
          <w:p>
            <w:pPr>
              <w:pStyle w:val="nzTableNAm"/>
            </w:pPr>
            <w:r>
              <w:tab/>
              <w:t>each subsequent page</w:t>
            </w:r>
          </w:p>
        </w:tc>
        <w:tc>
          <w:tcPr>
            <w:tcW w:w="1559" w:type="dxa"/>
            <w:vAlign w:val="bottom"/>
          </w:tcPr>
          <w:p>
            <w:pPr>
              <w:pStyle w:val="nzTableNAm"/>
              <w:keepNext/>
              <w:jc w:val="right"/>
            </w:pPr>
            <w:r>
              <w:t>12.20</w:t>
            </w:r>
          </w:p>
          <w:p>
            <w:pPr>
              <w:pStyle w:val="nzTableNAm"/>
              <w:keepNext/>
              <w:jc w:val="right"/>
            </w:pPr>
            <w:r>
              <w:t>2.30</w:t>
            </w:r>
          </w:p>
        </w:tc>
      </w:tr>
      <w:tr>
        <w:tc>
          <w:tcPr>
            <w:tcW w:w="709" w:type="dxa"/>
          </w:tcPr>
          <w:p>
            <w:pPr>
              <w:pStyle w:val="nzTableNAm"/>
            </w:pPr>
            <w:r>
              <w:t>12.</w:t>
            </w:r>
          </w:p>
        </w:tc>
        <w:tc>
          <w:tcPr>
            <w:tcW w:w="4111" w:type="dxa"/>
          </w:tcPr>
          <w:p>
            <w:pPr>
              <w:pStyle w:val="nzTableNAm"/>
            </w:pPr>
            <w:r>
              <w:t>Copy (certified or uncertified) of all registrations in Register</w:t>
            </w:r>
          </w:p>
        </w:tc>
        <w:tc>
          <w:tcPr>
            <w:tcW w:w="1559" w:type="dxa"/>
            <w:vAlign w:val="bottom"/>
          </w:tcPr>
          <w:p>
            <w:pPr>
              <w:pStyle w:val="nzTableNAm"/>
              <w:jc w:val="right"/>
            </w:pPr>
            <w:r>
              <w:t>115.50</w:t>
            </w:r>
          </w:p>
        </w:tc>
      </w:tr>
    </w:tbl>
    <w:p>
      <w:pPr>
        <w:pStyle w:val="BlankClose"/>
      </w:pPr>
    </w:p>
    <w:p>
      <w:pPr>
        <w:pStyle w:val="nzSubsection"/>
      </w:pPr>
      <w:r>
        <w:tab/>
        <w:t>(2)</w:t>
      </w:r>
      <w:r>
        <w:tab/>
        <w:t>In regulation 10(2) delete “$312.90” and insert:</w:t>
      </w:r>
    </w:p>
    <w:p>
      <w:pPr>
        <w:pStyle w:val="BlankOpen"/>
      </w:pPr>
    </w:p>
    <w:p>
      <w:pPr>
        <w:pStyle w:val="nzSubsection"/>
      </w:pPr>
      <w:r>
        <w:tab/>
      </w:r>
      <w:r>
        <w:tab/>
        <w:t>$329.00</w:t>
      </w:r>
    </w:p>
    <w:p>
      <w:pPr>
        <w:pStyle w:val="BlankClose"/>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5" w:name="_Toc11747532"/>
      <w:bookmarkStart w:id="26" w:name="_Toc11755118"/>
      <w:bookmarkStart w:id="27" w:name="_Toc11761132"/>
      <w:r>
        <w:rPr>
          <w:sz w:val="28"/>
        </w:rPr>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515"/>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4724</Words>
  <Characters>36098</Characters>
  <Application>Microsoft Office Word</Application>
  <DocSecurity>0</DocSecurity>
  <Lines>1244</Lines>
  <Paragraphs>669</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40153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1976 - 05-j0-00</dc:title>
  <dc:subject/>
  <dc:creator/>
  <cp:keywords/>
  <dc:description/>
  <cp:lastModifiedBy>svcMRProcess</cp:lastModifiedBy>
  <cp:revision>4</cp:revision>
  <cp:lastPrinted>2014-05-16T01:24:00Z</cp:lastPrinted>
  <dcterms:created xsi:type="dcterms:W3CDTF">2019-06-18T08:01:00Z</dcterms:created>
  <dcterms:modified xsi:type="dcterms:W3CDTF">2019-06-18T08:01:00Z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18 Jun 2019</vt:lpwstr>
  </property>
  <property fmtid="{D5CDD505-2E9C-101B-9397-08002B2CF9AE}" pid="8" name="Suffix">
    <vt:lpwstr>05-j0-00</vt:lpwstr>
  </property>
  <property fmtid="{D5CDD505-2E9C-101B-9397-08002B2CF9AE}" pid="9" name="CommencementDate">
    <vt:lpwstr>20190618</vt:lpwstr>
  </property>
</Properties>
</file>