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_Toc11763164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_Toc11763165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_Toc11763166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_Toc11763167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_Toc11763168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_Toc11763169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_Toc11763170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_Toc11763171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_Toc11763172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_Toc11763173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_Toc11763174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_Toc11763175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_Toc11763176 \h </w:instrText>
      </w:r>
      <w:r>
        <w:fldChar w:fldCharType="separate"/>
      </w:r>
      <w:r>
        <w:t>11</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_Toc11763177 \h </w:instrText>
      </w:r>
      <w:r>
        <w:fldChar w:fldCharType="separate"/>
      </w:r>
      <w:r>
        <w:t>13</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_Toc11763178 \h </w:instrText>
      </w:r>
      <w:r>
        <w:fldChar w:fldCharType="separate"/>
      </w:r>
      <w:r>
        <w:t>13</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_Toc11763179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_Toc11763180 \h </w:instrText>
      </w:r>
      <w:r>
        <w:fldChar w:fldCharType="separate"/>
      </w:r>
      <w:r>
        <w:t>14</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_Toc11763181 \h </w:instrText>
      </w:r>
      <w:r>
        <w:fldChar w:fldCharType="separate"/>
      </w:r>
      <w:r>
        <w:t>15</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_Toc11763182 \h </w:instrText>
      </w:r>
      <w:r>
        <w:fldChar w:fldCharType="separate"/>
      </w:r>
      <w:r>
        <w:t>15</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_Toc11763183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_Toc11763184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7AA.</w:t>
      </w:r>
      <w:r>
        <w:tab/>
        <w:t>Lending institution (Act s. 131A), classes of body prescribed</w:t>
      </w:r>
      <w:r>
        <w:tab/>
      </w:r>
      <w:r>
        <w:fldChar w:fldCharType="begin"/>
      </w:r>
      <w:r>
        <w:instrText xml:space="preserve"> PAGEREF _Toc11763185 \h </w:instrText>
      </w:r>
      <w:r>
        <w:fldChar w:fldCharType="separate"/>
      </w:r>
      <w:r>
        <w:t>19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Application for assistance from Home Buyers Assistance Account, form of (Act s. 131L(1))</w:t>
      </w:r>
      <w:r>
        <w:tab/>
      </w:r>
      <w:r>
        <w:fldChar w:fldCharType="begin"/>
      </w:r>
      <w:r>
        <w:instrText xml:space="preserve"> PAGEREF _Toc11763186 \h </w:instrText>
      </w:r>
      <w:r>
        <w:fldChar w:fldCharType="separate"/>
      </w:r>
      <w:r>
        <w:t>19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_Toc11763187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_Toc11763188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_Toc11763189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_Toc11763190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_Toc11763191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_Toc11763192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_Toc11763193 \h </w:instrText>
      </w:r>
      <w:r>
        <w:fldChar w:fldCharType="separate"/>
      </w:r>
      <w:r>
        <w:t>21</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_Toc11763194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_Toc11763195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_Toc11763201 \h </w:instrText>
      </w:r>
      <w:r>
        <w:fldChar w:fldCharType="separate"/>
      </w:r>
      <w:r>
        <w:t>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_Toc11763202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176316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11763165"/>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w:t>
      </w:r>
    </w:p>
    <w:p>
      <w:pPr>
        <w:pStyle w:val="Ednotesection"/>
      </w:pPr>
      <w:r>
        <w:t>[</w:t>
      </w:r>
      <w:r>
        <w:rPr>
          <w:b/>
        </w:rPr>
        <w:t>3.</w:t>
      </w:r>
      <w:r>
        <w:tab/>
        <w:t>Deleted: Gazette 30 Jun 2011 p. 2669.]</w:t>
      </w:r>
    </w:p>
    <w:p>
      <w:pPr>
        <w:pStyle w:val="Heading5"/>
      </w:pPr>
      <w:bookmarkStart w:id="5" w:name="_Toc11763166"/>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1763167"/>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1763168"/>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w:t>
      </w:r>
    </w:p>
    <w:p>
      <w:pPr>
        <w:pStyle w:val="Heading5"/>
      </w:pPr>
      <w:bookmarkStart w:id="8" w:name="_Toc11763169"/>
      <w:r>
        <w:rPr>
          <w:rStyle w:val="CharSectno"/>
        </w:rPr>
        <w:t>4AA</w:t>
      </w:r>
      <w:r>
        <w:t>.</w:t>
      </w:r>
      <w:r>
        <w:tab/>
        <w:t>CPD activities</w:t>
      </w:r>
      <w:bookmarkEnd w:id="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9" w:name="_Toc11763170"/>
      <w:r>
        <w:rPr>
          <w:rStyle w:val="CharSectno"/>
        </w:rPr>
        <w:t>4AB</w:t>
      </w:r>
      <w:r>
        <w:t>.</w:t>
      </w:r>
      <w:r>
        <w:tab/>
        <w:t>Prescribed educational requirement (Act s. 31(3)(b))</w:t>
      </w:r>
      <w:bookmarkEnd w:id="9"/>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Gazette 17 Apr 2009 p. 1322</w:t>
      </w:r>
      <w:r>
        <w:noBreakHyphen/>
        <w:t>3.]</w:t>
      </w:r>
    </w:p>
    <w:p>
      <w:pPr>
        <w:pStyle w:val="Heading5"/>
        <w:spacing w:before="260"/>
      </w:pPr>
      <w:bookmarkStart w:id="10" w:name="_Toc11763171"/>
      <w:r>
        <w:rPr>
          <w:rStyle w:val="CharSectno"/>
        </w:rPr>
        <w:t>4AC</w:t>
      </w:r>
      <w:r>
        <w:t>.</w:t>
      </w:r>
      <w:r>
        <w:tab/>
        <w:t>Prescribed educational requirement (Act s. 48(5)(b))</w:t>
      </w:r>
      <w:bookmarkEnd w:id="10"/>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Gazette 17 Apr 2009 p. 1323.]</w:t>
      </w:r>
    </w:p>
    <w:p>
      <w:pPr>
        <w:pStyle w:val="Heading5"/>
        <w:spacing w:before="260"/>
      </w:pPr>
      <w:bookmarkStart w:id="11" w:name="_Toc11763172"/>
      <w:r>
        <w:rPr>
          <w:rStyle w:val="CharSectno"/>
        </w:rPr>
        <w:t>4B</w:t>
      </w:r>
      <w:r>
        <w:t>.</w:t>
      </w:r>
      <w:r>
        <w:tab/>
        <w:t>Prescribed periods (Act s. 48(1), (2) and 49(2))</w:t>
      </w:r>
      <w:bookmarkEnd w:id="1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2" w:name="_Toc11763173"/>
      <w:r>
        <w:rPr>
          <w:rStyle w:val="CharSectno"/>
        </w:rPr>
        <w:t>6</w:t>
      </w:r>
      <w:r>
        <w:t>.</w:t>
      </w:r>
      <w:r>
        <w:tab/>
        <w:t>Prescribed examinations (Act Sch. 1 cl. 1(a))</w:t>
      </w:r>
      <w:bookmarkEnd w:id="1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3" w:name="_Toc11763174"/>
      <w:r>
        <w:rPr>
          <w:rStyle w:val="CharSectno"/>
        </w:rPr>
        <w:t>6A</w:t>
      </w:r>
      <w:r>
        <w:t>.</w:t>
      </w:r>
      <w:r>
        <w:tab/>
        <w:t>Prescribed qualifications for sales representatives (Act s. 47(2))</w:t>
      </w:r>
      <w:bookmarkEnd w:id="1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4" w:name="_Toc11763175"/>
      <w:r>
        <w:rPr>
          <w:rStyle w:val="CharSectno"/>
        </w:rPr>
        <w:t>6B</w:t>
      </w:r>
      <w:r>
        <w:t>.</w:t>
      </w:r>
      <w:r>
        <w:tab/>
        <w:t>Certificate of registration, grant of (Act s. 47)</w:t>
      </w:r>
      <w:bookmarkEnd w:id="14"/>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15" w:name="_Toc11763176"/>
      <w:r>
        <w:rPr>
          <w:rStyle w:val="CharSectno"/>
        </w:rPr>
        <w:t>6BA</w:t>
      </w:r>
      <w:r>
        <w:rPr>
          <w:snapToGrid w:val="0"/>
        </w:rPr>
        <w:t>.</w:t>
      </w:r>
      <w:r>
        <w:rPr>
          <w:snapToGrid w:val="0"/>
        </w:rPr>
        <w:tab/>
        <w:t>Appointment to act as agent, content of</w:t>
      </w:r>
      <w:bookmarkEnd w:id="1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6" w:name="_Toc11763177"/>
      <w:r>
        <w:rPr>
          <w:rStyle w:val="CharSectno"/>
        </w:rPr>
        <w:t>6BB</w:t>
      </w:r>
      <w:r>
        <w:t>.</w:t>
      </w:r>
      <w:r>
        <w:tab/>
        <w:t>Prescribed transaction</w:t>
      </w:r>
      <w:bookmarkEnd w:id="16"/>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7" w:name="_Toc11763178"/>
      <w:r>
        <w:rPr>
          <w:rStyle w:val="CharSectno"/>
        </w:rPr>
        <w:t>6C</w:t>
      </w:r>
      <w:r>
        <w:t>.</w:t>
      </w:r>
      <w:r>
        <w:tab/>
        <w:t>Authorised financial institution (Act s. 67), classes of body prescribed</w:t>
      </w:r>
      <w:bookmarkEnd w:id="1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8" w:name="_Toc11763179"/>
      <w:r>
        <w:rPr>
          <w:rStyle w:val="CharSectno"/>
        </w:rPr>
        <w:t>6D</w:t>
      </w:r>
      <w:r>
        <w:t>.</w:t>
      </w:r>
      <w:r>
        <w:tab/>
        <w:t>Trust accounts, designation of (Act s. 68(1))</w:t>
      </w:r>
      <w:bookmarkEnd w:id="18"/>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19" w:name="_Toc11763180"/>
      <w:r>
        <w:rPr>
          <w:rStyle w:val="CharSectno"/>
        </w:rPr>
        <w:t>6E</w:t>
      </w:r>
      <w:r>
        <w:t>.</w:t>
      </w:r>
      <w:r>
        <w:tab/>
        <w:t>Separate trust accounts, requests for, requirements prescribed (Act s. 68A(4))</w:t>
      </w:r>
      <w:bookmarkEnd w:id="1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0" w:name="_Toc11763181"/>
      <w:r>
        <w:rPr>
          <w:rStyle w:val="CharSectno"/>
        </w:rPr>
        <w:t>6F</w:t>
      </w:r>
      <w:r>
        <w:t>.</w:t>
      </w:r>
      <w:r>
        <w:tab/>
        <w:t>Trust accounts, interest on (Act s. 68B(1))</w:t>
      </w:r>
      <w:bookmarkEnd w:id="2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1" w:name="_Toc11763182"/>
      <w:r>
        <w:rPr>
          <w:rStyle w:val="CharSectno"/>
        </w:rPr>
        <w:t>6G</w:t>
      </w:r>
      <w:r>
        <w:t>.</w:t>
      </w:r>
      <w:r>
        <w:tab/>
        <w:t>Receipts by agents, information in (Act s. 69(1)(a))</w:t>
      </w:r>
      <w:bookmarkEnd w:id="2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2" w:name="_Toc11763183"/>
      <w:r>
        <w:rPr>
          <w:rStyle w:val="CharSectno"/>
        </w:rPr>
        <w:t>6H</w:t>
      </w:r>
      <w:r>
        <w:rPr>
          <w:snapToGrid w:val="0"/>
        </w:rPr>
        <w:t>.</w:t>
      </w:r>
      <w:r>
        <w:rPr>
          <w:snapToGrid w:val="0"/>
        </w:rPr>
        <w:tab/>
        <w:t>Record keeping requirements</w:t>
      </w:r>
      <w:bookmarkEnd w:id="2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3" w:name="_Toc11763184"/>
      <w:r>
        <w:rPr>
          <w:rStyle w:val="CharSectno"/>
        </w:rPr>
        <w:t>7</w:t>
      </w:r>
      <w:r>
        <w:rPr>
          <w:snapToGrid w:val="0"/>
        </w:rPr>
        <w:t>.</w:t>
      </w:r>
      <w:r>
        <w:rPr>
          <w:snapToGrid w:val="0"/>
        </w:rPr>
        <w:tab/>
        <w:t>Registers (Act s. 133(2))</w:t>
      </w:r>
      <w:bookmarkEnd w:id="23"/>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4" w:name="_Toc11763185"/>
      <w:r>
        <w:rPr>
          <w:rStyle w:val="CharSectno"/>
        </w:rPr>
        <w:t>7AA</w:t>
      </w:r>
      <w:r>
        <w:t>.</w:t>
      </w:r>
      <w:r>
        <w:tab/>
        <w:t>Lending institution (Act s. 131A), classes of body prescribed</w:t>
      </w:r>
      <w:bookmarkEnd w:id="2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Heading5"/>
        <w:rPr>
          <w:snapToGrid w:val="0"/>
        </w:rPr>
      </w:pPr>
      <w:bookmarkStart w:id="25" w:name="_Toc11763186"/>
      <w:r>
        <w:rPr>
          <w:rStyle w:val="CharSectno"/>
        </w:rPr>
        <w:t>7A</w:t>
      </w:r>
      <w:r>
        <w:rPr>
          <w:snapToGrid w:val="0"/>
        </w:rPr>
        <w:t>.</w:t>
      </w:r>
      <w:r>
        <w:rPr>
          <w:snapToGrid w:val="0"/>
        </w:rPr>
        <w:tab/>
        <w:t>Application for assistance from Home Buyers Assistance Account, form of (Act s. 131L(1))</w:t>
      </w:r>
      <w:bookmarkEnd w:id="25"/>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Gazette 2 Jul 1982 p. 2355.]</w:t>
      </w:r>
    </w:p>
    <w:p>
      <w:pPr>
        <w:pStyle w:val="Heading5"/>
        <w:rPr>
          <w:snapToGrid w:val="0"/>
        </w:rPr>
      </w:pPr>
      <w:bookmarkStart w:id="26" w:name="_Toc11763187"/>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1763188"/>
      <w:r>
        <w:rPr>
          <w:rStyle w:val="CharSectno"/>
        </w:rPr>
        <w:t>8</w:t>
      </w:r>
      <w:r>
        <w:rPr>
          <w:snapToGrid w:val="0"/>
        </w:rPr>
        <w:t>.</w:t>
      </w:r>
      <w:r>
        <w:rPr>
          <w:snapToGrid w:val="0"/>
        </w:rPr>
        <w:tab/>
        <w:t>Changes in particulars, licensees to notify Commissioner of</w:t>
      </w:r>
      <w:bookmarkEnd w:id="27"/>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28" w:name="_Toc11763189"/>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1763190"/>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117631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1763192"/>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1763193"/>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1763194"/>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1763195"/>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11748535"/>
      <w:bookmarkStart w:id="36" w:name="_Toc11759506"/>
      <w:bookmarkStart w:id="37" w:name="_Toc11763196"/>
      <w:r>
        <w:rPr>
          <w:rStyle w:val="CharSchNo"/>
        </w:rPr>
        <w:t>Schedule 1</w:t>
      </w:r>
      <w:r>
        <w:t> — </w:t>
      </w:r>
      <w:r>
        <w:rPr>
          <w:rStyle w:val="CharSchText"/>
        </w:rPr>
        <w:t>Fees</w:t>
      </w:r>
      <w:bookmarkEnd w:id="35"/>
      <w:bookmarkEnd w:id="36"/>
      <w:bookmarkEnd w:id="37"/>
    </w:p>
    <w:p>
      <w:pPr>
        <w:pStyle w:val="yShoulderClause"/>
      </w:pPr>
      <w:r>
        <w:t>[r. 4 and 4A]</w:t>
      </w:r>
    </w:p>
    <w:p>
      <w:pPr>
        <w:pStyle w:val="yFootnoteheading"/>
        <w:spacing w:before="180" w:after="60"/>
      </w:pPr>
      <w:r>
        <w:tab/>
        <w:t>[Heading inserted: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933"/>
        <w:gridCol w:w="1187"/>
      </w:tblGrid>
      <w:tr>
        <w:trPr>
          <w:tblHeader/>
        </w:trPr>
        <w:tc>
          <w:tcPr>
            <w:tcW w:w="960" w:type="dxa"/>
          </w:tcPr>
          <w:p>
            <w:pPr>
              <w:pStyle w:val="yTableNAm"/>
              <w:rPr>
                <w:b/>
                <w:bCs/>
              </w:rPr>
            </w:pPr>
            <w:r>
              <w:rPr>
                <w:b/>
                <w:bCs/>
              </w:rPr>
              <w:t>Item</w:t>
            </w:r>
          </w:p>
        </w:tc>
        <w:tc>
          <w:tcPr>
            <w:tcW w:w="4933" w:type="dxa"/>
          </w:tcPr>
          <w:p>
            <w:pPr>
              <w:pStyle w:val="yTableNAm"/>
              <w:tabs>
                <w:tab w:val="left" w:leader="dot" w:pos="2643"/>
              </w:tabs>
              <w:rPr>
                <w:b/>
                <w:bCs/>
              </w:rPr>
            </w:pPr>
            <w:r>
              <w:rPr>
                <w:b/>
                <w:bCs/>
              </w:rPr>
              <w:t>Type of fee</w:t>
            </w:r>
          </w:p>
        </w:tc>
        <w:tc>
          <w:tcPr>
            <w:tcW w:w="1187" w:type="dxa"/>
          </w:tcPr>
          <w:p>
            <w:pPr>
              <w:pStyle w:val="yTableNAm"/>
              <w:tabs>
                <w:tab w:val="clear" w:pos="567"/>
              </w:tabs>
              <w:rPr>
                <w:b/>
                <w:bCs/>
              </w:rPr>
            </w:pPr>
            <w:r>
              <w:rPr>
                <w:b/>
                <w:bCs/>
              </w:rPr>
              <w:t>Fee</w:t>
            </w:r>
          </w:p>
        </w:tc>
      </w:tr>
      <w:tr>
        <w:tc>
          <w:tcPr>
            <w:tcW w:w="960" w:type="dxa"/>
          </w:tcPr>
          <w:p>
            <w:pPr>
              <w:pStyle w:val="yTableNAm"/>
            </w:pPr>
            <w:r>
              <w:t>1.</w:t>
            </w:r>
          </w:p>
        </w:tc>
        <w:tc>
          <w:tcPr>
            <w:tcW w:w="4933" w:type="dxa"/>
          </w:tcPr>
          <w:p>
            <w:pPr>
              <w:pStyle w:val="yTableNAm"/>
              <w:tabs>
                <w:tab w:val="left" w:leader="dot" w:pos="4866"/>
              </w:tabs>
            </w:pPr>
            <w:r>
              <w:t xml:space="preserve">Application for licence </w:t>
            </w:r>
            <w:r>
              <w:tab/>
            </w:r>
          </w:p>
        </w:tc>
        <w:tc>
          <w:tcPr>
            <w:tcW w:w="1187" w:type="dxa"/>
          </w:tcPr>
          <w:p>
            <w:pPr>
              <w:pStyle w:val="yTableNAm"/>
              <w:tabs>
                <w:tab w:val="left" w:pos="1103"/>
              </w:tabs>
            </w:pPr>
            <w:r>
              <w:rPr>
                <w:szCs w:val="22"/>
              </w:rPr>
              <w:t>$77.25</w:t>
            </w:r>
          </w:p>
        </w:tc>
      </w:tr>
      <w:tr>
        <w:tc>
          <w:tcPr>
            <w:tcW w:w="960" w:type="dxa"/>
          </w:tcPr>
          <w:p>
            <w:pPr>
              <w:pStyle w:val="yTableNAm"/>
            </w:pPr>
            <w:r>
              <w:t>2.</w:t>
            </w:r>
          </w:p>
        </w:tc>
        <w:tc>
          <w:tcPr>
            <w:tcW w:w="4933" w:type="dxa"/>
          </w:tcPr>
          <w:p>
            <w:pPr>
              <w:pStyle w:val="yTableNAm"/>
              <w:tabs>
                <w:tab w:val="left" w:leader="dot" w:pos="4866"/>
              </w:tabs>
            </w:pPr>
            <w:r>
              <w:t xml:space="preserve">Grant of licence </w:t>
            </w:r>
            <w:r>
              <w:tab/>
            </w:r>
          </w:p>
        </w:tc>
        <w:tc>
          <w:tcPr>
            <w:tcW w:w="1187" w:type="dxa"/>
          </w:tcPr>
          <w:p>
            <w:pPr>
              <w:pStyle w:val="yTableNAm"/>
              <w:tabs>
                <w:tab w:val="left" w:pos="1103"/>
              </w:tabs>
            </w:pPr>
            <w:r>
              <w:rPr>
                <w:szCs w:val="22"/>
              </w:rPr>
              <w:t>$818.75</w:t>
            </w:r>
          </w:p>
        </w:tc>
      </w:tr>
      <w:tr>
        <w:tc>
          <w:tcPr>
            <w:tcW w:w="960" w:type="dxa"/>
          </w:tcPr>
          <w:p>
            <w:pPr>
              <w:pStyle w:val="yTableNAm"/>
            </w:pPr>
            <w:r>
              <w:t>3.</w:t>
            </w:r>
          </w:p>
        </w:tc>
        <w:tc>
          <w:tcPr>
            <w:tcW w:w="4933" w:type="dxa"/>
          </w:tcPr>
          <w:p>
            <w:pPr>
              <w:pStyle w:val="yTableNAm"/>
              <w:tabs>
                <w:tab w:val="left" w:leader="dot" w:pos="4866"/>
              </w:tabs>
            </w:pPr>
            <w:r>
              <w:t xml:space="preserve">Grant of licence to firm </w:t>
            </w:r>
            <w:r>
              <w:tab/>
            </w:r>
          </w:p>
        </w:tc>
        <w:tc>
          <w:tcPr>
            <w:tcW w:w="1187" w:type="dxa"/>
          </w:tcPr>
          <w:p>
            <w:pPr>
              <w:pStyle w:val="yTableNAm"/>
              <w:tabs>
                <w:tab w:val="left" w:pos="1103"/>
              </w:tabs>
            </w:pPr>
            <w:r>
              <w:rPr>
                <w:szCs w:val="22"/>
              </w:rPr>
              <w:t>$1 071.45</w:t>
            </w:r>
          </w:p>
        </w:tc>
      </w:tr>
      <w:tr>
        <w:tc>
          <w:tcPr>
            <w:tcW w:w="960" w:type="dxa"/>
          </w:tcPr>
          <w:p>
            <w:pPr>
              <w:pStyle w:val="yTableNAm"/>
            </w:pPr>
            <w:r>
              <w:t>4.</w:t>
            </w:r>
          </w:p>
        </w:tc>
        <w:tc>
          <w:tcPr>
            <w:tcW w:w="4933" w:type="dxa"/>
          </w:tcPr>
          <w:p>
            <w:pPr>
              <w:pStyle w:val="yTableNAm"/>
              <w:tabs>
                <w:tab w:val="left" w:leader="dot" w:pos="4866"/>
              </w:tabs>
            </w:pPr>
            <w:r>
              <w:t xml:space="preserve">Grant of licence to body corporate </w:t>
            </w:r>
            <w:r>
              <w:tab/>
            </w:r>
          </w:p>
        </w:tc>
        <w:tc>
          <w:tcPr>
            <w:tcW w:w="1187" w:type="dxa"/>
          </w:tcPr>
          <w:p>
            <w:pPr>
              <w:pStyle w:val="yTableNAm"/>
              <w:tabs>
                <w:tab w:val="left" w:pos="1103"/>
              </w:tabs>
            </w:pPr>
            <w:r>
              <w:rPr>
                <w:szCs w:val="22"/>
              </w:rPr>
              <w:t>$1 071.45</w:t>
            </w:r>
          </w:p>
        </w:tc>
      </w:tr>
      <w:tr>
        <w:tc>
          <w:tcPr>
            <w:tcW w:w="960" w:type="dxa"/>
          </w:tcPr>
          <w:p>
            <w:pPr>
              <w:pStyle w:val="yTableNAm"/>
            </w:pPr>
            <w:r>
              <w:t>5.</w:t>
            </w:r>
          </w:p>
        </w:tc>
        <w:tc>
          <w:tcPr>
            <w:tcW w:w="4933" w:type="dxa"/>
          </w:tcPr>
          <w:p>
            <w:pPr>
              <w:pStyle w:val="yTableNAm"/>
              <w:tabs>
                <w:tab w:val="left" w:leader="dot" w:pos="4866"/>
              </w:tabs>
            </w:pPr>
            <w:r>
              <w:t xml:space="preserve">Renewal of triennial certificate </w:t>
            </w:r>
            <w:r>
              <w:tab/>
            </w:r>
          </w:p>
        </w:tc>
        <w:tc>
          <w:tcPr>
            <w:tcW w:w="1187" w:type="dxa"/>
          </w:tcPr>
          <w:p>
            <w:pPr>
              <w:pStyle w:val="yTableNAm"/>
              <w:tabs>
                <w:tab w:val="left" w:pos="1103"/>
              </w:tabs>
            </w:pPr>
            <w:r>
              <w:rPr>
                <w:szCs w:val="22"/>
              </w:rPr>
              <w:t>$676.85</w:t>
            </w:r>
          </w:p>
        </w:tc>
      </w:tr>
      <w:tr>
        <w:tc>
          <w:tcPr>
            <w:tcW w:w="960" w:type="dxa"/>
          </w:tcPr>
          <w:p>
            <w:pPr>
              <w:pStyle w:val="yTableNAm"/>
            </w:pPr>
            <w:r>
              <w:t>6.</w:t>
            </w:r>
          </w:p>
        </w:tc>
        <w:tc>
          <w:tcPr>
            <w:tcW w:w="4933" w:type="dxa"/>
          </w:tcPr>
          <w:p>
            <w:pPr>
              <w:pStyle w:val="yTableNAm"/>
              <w:tabs>
                <w:tab w:val="left" w:leader="dot" w:pos="4866"/>
              </w:tabs>
            </w:pPr>
            <w:r>
              <w:t xml:space="preserve">Grant of certificate of registration </w:t>
            </w:r>
            <w:r>
              <w:tab/>
            </w:r>
          </w:p>
        </w:tc>
        <w:tc>
          <w:tcPr>
            <w:tcW w:w="1187" w:type="dxa"/>
          </w:tcPr>
          <w:p>
            <w:pPr>
              <w:pStyle w:val="yTableNAm"/>
              <w:tabs>
                <w:tab w:val="left" w:pos="1103"/>
              </w:tabs>
            </w:pPr>
            <w:r>
              <w:rPr>
                <w:szCs w:val="22"/>
              </w:rPr>
              <w:t>$207.90</w:t>
            </w:r>
          </w:p>
        </w:tc>
      </w:tr>
      <w:tr>
        <w:tc>
          <w:tcPr>
            <w:tcW w:w="960" w:type="dxa"/>
          </w:tcPr>
          <w:p>
            <w:pPr>
              <w:pStyle w:val="yTableNAm"/>
            </w:pPr>
            <w:r>
              <w:t>7.</w:t>
            </w:r>
          </w:p>
        </w:tc>
        <w:tc>
          <w:tcPr>
            <w:tcW w:w="4933" w:type="dxa"/>
          </w:tcPr>
          <w:p>
            <w:pPr>
              <w:pStyle w:val="yTableNAm"/>
              <w:tabs>
                <w:tab w:val="left" w:leader="dot" w:pos="4866"/>
              </w:tabs>
            </w:pPr>
            <w:r>
              <w:t xml:space="preserve">Renewal of certificate of registration </w:t>
            </w:r>
            <w:r>
              <w:tab/>
            </w:r>
          </w:p>
        </w:tc>
        <w:tc>
          <w:tcPr>
            <w:tcW w:w="1187" w:type="dxa"/>
          </w:tcPr>
          <w:p>
            <w:pPr>
              <w:pStyle w:val="yTableNAm"/>
              <w:tabs>
                <w:tab w:val="left" w:pos="1103"/>
              </w:tabs>
            </w:pPr>
            <w:r>
              <w:rPr>
                <w:szCs w:val="22"/>
              </w:rPr>
              <w:t>$171.20</w:t>
            </w:r>
          </w:p>
        </w:tc>
      </w:tr>
      <w:tr>
        <w:tc>
          <w:tcPr>
            <w:tcW w:w="960" w:type="dxa"/>
          </w:tcPr>
          <w:p>
            <w:pPr>
              <w:pStyle w:val="yTableNAm"/>
            </w:pPr>
            <w:r>
              <w:t>8.</w:t>
            </w:r>
          </w:p>
        </w:tc>
        <w:tc>
          <w:tcPr>
            <w:tcW w:w="4933" w:type="dxa"/>
          </w:tcPr>
          <w:p>
            <w:pPr>
              <w:pStyle w:val="yTableNAm"/>
              <w:tabs>
                <w:tab w:val="left" w:leader="dot" w:pos="4866"/>
              </w:tabs>
            </w:pPr>
            <w:r>
              <w:t xml:space="preserve">Inspection of a register </w:t>
            </w:r>
            <w:r>
              <w:tab/>
            </w:r>
          </w:p>
        </w:tc>
        <w:tc>
          <w:tcPr>
            <w:tcW w:w="1187" w:type="dxa"/>
          </w:tcPr>
          <w:p>
            <w:pPr>
              <w:pStyle w:val="yTableNAm"/>
              <w:tabs>
                <w:tab w:val="left" w:pos="1103"/>
              </w:tabs>
            </w:pPr>
            <w:r>
              <w:rPr>
                <w:szCs w:val="22"/>
              </w:rPr>
              <w:t>$11.25</w:t>
            </w:r>
          </w:p>
        </w:tc>
      </w:tr>
      <w:tr>
        <w:tc>
          <w:tcPr>
            <w:tcW w:w="960" w:type="dxa"/>
          </w:tcPr>
          <w:p>
            <w:pPr>
              <w:pStyle w:val="yTableNAm"/>
            </w:pPr>
            <w:r>
              <w:t>9A.</w:t>
            </w:r>
          </w:p>
        </w:tc>
        <w:tc>
          <w:tcPr>
            <w:tcW w:w="4933" w:type="dxa"/>
          </w:tcPr>
          <w:p>
            <w:pPr>
              <w:pStyle w:val="yTableNAm"/>
              <w:tabs>
                <w:tab w:val="left" w:leader="dot" w:pos="4866"/>
              </w:tabs>
            </w:pPr>
            <w:r>
              <w:t xml:space="preserve">Issue of duplicate licence, duplicate certificate of registration or duplicate triennial certificate </w:t>
            </w:r>
            <w:r>
              <w:tab/>
            </w:r>
          </w:p>
        </w:tc>
        <w:tc>
          <w:tcPr>
            <w:tcW w:w="1187" w:type="dxa"/>
          </w:tcPr>
          <w:p>
            <w:pPr>
              <w:pStyle w:val="yTableNAm"/>
              <w:tabs>
                <w:tab w:val="left" w:pos="1103"/>
              </w:tabs>
              <w:rPr>
                <w:szCs w:val="22"/>
              </w:rPr>
            </w:pPr>
            <w:r>
              <w:br/>
            </w:r>
            <w:r>
              <w:rPr>
                <w:szCs w:val="22"/>
              </w:rPr>
              <w:t>$28.00</w:t>
            </w:r>
          </w:p>
        </w:tc>
      </w:tr>
      <w:tr>
        <w:tc>
          <w:tcPr>
            <w:tcW w:w="960" w:type="dxa"/>
          </w:tcPr>
          <w:p>
            <w:pPr>
              <w:pStyle w:val="yTableNAm"/>
            </w:pPr>
            <w:r>
              <w:t>9.</w:t>
            </w:r>
          </w:p>
        </w:tc>
        <w:tc>
          <w:tcPr>
            <w:tcW w:w="4933"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187" w:type="dxa"/>
          </w:tcPr>
          <w:p>
            <w:pPr>
              <w:pStyle w:val="yTableNAm"/>
              <w:tabs>
                <w:tab w:val="left" w:pos="1103"/>
              </w:tabs>
            </w:pPr>
            <w:r>
              <w:br/>
            </w:r>
          </w:p>
          <w:p>
            <w:pPr>
              <w:pStyle w:val="yTableNAm"/>
              <w:tabs>
                <w:tab w:val="left" w:pos="1103"/>
              </w:tabs>
            </w:pPr>
            <w:r>
              <w:rPr>
                <w:szCs w:val="22"/>
              </w:rPr>
              <w:t>$11.60</w:t>
            </w:r>
          </w:p>
          <w:p>
            <w:pPr>
              <w:pStyle w:val="yTableNAm"/>
              <w:tabs>
                <w:tab w:val="left" w:pos="1103"/>
              </w:tabs>
            </w:pPr>
            <w:r>
              <w:rPr>
                <w:szCs w:val="22"/>
              </w:rPr>
              <w:t>$2.20</w:t>
            </w:r>
          </w:p>
        </w:tc>
      </w:tr>
      <w:tr>
        <w:tc>
          <w:tcPr>
            <w:tcW w:w="960" w:type="dxa"/>
          </w:tcPr>
          <w:p>
            <w:pPr>
              <w:pStyle w:val="yTableNAm"/>
            </w:pPr>
            <w:r>
              <w:t>10.</w:t>
            </w:r>
          </w:p>
        </w:tc>
        <w:tc>
          <w:tcPr>
            <w:tcW w:w="4933" w:type="dxa"/>
          </w:tcPr>
          <w:p>
            <w:pPr>
              <w:pStyle w:val="yTableNAm"/>
              <w:tabs>
                <w:tab w:val="left" w:leader="dot" w:pos="4866"/>
              </w:tabs>
            </w:pPr>
            <w:r>
              <w:t xml:space="preserve">Copy (certified or uncertified) or an extract of all registrations in a register </w:t>
            </w:r>
            <w:r>
              <w:tab/>
            </w:r>
          </w:p>
        </w:tc>
        <w:tc>
          <w:tcPr>
            <w:tcW w:w="1187" w:type="dxa"/>
          </w:tcPr>
          <w:p>
            <w:pPr>
              <w:pStyle w:val="yTableNAm"/>
              <w:tabs>
                <w:tab w:val="left" w:pos="1103"/>
              </w:tabs>
            </w:pPr>
            <w:r>
              <w:br/>
            </w:r>
            <w:r>
              <w:rPr>
                <w:szCs w:val="22"/>
              </w:rPr>
              <w:t>$115.50</w:t>
            </w:r>
          </w:p>
        </w:tc>
      </w:tr>
      <w:tr>
        <w:tc>
          <w:tcPr>
            <w:tcW w:w="960" w:type="dxa"/>
          </w:tcPr>
          <w:p>
            <w:pPr>
              <w:pStyle w:val="yTableNAm"/>
              <w:keepNext/>
            </w:pPr>
            <w:r>
              <w:t>11.</w:t>
            </w:r>
          </w:p>
        </w:tc>
        <w:tc>
          <w:tcPr>
            <w:tcW w:w="4933" w:type="dxa"/>
          </w:tcPr>
          <w:p>
            <w:pPr>
              <w:pStyle w:val="yTableNAm"/>
              <w:tabs>
                <w:tab w:val="left" w:leader="dot" w:pos="4866"/>
              </w:tabs>
            </w:pPr>
            <w:r>
              <w:t xml:space="preserve">For the purposes of section 30(2a) (the holding fee) </w:t>
            </w:r>
            <w:r>
              <w:tab/>
            </w:r>
            <w:r>
              <w:tab/>
            </w:r>
          </w:p>
        </w:tc>
        <w:tc>
          <w:tcPr>
            <w:tcW w:w="1187" w:type="dxa"/>
          </w:tcPr>
          <w:p>
            <w:pPr>
              <w:pStyle w:val="yTableNAm"/>
              <w:tabs>
                <w:tab w:val="left" w:pos="1103"/>
              </w:tabs>
            </w:pPr>
            <w:r>
              <w:rPr>
                <w:szCs w:val="22"/>
              </w:rPr>
              <w:t>$245.75</w:t>
            </w:r>
          </w:p>
        </w:tc>
      </w:tr>
    </w:tbl>
    <w:p>
      <w:pPr>
        <w:pStyle w:val="yFootnotesection"/>
      </w:pPr>
      <w:r>
        <w:tab/>
        <w:t>[Schedule 1 inserted: Gazette 23 Jun 2009 p. 2454; amended: Gazette 25 Jun 2010 p. 2851</w:t>
      </w:r>
      <w:r>
        <w:noBreakHyphen/>
        <w:t>2; 22 Jun 2011 p. 2368; 15 Jun 2012 p. 2600; 27 Jun 2013 p. 2691-2; 17 Jun 2014 p. 1978; 18 Nov 2014 p. 4325; 23 Jun 2015 p. 2185; 3 Jun 2016 p. 1770; 23 Jun 2017 p. 3250; 25 Jun 2018 p. 2351.]</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9" w:name="_Toc11748536"/>
      <w:bookmarkStart w:id="40" w:name="_Toc11759507"/>
      <w:bookmarkStart w:id="41" w:name="_Toc11763197"/>
      <w:r>
        <w:rPr>
          <w:rStyle w:val="CharSchNo"/>
        </w:rPr>
        <w:t>Schedule 1A</w:t>
      </w:r>
      <w:r>
        <w:rPr>
          <w:rStyle w:val="CharSDivNo"/>
        </w:rPr>
        <w:t> </w:t>
      </w:r>
      <w:r>
        <w:t>—</w:t>
      </w:r>
      <w:r>
        <w:rPr>
          <w:rStyle w:val="CharSDivText"/>
        </w:rPr>
        <w:t> </w:t>
      </w:r>
      <w:r>
        <w:rPr>
          <w:rStyle w:val="CharSchText"/>
        </w:rPr>
        <w:t>Professional development subjects</w:t>
      </w:r>
      <w:bookmarkEnd w:id="39"/>
      <w:bookmarkEnd w:id="40"/>
      <w:bookmarkEnd w:id="41"/>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2" w:name="_Toc11748537"/>
      <w:bookmarkStart w:id="43" w:name="_Toc11759508"/>
      <w:bookmarkStart w:id="44" w:name="_Toc11763198"/>
      <w:r>
        <w:rPr>
          <w:rStyle w:val="CharSchNo"/>
        </w:rPr>
        <w:t>Schedule 2</w:t>
      </w:r>
      <w:r>
        <w:rPr>
          <w:rStyle w:val="CharSDivNo"/>
        </w:rPr>
        <w:t> </w:t>
      </w:r>
      <w:r>
        <w:t>—</w:t>
      </w:r>
      <w:r>
        <w:rPr>
          <w:rStyle w:val="CharSDivText"/>
        </w:rPr>
        <w:t> </w:t>
      </w:r>
      <w:r>
        <w:rPr>
          <w:rStyle w:val="CharSchText"/>
        </w:rPr>
        <w:t>Forms</w:t>
      </w:r>
      <w:bookmarkEnd w:id="42"/>
      <w:bookmarkEnd w:id="43"/>
      <w:bookmarkEnd w:id="4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45" w:name="_Toc11748538"/>
      <w:bookmarkStart w:id="46" w:name="_Toc11759509"/>
      <w:bookmarkStart w:id="47" w:name="_Toc11763199"/>
      <w:r>
        <w:rPr>
          <w:rStyle w:val="CharSchNo"/>
        </w:rPr>
        <w:t>Schedule 3</w:t>
      </w:r>
      <w:r>
        <w:rPr>
          <w:rStyle w:val="CharSDivNo"/>
        </w:rPr>
        <w:t> </w:t>
      </w:r>
      <w:r>
        <w:t>—</w:t>
      </w:r>
      <w:r>
        <w:rPr>
          <w:rStyle w:val="CharSDivText"/>
        </w:rPr>
        <w:t> </w:t>
      </w:r>
      <w:r>
        <w:rPr>
          <w:rStyle w:val="CharSchText"/>
        </w:rPr>
        <w:t>Prescribed offences and modified penalties</w:t>
      </w:r>
      <w:bookmarkEnd w:id="45"/>
      <w:bookmarkEnd w:id="46"/>
      <w:bookmarkEnd w:id="47"/>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48" w:name="_Toc11748539"/>
      <w:bookmarkStart w:id="49" w:name="_Toc11759510"/>
      <w:bookmarkStart w:id="50" w:name="_Toc11763200"/>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 w:name="_Toc11763201"/>
      <w:r>
        <w:t>Compilation table</w:t>
      </w:r>
      <w:bookmarkEnd w:id="51"/>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4"/>
        <w:gridCol w:w="29"/>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55" w:type="dxa"/>
            <w:gridSpan w:val="3"/>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55" w:type="dxa"/>
            <w:gridSpan w:val="3"/>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55" w:type="dxa"/>
            <w:gridSpan w:val="3"/>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55" w:type="dxa"/>
            <w:gridSpan w:val="3"/>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55" w:type="dxa"/>
            <w:gridSpan w:val="3"/>
          </w:tcPr>
          <w:p>
            <w:pPr>
              <w:pStyle w:val="nTable"/>
              <w:spacing w:after="40"/>
            </w:pPr>
            <w:r>
              <w:t>2 Jul 1982 </w:t>
            </w:r>
            <w:r>
              <w:rPr>
                <w:vertAlign w:val="superscript"/>
              </w:rPr>
              <w:t>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55" w:type="dxa"/>
            <w:gridSpan w:val="3"/>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55" w:type="dxa"/>
            <w:gridSpan w:val="3"/>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55" w:type="dxa"/>
            <w:gridSpan w:val="3"/>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55" w:type="dxa"/>
            <w:gridSpan w:val="3"/>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55" w:type="dxa"/>
            <w:gridSpan w:val="3"/>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55" w:type="dxa"/>
            <w:gridSpan w:val="3"/>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55" w:type="dxa"/>
            <w:gridSpan w:val="3"/>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55" w:type="dxa"/>
            <w:gridSpan w:val="3"/>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55" w:type="dxa"/>
            <w:gridSpan w:val="3"/>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55" w:type="dxa"/>
            <w:gridSpan w:val="3"/>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55" w:type="dxa"/>
            <w:gridSpan w:val="3"/>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55" w:type="dxa"/>
            <w:gridSpan w:val="3"/>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55" w:type="dxa"/>
            <w:gridSpan w:val="3"/>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55" w:type="dxa"/>
            <w:gridSpan w:val="3"/>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55" w:type="dxa"/>
            <w:gridSpan w:val="3"/>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55" w:type="dxa"/>
            <w:gridSpan w:val="3"/>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55" w:type="dxa"/>
            <w:gridSpan w:val="3"/>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55" w:type="dxa"/>
            <w:gridSpan w:val="3"/>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55" w:type="dxa"/>
            <w:gridSpan w:val="3"/>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55" w:type="dxa"/>
            <w:gridSpan w:val="3"/>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55" w:type="dxa"/>
            <w:gridSpan w:val="3"/>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55" w:type="dxa"/>
            <w:gridSpan w:val="3"/>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55" w:type="dxa"/>
            <w:gridSpan w:val="3"/>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55" w:type="dxa"/>
            <w:gridSpan w:val="3"/>
          </w:tcPr>
          <w:p>
            <w:pPr>
              <w:pStyle w:val="nTable"/>
              <w:spacing w:after="40"/>
            </w:pPr>
            <w:r>
              <w:t>14 Aug 1992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55" w:type="dxa"/>
            <w:gridSpan w:val="3"/>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55" w:type="dxa"/>
            <w:gridSpan w:val="3"/>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55" w:type="dxa"/>
            <w:gridSpan w:val="3"/>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55" w:type="dxa"/>
            <w:gridSpan w:val="3"/>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55" w:type="dxa"/>
            <w:gridSpan w:val="3"/>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55" w:type="dxa"/>
            <w:gridSpan w:val="3"/>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55" w:type="dxa"/>
            <w:gridSpan w:val="3"/>
          </w:tcPr>
          <w:p>
            <w:pPr>
              <w:pStyle w:val="nTable"/>
              <w:spacing w:after="40"/>
            </w:pPr>
            <w:r>
              <w:t>1 Jul 1997 (see r. 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55" w:type="dxa"/>
            <w:gridSpan w:val="3"/>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55" w:type="dxa"/>
            <w:gridSpan w:val="3"/>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55" w:type="dxa"/>
            <w:gridSpan w:val="3"/>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55" w:type="dxa"/>
            <w:gridSpan w:val="3"/>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55" w:type="dxa"/>
            <w:gridSpan w:val="3"/>
          </w:tcPr>
          <w:p>
            <w:pPr>
              <w:pStyle w:val="nTable"/>
              <w:spacing w:after="40"/>
            </w:pPr>
            <w:r>
              <w:t>8 Feb 2002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55" w:type="dxa"/>
            <w:gridSpan w:val="3"/>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55" w:type="dxa"/>
            <w:gridSpan w:val="3"/>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55"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55" w:type="dxa"/>
            <w:gridSpan w:val="3"/>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55" w:type="dxa"/>
            <w:gridSpan w:val="3"/>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55" w:type="dxa"/>
            <w:gridSpan w:val="3"/>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55" w:type="dxa"/>
            <w:gridSpan w:val="3"/>
          </w:tcPr>
          <w:p>
            <w:pPr>
              <w:pStyle w:val="nTable"/>
              <w:spacing w:after="40"/>
            </w:pPr>
            <w:r>
              <w:t>9 Mar 2007</w:t>
            </w:r>
          </w:p>
        </w:tc>
      </w:tr>
      <w:tr>
        <w:trPr>
          <w:cantSplit/>
        </w:trPr>
        <w:tc>
          <w:tcPr>
            <w:tcW w:w="7154" w:type="dxa"/>
            <w:gridSpan w:val="5"/>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55" w:type="dxa"/>
            <w:gridSpan w:val="3"/>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55" w:type="dxa"/>
            <w:gridSpan w:val="3"/>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55" w:type="dxa"/>
            <w:gridSpan w:val="3"/>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55" w:type="dxa"/>
            <w:gridSpan w:val="3"/>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55" w:type="dxa"/>
            <w:gridSpan w:val="3"/>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55" w:type="dxa"/>
            <w:gridSpan w:val="3"/>
          </w:tcPr>
          <w:p>
            <w:pPr>
              <w:pStyle w:val="nTable"/>
              <w:spacing w:after="40"/>
            </w:pPr>
            <w:r>
              <w:t>r. 1 and 2: 8 May 2009 (see r. 2(a));</w:t>
            </w:r>
            <w: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55" w:type="dxa"/>
            <w:gridSpan w:val="3"/>
          </w:tcPr>
          <w:p>
            <w:pPr>
              <w:pStyle w:val="nTable"/>
              <w:spacing w:after="40"/>
              <w:rPr>
                <w:snapToGrid w:val="0"/>
              </w:rPr>
            </w:pPr>
            <w:r>
              <w:rPr>
                <w:snapToGrid w:val="0"/>
              </w:rPr>
              <w:t>r. 1 and 2: 28 Aug 2009 (see r. 2(a));</w:t>
            </w:r>
            <w:r>
              <w:rPr>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55" w:type="dxa"/>
            <w:gridSpan w:val="3"/>
          </w:tcPr>
          <w:p>
            <w:pPr>
              <w:pStyle w:val="nTable"/>
              <w:spacing w:after="40"/>
              <w:rPr>
                <w:snapToGrid w:val="0"/>
              </w:rPr>
            </w:pPr>
            <w:r>
              <w:rPr>
                <w:snapToGrid w:val="0"/>
              </w:rPr>
              <w:t>r. 1 and 2: 10 Nov 2009 (see r. 2(a));</w:t>
            </w:r>
            <w:r>
              <w:rPr>
                <w:snapToGrid w:val="0"/>
              </w:rPr>
              <w:br/>
              <w:t>Regulations other than r. 1 and 2: 11 Nov 2009 (see r. 2(b))</w:t>
            </w:r>
          </w:p>
        </w:tc>
      </w:tr>
      <w:tr>
        <w:trPr>
          <w:cantSplit/>
        </w:trPr>
        <w:tc>
          <w:tcPr>
            <w:tcW w:w="7154" w:type="dxa"/>
            <w:gridSpan w:val="5"/>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55" w:type="dxa"/>
            <w:gridSpan w:val="3"/>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55"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55"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4" w:type="dxa"/>
            <w:gridSpan w:val="5"/>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55"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55" w:type="dxa"/>
            <w:gridSpan w:val="3"/>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55" w:type="dxa"/>
            <w:gridSpan w:val="3"/>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55" w:type="dxa"/>
            <w:gridSpan w:val="3"/>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55"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4" w:type="dxa"/>
            <w:gridSpan w:val="5"/>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55"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55"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55" w:type="dxa"/>
            <w:gridSpan w:val="3"/>
            <w:shd w:val="clear" w:color="auto" w:fill="auto"/>
          </w:tcPr>
          <w:p>
            <w:pPr>
              <w:pStyle w:val="nTable"/>
              <w:spacing w:after="40"/>
              <w:rPr>
                <w:bCs/>
                <w:snapToGrid w:val="0"/>
                <w:spacing w:val="-2"/>
              </w:rPr>
            </w:pPr>
            <w:r>
              <w:rPr>
                <w:bCs/>
                <w:snapToGrid w:val="0"/>
                <w:spacing w:val="-2"/>
              </w:rPr>
              <w:t>1 Jul 2016 (see r. 2(b))</w:t>
            </w:r>
          </w:p>
        </w:tc>
      </w:tr>
      <w:tr>
        <w:trPr>
          <w:gridAfter w:val="2"/>
          <w:wAfter w:w="43" w:type="dxa"/>
        </w:trPr>
        <w:tc>
          <w:tcPr>
            <w:tcW w:w="3123"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2" w:type="dxa"/>
          </w:tcPr>
          <w:p>
            <w:pPr>
              <w:pStyle w:val="nTable"/>
              <w:spacing w:after="40"/>
            </w:pPr>
            <w:r>
              <w:t>1 Jul 2017 (see r. 2(b))</w:t>
            </w:r>
          </w:p>
        </w:tc>
      </w:tr>
      <w:tr>
        <w:trPr>
          <w:gridAfter w:val="2"/>
          <w:wAfter w:w="43" w:type="dxa"/>
        </w:trPr>
        <w:tc>
          <w:tcPr>
            <w:tcW w:w="3123"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2" w:type="dxa"/>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blPrEx>
          <w:tblBorders>
            <w:top w:val="single" w:sz="8" w:space="0" w:color="auto"/>
            <w:bottom w:val="single" w:sz="4" w:space="0" w:color="auto"/>
            <w:insideH w:val="single" w:sz="8" w:space="0" w:color="auto"/>
          </w:tblBorders>
        </w:tblPrEx>
        <w:trPr>
          <w:gridAfter w:val="1"/>
          <w:wAfter w:w="29"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single" w:sz="4" w:space="0" w:color="auto"/>
            </w:tcBorders>
          </w:tcPr>
          <w:p>
            <w:pPr>
              <w:pStyle w:val="nTable"/>
              <w:spacing w:after="40"/>
            </w:pPr>
            <w:r>
              <w:t>25 Jun 2018 p. 2325</w:t>
            </w:r>
            <w:r>
              <w:noBreakHyphen/>
              <w:t>53</w:t>
            </w:r>
          </w:p>
        </w:tc>
        <w:tc>
          <w:tcPr>
            <w:tcW w:w="2726"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11750470"/>
      <w:bookmarkStart w:id="53" w:name="_Toc11757039"/>
      <w:bookmarkStart w:id="54" w:name="_Toc11763202"/>
      <w:r>
        <w:t>Provisions that have not come into operation</w:t>
      </w:r>
      <w:bookmarkEnd w:id="52"/>
      <w:bookmarkEnd w:id="53"/>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16</w:t>
            </w:r>
            <w:r>
              <w:rPr>
                <w:snapToGrid w:val="0"/>
                <w:vertAlign w:val="superscript"/>
              </w:rPr>
              <w:t> 5</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pPr>
      <w:r>
        <w:rPr>
          <w:vertAlign w:val="superscript"/>
        </w:rPr>
        <w:t>5</w:t>
      </w:r>
      <w:r>
        <w:tab/>
        <w:t xml:space="preserve">On the date as at which this compilation was prepared, the </w:t>
      </w:r>
      <w:r>
        <w:rPr>
          <w:i/>
        </w:rPr>
        <w:t xml:space="preserve">Commerce Regulations Amendment (Fees and Charges) Regulations 2019 </w:t>
      </w:r>
      <w:r>
        <w:t>Pt. 16 had not come into operation. It reads as follows:</w:t>
      </w:r>
    </w:p>
    <w:p>
      <w:pPr>
        <w:pStyle w:val="BlankOpen"/>
        <w:rPr>
          <w:snapToGrid w:val="0"/>
        </w:rPr>
      </w:pPr>
    </w:p>
    <w:p>
      <w:pPr>
        <w:pStyle w:val="nzHeading2"/>
      </w:pPr>
      <w:r>
        <w:t>Part 16</w:t>
      </w:r>
      <w:r>
        <w:rPr>
          <w:rStyle w:val="CharDivNo"/>
        </w:rPr>
        <w:t> </w:t>
      </w:r>
      <w:r>
        <w:t>— Real Estate and Business Agents (General) Regulations 1979 amended</w:t>
      </w:r>
    </w:p>
    <w:p>
      <w:pPr>
        <w:pStyle w:val="nzHeading5"/>
        <w:rPr>
          <w:snapToGrid w:val="0"/>
        </w:rPr>
      </w:pPr>
      <w:r>
        <w:t>38</w:t>
      </w:r>
      <w:r>
        <w:rPr>
          <w:snapToGrid w:val="0"/>
        </w:rPr>
        <w:t>.</w:t>
      </w:r>
      <w:r>
        <w:rPr>
          <w:snapToGrid w:val="0"/>
        </w:rPr>
        <w:tab/>
        <w:t>Regulations amended</w:t>
      </w:r>
    </w:p>
    <w:p>
      <w:pPr>
        <w:pStyle w:val="nzSubsection"/>
      </w:pPr>
      <w:r>
        <w:tab/>
      </w:r>
      <w:r>
        <w:tab/>
        <w:t xml:space="preserve">This Part amends the </w:t>
      </w:r>
      <w:r>
        <w:rPr>
          <w:i/>
        </w:rPr>
        <w:t>Real Estate and Business Agents (General) Regulations 1979</w:t>
      </w:r>
      <w:r>
        <w:t>.</w:t>
      </w:r>
    </w:p>
    <w:p>
      <w:pPr>
        <w:pStyle w:val="nzHeading5"/>
      </w:pPr>
      <w:r>
        <w:t>39.</w:t>
      </w:r>
      <w:r>
        <w:tab/>
        <w:t>Regulation 4A amended</w:t>
      </w:r>
    </w:p>
    <w:p>
      <w:pPr>
        <w:pStyle w:val="nzSubsection"/>
      </w:pPr>
      <w:r>
        <w:tab/>
      </w:r>
      <w:r>
        <w:tab/>
        <w:t xml:space="preserve">In regulation 4A(1) in the definition of </w:t>
      </w:r>
      <w:r>
        <w:rPr>
          <w:b/>
          <w:i/>
        </w:rPr>
        <w:t>holding fee</w:t>
      </w:r>
      <w:r>
        <w:t xml:space="preserve"> delete “item 11 of Schedule 1” and insert:</w:t>
      </w:r>
    </w:p>
    <w:p>
      <w:pPr>
        <w:pStyle w:val="BlankOpen"/>
      </w:pPr>
    </w:p>
    <w:p>
      <w:pPr>
        <w:pStyle w:val="nzSubsection"/>
      </w:pPr>
      <w:r>
        <w:tab/>
      </w:r>
      <w:r>
        <w:tab/>
        <w:t>Schedule 1 item 12</w:t>
      </w:r>
    </w:p>
    <w:p>
      <w:pPr>
        <w:pStyle w:val="BlankClose"/>
      </w:pPr>
    </w:p>
    <w:p>
      <w:pPr>
        <w:pStyle w:val="nzHeading5"/>
      </w:pPr>
      <w:r>
        <w:t>40.</w:t>
      </w:r>
      <w:r>
        <w:tab/>
        <w:t>Schedule 1 replaced</w:t>
      </w:r>
    </w:p>
    <w:p>
      <w:pPr>
        <w:pStyle w:val="nzSubsection"/>
      </w:pPr>
      <w:r>
        <w:tab/>
      </w:r>
      <w:r>
        <w:tab/>
        <w:t>Delete Schedule 1 and insert:</w:t>
      </w:r>
    </w:p>
    <w:p>
      <w:pPr>
        <w:pStyle w:val="BlankOpen"/>
      </w:pPr>
    </w:p>
    <w:p>
      <w:pPr>
        <w:pStyle w:val="nzHeading2"/>
      </w:pPr>
      <w:r>
        <w:t>Schedule 1 — Fees</w:t>
      </w:r>
    </w:p>
    <w:p>
      <w:pPr>
        <w:pStyle w:val="nzShoulderClause"/>
      </w:pPr>
      <w:r>
        <w:t>[r. 4 and 4A]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nzTableNAm"/>
              <w:rPr>
                <w:b/>
              </w:rPr>
            </w:pPr>
            <w:r>
              <w:rPr>
                <w:b/>
              </w:rPr>
              <w:t>Item</w:t>
            </w:r>
          </w:p>
        </w:tc>
        <w:tc>
          <w:tcPr>
            <w:tcW w:w="5042" w:type="dxa"/>
          </w:tcPr>
          <w:p>
            <w:pPr>
              <w:pStyle w:val="nzTableNAm"/>
              <w:rPr>
                <w:b/>
              </w:rPr>
            </w:pPr>
            <w:r>
              <w:rPr>
                <w:b/>
              </w:rPr>
              <w:t>Type of fee</w:t>
            </w:r>
          </w:p>
        </w:tc>
        <w:tc>
          <w:tcPr>
            <w:tcW w:w="1187" w:type="dxa"/>
          </w:tcPr>
          <w:p>
            <w:pPr>
              <w:pStyle w:val="nzTableNAm"/>
              <w:jc w:val="center"/>
              <w:rPr>
                <w:b/>
              </w:rPr>
            </w:pPr>
            <w:r>
              <w:rPr>
                <w:b/>
              </w:rPr>
              <w:t>Fee</w:t>
            </w:r>
          </w:p>
        </w:tc>
      </w:tr>
      <w:tr>
        <w:tc>
          <w:tcPr>
            <w:tcW w:w="851" w:type="dxa"/>
          </w:tcPr>
          <w:p>
            <w:pPr>
              <w:pStyle w:val="nzTableNAm"/>
              <w:rPr>
                <w:szCs w:val="22"/>
              </w:rPr>
            </w:pPr>
            <w:r>
              <w:rPr>
                <w:szCs w:val="22"/>
              </w:rPr>
              <w:t>1.</w:t>
            </w:r>
          </w:p>
        </w:tc>
        <w:tc>
          <w:tcPr>
            <w:tcW w:w="5042" w:type="dxa"/>
          </w:tcPr>
          <w:p>
            <w:pPr>
              <w:pStyle w:val="nzTableNAm"/>
              <w:tabs>
                <w:tab w:val="right" w:leader="dot" w:pos="4536"/>
              </w:tabs>
              <w:rPr>
                <w:szCs w:val="22"/>
              </w:rPr>
            </w:pPr>
            <w:r>
              <w:rPr>
                <w:szCs w:val="22"/>
              </w:rPr>
              <w:t>Application for licence</w:t>
            </w:r>
          </w:p>
        </w:tc>
        <w:tc>
          <w:tcPr>
            <w:tcW w:w="1187" w:type="dxa"/>
            <w:vAlign w:val="bottom"/>
          </w:tcPr>
          <w:p>
            <w:pPr>
              <w:pStyle w:val="nzTableNAm"/>
              <w:tabs>
                <w:tab w:val="left" w:pos="1103"/>
              </w:tabs>
              <w:jc w:val="right"/>
              <w:rPr>
                <w:szCs w:val="22"/>
              </w:rPr>
            </w:pPr>
            <w:r>
              <w:rPr>
                <w:szCs w:val="22"/>
              </w:rPr>
              <w:t>$81.00</w:t>
            </w:r>
          </w:p>
        </w:tc>
      </w:tr>
      <w:tr>
        <w:tc>
          <w:tcPr>
            <w:tcW w:w="851" w:type="dxa"/>
          </w:tcPr>
          <w:p>
            <w:pPr>
              <w:pStyle w:val="nzTableNAm"/>
              <w:rPr>
                <w:szCs w:val="22"/>
              </w:rPr>
            </w:pPr>
            <w:r>
              <w:rPr>
                <w:szCs w:val="22"/>
              </w:rPr>
              <w:t>2.</w:t>
            </w:r>
          </w:p>
        </w:tc>
        <w:tc>
          <w:tcPr>
            <w:tcW w:w="5042" w:type="dxa"/>
          </w:tcPr>
          <w:p>
            <w:pPr>
              <w:pStyle w:val="nzTableNAm"/>
              <w:tabs>
                <w:tab w:val="right" w:leader="dot" w:pos="4536"/>
              </w:tabs>
              <w:rPr>
                <w:szCs w:val="22"/>
              </w:rPr>
            </w:pPr>
            <w:r>
              <w:rPr>
                <w:szCs w:val="22"/>
              </w:rPr>
              <w:t>Grant of licence</w:t>
            </w:r>
          </w:p>
        </w:tc>
        <w:tc>
          <w:tcPr>
            <w:tcW w:w="1187" w:type="dxa"/>
            <w:vAlign w:val="bottom"/>
          </w:tcPr>
          <w:p>
            <w:pPr>
              <w:pStyle w:val="nzTableNAm"/>
              <w:tabs>
                <w:tab w:val="left" w:pos="1103"/>
              </w:tabs>
              <w:jc w:val="right"/>
              <w:rPr>
                <w:szCs w:val="22"/>
              </w:rPr>
            </w:pPr>
            <w:r>
              <w:rPr>
                <w:szCs w:val="22"/>
              </w:rPr>
              <w:t>$860.00</w:t>
            </w:r>
          </w:p>
        </w:tc>
      </w:tr>
      <w:tr>
        <w:tc>
          <w:tcPr>
            <w:tcW w:w="851" w:type="dxa"/>
          </w:tcPr>
          <w:p>
            <w:pPr>
              <w:pStyle w:val="nzTableNAm"/>
              <w:rPr>
                <w:szCs w:val="22"/>
              </w:rPr>
            </w:pPr>
            <w:r>
              <w:rPr>
                <w:szCs w:val="22"/>
              </w:rPr>
              <w:t>3.</w:t>
            </w:r>
          </w:p>
        </w:tc>
        <w:tc>
          <w:tcPr>
            <w:tcW w:w="5042" w:type="dxa"/>
          </w:tcPr>
          <w:p>
            <w:pPr>
              <w:pStyle w:val="nzTableNAm"/>
              <w:tabs>
                <w:tab w:val="right" w:leader="dot" w:pos="4536"/>
              </w:tabs>
              <w:rPr>
                <w:szCs w:val="22"/>
              </w:rPr>
            </w:pPr>
            <w:r>
              <w:rPr>
                <w:szCs w:val="22"/>
              </w:rPr>
              <w:t>Grant of licence to firm</w:t>
            </w:r>
          </w:p>
        </w:tc>
        <w:tc>
          <w:tcPr>
            <w:tcW w:w="1187" w:type="dxa"/>
            <w:vAlign w:val="bottom"/>
          </w:tcPr>
          <w:p>
            <w:pPr>
              <w:pStyle w:val="nzTableNAm"/>
              <w:tabs>
                <w:tab w:val="left" w:pos="1103"/>
              </w:tabs>
              <w:jc w:val="right"/>
              <w:rPr>
                <w:szCs w:val="22"/>
              </w:rPr>
            </w:pPr>
            <w:r>
              <w:rPr>
                <w:szCs w:val="22"/>
              </w:rPr>
              <w:t>$1 125.00</w:t>
            </w:r>
          </w:p>
        </w:tc>
      </w:tr>
      <w:tr>
        <w:tc>
          <w:tcPr>
            <w:tcW w:w="851" w:type="dxa"/>
          </w:tcPr>
          <w:p>
            <w:pPr>
              <w:pStyle w:val="nzTableNAm"/>
              <w:rPr>
                <w:szCs w:val="22"/>
              </w:rPr>
            </w:pPr>
            <w:r>
              <w:rPr>
                <w:szCs w:val="22"/>
              </w:rPr>
              <w:t>4.</w:t>
            </w:r>
          </w:p>
        </w:tc>
        <w:tc>
          <w:tcPr>
            <w:tcW w:w="5042" w:type="dxa"/>
          </w:tcPr>
          <w:p>
            <w:pPr>
              <w:pStyle w:val="nzTableNAm"/>
              <w:tabs>
                <w:tab w:val="right" w:leader="dot" w:pos="4536"/>
              </w:tabs>
              <w:rPr>
                <w:szCs w:val="22"/>
              </w:rPr>
            </w:pPr>
            <w:r>
              <w:rPr>
                <w:szCs w:val="22"/>
              </w:rPr>
              <w:t>Grant of licence to body corporate</w:t>
            </w:r>
          </w:p>
        </w:tc>
        <w:tc>
          <w:tcPr>
            <w:tcW w:w="1187" w:type="dxa"/>
            <w:vAlign w:val="bottom"/>
          </w:tcPr>
          <w:p>
            <w:pPr>
              <w:pStyle w:val="nzTableNAm"/>
              <w:tabs>
                <w:tab w:val="left" w:pos="1103"/>
              </w:tabs>
              <w:jc w:val="right"/>
              <w:rPr>
                <w:szCs w:val="22"/>
              </w:rPr>
            </w:pPr>
            <w:r>
              <w:rPr>
                <w:szCs w:val="22"/>
              </w:rPr>
              <w:t>$1 125.00</w:t>
            </w:r>
          </w:p>
        </w:tc>
      </w:tr>
      <w:tr>
        <w:tc>
          <w:tcPr>
            <w:tcW w:w="851" w:type="dxa"/>
          </w:tcPr>
          <w:p>
            <w:pPr>
              <w:pStyle w:val="nzTableNAm"/>
              <w:rPr>
                <w:szCs w:val="22"/>
              </w:rPr>
            </w:pPr>
            <w:r>
              <w:rPr>
                <w:szCs w:val="22"/>
              </w:rPr>
              <w:t>5.</w:t>
            </w:r>
          </w:p>
        </w:tc>
        <w:tc>
          <w:tcPr>
            <w:tcW w:w="5042" w:type="dxa"/>
          </w:tcPr>
          <w:p>
            <w:pPr>
              <w:pStyle w:val="nzTableNAm"/>
              <w:tabs>
                <w:tab w:val="right" w:leader="dot" w:pos="4536"/>
              </w:tabs>
              <w:rPr>
                <w:szCs w:val="22"/>
              </w:rPr>
            </w:pPr>
            <w:r>
              <w:rPr>
                <w:szCs w:val="22"/>
              </w:rPr>
              <w:t>Renewal of triennial certificate</w:t>
            </w:r>
          </w:p>
        </w:tc>
        <w:tc>
          <w:tcPr>
            <w:tcW w:w="1187" w:type="dxa"/>
            <w:vAlign w:val="bottom"/>
          </w:tcPr>
          <w:p>
            <w:pPr>
              <w:pStyle w:val="nzTableNAm"/>
              <w:tabs>
                <w:tab w:val="left" w:pos="1103"/>
              </w:tabs>
              <w:jc w:val="right"/>
              <w:rPr>
                <w:szCs w:val="22"/>
              </w:rPr>
            </w:pPr>
            <w:r>
              <w:rPr>
                <w:szCs w:val="22"/>
              </w:rPr>
              <w:t>$711.00</w:t>
            </w:r>
          </w:p>
        </w:tc>
      </w:tr>
      <w:tr>
        <w:tc>
          <w:tcPr>
            <w:tcW w:w="851" w:type="dxa"/>
          </w:tcPr>
          <w:p>
            <w:pPr>
              <w:pStyle w:val="nzTableNAm"/>
              <w:rPr>
                <w:szCs w:val="22"/>
              </w:rPr>
            </w:pPr>
            <w:r>
              <w:rPr>
                <w:szCs w:val="22"/>
              </w:rPr>
              <w:t>6.</w:t>
            </w:r>
          </w:p>
        </w:tc>
        <w:tc>
          <w:tcPr>
            <w:tcW w:w="5042" w:type="dxa"/>
          </w:tcPr>
          <w:p>
            <w:pPr>
              <w:pStyle w:val="nzTableNAm"/>
              <w:tabs>
                <w:tab w:val="right" w:leader="dot" w:pos="4536"/>
              </w:tabs>
              <w:rPr>
                <w:szCs w:val="22"/>
              </w:rPr>
            </w:pPr>
            <w:r>
              <w:rPr>
                <w:szCs w:val="22"/>
              </w:rPr>
              <w:t>Grant of certificate of registration</w:t>
            </w:r>
          </w:p>
        </w:tc>
        <w:tc>
          <w:tcPr>
            <w:tcW w:w="1187" w:type="dxa"/>
            <w:vAlign w:val="bottom"/>
          </w:tcPr>
          <w:p>
            <w:pPr>
              <w:pStyle w:val="nzTableNAm"/>
              <w:tabs>
                <w:tab w:val="left" w:pos="1103"/>
              </w:tabs>
              <w:jc w:val="right"/>
              <w:rPr>
                <w:szCs w:val="22"/>
              </w:rPr>
            </w:pPr>
            <w:r>
              <w:rPr>
                <w:szCs w:val="22"/>
              </w:rPr>
              <w:t>$218.00</w:t>
            </w:r>
          </w:p>
        </w:tc>
      </w:tr>
      <w:tr>
        <w:tc>
          <w:tcPr>
            <w:tcW w:w="851" w:type="dxa"/>
          </w:tcPr>
          <w:p>
            <w:pPr>
              <w:pStyle w:val="nzTableNAm"/>
              <w:rPr>
                <w:szCs w:val="22"/>
              </w:rPr>
            </w:pPr>
            <w:r>
              <w:rPr>
                <w:szCs w:val="22"/>
              </w:rPr>
              <w:t>7.</w:t>
            </w:r>
          </w:p>
        </w:tc>
        <w:tc>
          <w:tcPr>
            <w:tcW w:w="5042" w:type="dxa"/>
          </w:tcPr>
          <w:p>
            <w:pPr>
              <w:pStyle w:val="nzTableNAm"/>
              <w:tabs>
                <w:tab w:val="right" w:leader="dot" w:pos="4536"/>
              </w:tabs>
              <w:rPr>
                <w:szCs w:val="22"/>
              </w:rPr>
            </w:pPr>
            <w:r>
              <w:rPr>
                <w:szCs w:val="22"/>
              </w:rPr>
              <w:t>Renewal of certificate of registration</w:t>
            </w:r>
          </w:p>
        </w:tc>
        <w:tc>
          <w:tcPr>
            <w:tcW w:w="1187" w:type="dxa"/>
            <w:vAlign w:val="bottom"/>
          </w:tcPr>
          <w:p>
            <w:pPr>
              <w:pStyle w:val="nzTableNAm"/>
              <w:tabs>
                <w:tab w:val="left" w:pos="1103"/>
              </w:tabs>
              <w:jc w:val="right"/>
              <w:rPr>
                <w:szCs w:val="22"/>
              </w:rPr>
            </w:pPr>
            <w:r>
              <w:rPr>
                <w:szCs w:val="22"/>
              </w:rPr>
              <w:t>$180.00</w:t>
            </w:r>
          </w:p>
        </w:tc>
      </w:tr>
      <w:tr>
        <w:tc>
          <w:tcPr>
            <w:tcW w:w="851" w:type="dxa"/>
          </w:tcPr>
          <w:p>
            <w:pPr>
              <w:pStyle w:val="nzTableNAm"/>
              <w:rPr>
                <w:szCs w:val="22"/>
              </w:rPr>
            </w:pPr>
            <w:r>
              <w:rPr>
                <w:szCs w:val="22"/>
              </w:rPr>
              <w:t>8.</w:t>
            </w:r>
          </w:p>
        </w:tc>
        <w:tc>
          <w:tcPr>
            <w:tcW w:w="5042" w:type="dxa"/>
          </w:tcPr>
          <w:p>
            <w:pPr>
              <w:pStyle w:val="nzTableNAm"/>
              <w:tabs>
                <w:tab w:val="right" w:leader="dot" w:pos="4536"/>
              </w:tabs>
              <w:rPr>
                <w:szCs w:val="22"/>
              </w:rPr>
            </w:pPr>
            <w:r>
              <w:rPr>
                <w:szCs w:val="22"/>
              </w:rPr>
              <w:t>Inspection of a register</w:t>
            </w:r>
          </w:p>
        </w:tc>
        <w:tc>
          <w:tcPr>
            <w:tcW w:w="1187" w:type="dxa"/>
            <w:vAlign w:val="bottom"/>
          </w:tcPr>
          <w:p>
            <w:pPr>
              <w:pStyle w:val="nzTableNAm"/>
              <w:tabs>
                <w:tab w:val="left" w:pos="1103"/>
              </w:tabs>
              <w:jc w:val="right"/>
              <w:rPr>
                <w:szCs w:val="22"/>
              </w:rPr>
            </w:pPr>
            <w:r>
              <w:rPr>
                <w:szCs w:val="22"/>
              </w:rPr>
              <w:t>$11.80</w:t>
            </w:r>
          </w:p>
        </w:tc>
      </w:tr>
      <w:tr>
        <w:tc>
          <w:tcPr>
            <w:tcW w:w="851" w:type="dxa"/>
          </w:tcPr>
          <w:p>
            <w:pPr>
              <w:pStyle w:val="nzTableNAm"/>
              <w:rPr>
                <w:szCs w:val="22"/>
              </w:rPr>
            </w:pPr>
            <w:r>
              <w:rPr>
                <w:szCs w:val="22"/>
              </w:rPr>
              <w:t>9.</w:t>
            </w:r>
          </w:p>
        </w:tc>
        <w:tc>
          <w:tcPr>
            <w:tcW w:w="5042" w:type="dxa"/>
          </w:tcPr>
          <w:p>
            <w:pPr>
              <w:pStyle w:val="nzTableNAm"/>
              <w:tabs>
                <w:tab w:val="right" w:leader="dot" w:pos="4536"/>
              </w:tabs>
              <w:rPr>
                <w:szCs w:val="22"/>
              </w:rPr>
            </w:pPr>
            <w:r>
              <w:rPr>
                <w:szCs w:val="22"/>
              </w:rPr>
              <w:t>Issue of duplicate licence, duplicate certificate of registration or duplicate triennial certificate</w:t>
            </w:r>
          </w:p>
        </w:tc>
        <w:tc>
          <w:tcPr>
            <w:tcW w:w="1187" w:type="dxa"/>
            <w:vAlign w:val="bottom"/>
          </w:tcPr>
          <w:p>
            <w:pPr>
              <w:pStyle w:val="nzTableNAm"/>
              <w:tabs>
                <w:tab w:val="left" w:pos="1103"/>
              </w:tabs>
              <w:jc w:val="right"/>
              <w:rPr>
                <w:szCs w:val="22"/>
              </w:rPr>
            </w:pPr>
            <w:r>
              <w:rPr>
                <w:szCs w:val="22"/>
              </w:rPr>
              <w:t>$29.50</w:t>
            </w:r>
          </w:p>
        </w:tc>
      </w:tr>
      <w:tr>
        <w:tc>
          <w:tcPr>
            <w:tcW w:w="851" w:type="dxa"/>
          </w:tcPr>
          <w:p>
            <w:pPr>
              <w:pStyle w:val="nzTableNAm"/>
              <w:rPr>
                <w:szCs w:val="22"/>
              </w:rPr>
            </w:pPr>
            <w:r>
              <w:rPr>
                <w:szCs w:val="22"/>
              </w:rPr>
              <w:t>10.</w:t>
            </w:r>
          </w:p>
        </w:tc>
        <w:tc>
          <w:tcPr>
            <w:tcW w:w="5042" w:type="dxa"/>
          </w:tcPr>
          <w:p>
            <w:pPr>
              <w:pStyle w:val="nzTableNAm"/>
              <w:rPr>
                <w:szCs w:val="22"/>
              </w:rPr>
            </w:pPr>
            <w:r>
              <w:rPr>
                <w:szCs w:val="22"/>
              </w:rPr>
              <w:t>Copy (certified or uncertified) or an extract of an individual registration —</w:t>
            </w:r>
          </w:p>
          <w:p>
            <w:pPr>
              <w:pStyle w:val="nzTableNAm"/>
              <w:tabs>
                <w:tab w:val="right" w:leader="dot" w:pos="4536"/>
              </w:tabs>
              <w:rPr>
                <w:szCs w:val="22"/>
              </w:rPr>
            </w:pPr>
            <w:r>
              <w:rPr>
                <w:szCs w:val="22"/>
              </w:rPr>
              <w:t>first page</w:t>
            </w:r>
          </w:p>
          <w:p>
            <w:pPr>
              <w:pStyle w:val="nzTableNAm"/>
              <w:tabs>
                <w:tab w:val="right" w:leader="dot" w:pos="4536"/>
              </w:tabs>
              <w:rPr>
                <w:szCs w:val="22"/>
              </w:rPr>
            </w:pPr>
            <w:r>
              <w:rPr>
                <w:szCs w:val="22"/>
              </w:rPr>
              <w:t>each subsequent page</w:t>
            </w:r>
          </w:p>
        </w:tc>
        <w:tc>
          <w:tcPr>
            <w:tcW w:w="1187" w:type="dxa"/>
            <w:vAlign w:val="bottom"/>
          </w:tcPr>
          <w:p>
            <w:pPr>
              <w:pStyle w:val="nzTableNAm"/>
              <w:tabs>
                <w:tab w:val="left" w:pos="1103"/>
              </w:tabs>
              <w:jc w:val="right"/>
              <w:rPr>
                <w:szCs w:val="22"/>
              </w:rPr>
            </w:pPr>
            <w:r>
              <w:rPr>
                <w:szCs w:val="22"/>
              </w:rPr>
              <w:t>$12.20</w:t>
            </w:r>
          </w:p>
          <w:p>
            <w:pPr>
              <w:pStyle w:val="nzTableNAm"/>
              <w:tabs>
                <w:tab w:val="left" w:pos="1103"/>
              </w:tabs>
              <w:jc w:val="right"/>
              <w:rPr>
                <w:szCs w:val="22"/>
              </w:rPr>
            </w:pPr>
            <w:r>
              <w:rPr>
                <w:szCs w:val="22"/>
              </w:rPr>
              <w:t>$2.30</w:t>
            </w:r>
          </w:p>
        </w:tc>
      </w:tr>
      <w:tr>
        <w:tc>
          <w:tcPr>
            <w:tcW w:w="851" w:type="dxa"/>
          </w:tcPr>
          <w:p>
            <w:pPr>
              <w:pStyle w:val="nzTableNAm"/>
              <w:rPr>
                <w:szCs w:val="22"/>
              </w:rPr>
            </w:pPr>
            <w:r>
              <w:rPr>
                <w:szCs w:val="22"/>
              </w:rPr>
              <w:t>11.</w:t>
            </w:r>
          </w:p>
        </w:tc>
        <w:tc>
          <w:tcPr>
            <w:tcW w:w="5042" w:type="dxa"/>
          </w:tcPr>
          <w:p>
            <w:pPr>
              <w:pStyle w:val="nzTableNAm"/>
              <w:tabs>
                <w:tab w:val="right" w:leader="dot" w:pos="4536"/>
              </w:tabs>
              <w:rPr>
                <w:szCs w:val="22"/>
              </w:rPr>
            </w:pPr>
            <w:r>
              <w:rPr>
                <w:szCs w:val="22"/>
              </w:rPr>
              <w:t>Copy (certified or uncertified) or an extract of all registrations in a register</w:t>
            </w:r>
          </w:p>
        </w:tc>
        <w:tc>
          <w:tcPr>
            <w:tcW w:w="1187" w:type="dxa"/>
            <w:vAlign w:val="bottom"/>
          </w:tcPr>
          <w:p>
            <w:pPr>
              <w:pStyle w:val="nzTableNAm"/>
              <w:tabs>
                <w:tab w:val="left" w:pos="1103"/>
              </w:tabs>
              <w:jc w:val="right"/>
              <w:rPr>
                <w:szCs w:val="22"/>
              </w:rPr>
            </w:pPr>
            <w:r>
              <w:rPr>
                <w:szCs w:val="22"/>
              </w:rPr>
              <w:t>$121.00</w:t>
            </w:r>
          </w:p>
        </w:tc>
      </w:tr>
      <w:tr>
        <w:tc>
          <w:tcPr>
            <w:tcW w:w="851" w:type="dxa"/>
          </w:tcPr>
          <w:p>
            <w:pPr>
              <w:pStyle w:val="nzTableNAm"/>
              <w:rPr>
                <w:szCs w:val="22"/>
              </w:rPr>
            </w:pPr>
            <w:r>
              <w:rPr>
                <w:szCs w:val="22"/>
              </w:rPr>
              <w:t>12.</w:t>
            </w:r>
          </w:p>
        </w:tc>
        <w:tc>
          <w:tcPr>
            <w:tcW w:w="5042" w:type="dxa"/>
          </w:tcPr>
          <w:p>
            <w:pPr>
              <w:pStyle w:val="nzTableNAm"/>
              <w:tabs>
                <w:tab w:val="right" w:leader="dot" w:pos="4536"/>
              </w:tabs>
              <w:rPr>
                <w:szCs w:val="22"/>
              </w:rPr>
            </w:pPr>
            <w:r>
              <w:rPr>
                <w:szCs w:val="22"/>
              </w:rPr>
              <w:t>For the purposes of section 30(2a) (the holding fee)</w:t>
            </w:r>
          </w:p>
        </w:tc>
        <w:tc>
          <w:tcPr>
            <w:tcW w:w="1187" w:type="dxa"/>
            <w:vAlign w:val="bottom"/>
          </w:tcPr>
          <w:p>
            <w:pPr>
              <w:pStyle w:val="nzTableNAm"/>
              <w:tabs>
                <w:tab w:val="left" w:pos="1103"/>
              </w:tabs>
              <w:jc w:val="right"/>
              <w:rPr>
                <w:szCs w:val="22"/>
              </w:rPr>
            </w:pPr>
            <w:r>
              <w:rPr>
                <w:szCs w:val="22"/>
              </w:rPr>
              <w:t>$258.00</w:t>
            </w:r>
          </w:p>
        </w:tc>
      </w:tr>
    </w:tbl>
    <w:p>
      <w:pPr>
        <w:pStyle w:val="BlankClose"/>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56" w:name="_Toc11748541"/>
      <w:bookmarkStart w:id="57" w:name="_Toc11759513"/>
      <w:bookmarkStart w:id="58" w:name="_Toc11763203"/>
      <w:r>
        <w:rPr>
          <w:sz w:val="28"/>
        </w:rPr>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72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FD58-C14B-4BB6-ACE6-025398F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10588</Words>
  <Characters>54530</Characters>
  <Application>Microsoft Office Word</Application>
  <DocSecurity>0</DocSecurity>
  <Lines>2019</Lines>
  <Paragraphs>1252</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1979 - 08-i0-01</dc:title>
  <dc:subject/>
  <dc:creator/>
  <cp:keywords/>
  <dc:description/>
  <cp:lastModifiedBy>svcMRProcess</cp:lastModifiedBy>
  <cp:revision>4</cp:revision>
  <cp:lastPrinted>2014-10-02T03:16:00Z</cp:lastPrinted>
  <dcterms:created xsi:type="dcterms:W3CDTF">2019-06-18T08:20:00Z</dcterms:created>
  <dcterms:modified xsi:type="dcterms:W3CDTF">2019-06-18T08:20:00Z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18 Jun 2019</vt:lpwstr>
  </property>
  <property fmtid="{D5CDD505-2E9C-101B-9397-08002B2CF9AE}" pid="8" name="Suffix">
    <vt:lpwstr>08-i0-01</vt:lpwstr>
  </property>
  <property fmtid="{D5CDD505-2E9C-101B-9397-08002B2CF9AE}" pid="9" name="CommencementDate">
    <vt:lpwstr>20190618</vt:lpwstr>
  </property>
</Properties>
</file>