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_Toc11763849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_Toc11763850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_Toc11763851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_Toc11763852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_Toc11763855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_Toc11763856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_Toc11763858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_Toc11763859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_Toc11763860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_Toc11763862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_Toc11763863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_Toc11763864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_Toc11763865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_Toc11763866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_Toc11763867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_Toc11763868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_Toc11763869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_Toc11763871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_Toc11763872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_Toc11763873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_Toc11763874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_Toc11763876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_Toc11763877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_Toc11763879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_Toc11763880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_Toc11763881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_Toc11763882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_Toc11763883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_Toc11763887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_Toc11763888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_Toc11763889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_Toc11763891 \h </w:instrText>
      </w:r>
      <w:r>
        <w:fldChar w:fldCharType="separate"/>
      </w:r>
      <w:r>
        <w:t>119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_Toc11763892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11748640"/>
      <w:bookmarkStart w:id="4" w:name="_Toc11760996"/>
      <w:bookmarkStart w:id="5" w:name="_Toc11763848"/>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1176384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7" w:name="_Toc1176385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8" w:name="_Toc11763851"/>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11763852"/>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11748645"/>
      <w:bookmarkStart w:id="11" w:name="_Toc11761001"/>
      <w:bookmarkStart w:id="12" w:name="_Toc11763853"/>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11748646"/>
      <w:bookmarkStart w:id="14" w:name="_Toc11761002"/>
      <w:bookmarkStart w:id="15" w:name="_Toc11763854"/>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11763855"/>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2019</w:t>
      </w:r>
      <w:r>
        <w:t xml:space="preserve"> set out in the </w:t>
      </w:r>
      <w:r>
        <w:rPr>
          <w:i/>
        </w:rPr>
        <w:t>Fair Trading (Retirement Villages Interim Code) Regulations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p>
    <w:p>
      <w:pPr>
        <w:pStyle w:val="Heading5"/>
        <w:pageBreakBefore/>
        <w:spacing w:before="0"/>
      </w:pPr>
      <w:bookmarkStart w:id="17" w:name="_Toc11763856"/>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11748649"/>
      <w:bookmarkStart w:id="19" w:name="_Toc11761005"/>
      <w:bookmarkStart w:id="20" w:name="_Toc11763857"/>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11763858"/>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11763859"/>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11763860"/>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4" w:name="_Toc11748653"/>
      <w:bookmarkStart w:id="25" w:name="_Toc11761009"/>
      <w:bookmarkStart w:id="26" w:name="_Toc11763861"/>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11763862"/>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11763863"/>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11763864"/>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11763865"/>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11763866"/>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11763867"/>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11763868"/>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11763869"/>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11748662"/>
      <w:bookmarkStart w:id="36" w:name="_Toc11761018"/>
      <w:bookmarkStart w:id="37" w:name="_Toc11763870"/>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11763871"/>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11763872"/>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11763873"/>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11763874"/>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11748667"/>
      <w:bookmarkStart w:id="43" w:name="_Toc11761023"/>
      <w:bookmarkStart w:id="44" w:name="_Toc11763875"/>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11763876"/>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11763877"/>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11748670"/>
      <w:bookmarkStart w:id="48" w:name="_Toc11761026"/>
      <w:bookmarkStart w:id="49" w:name="_Toc11763878"/>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11763879"/>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11763880"/>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11763881"/>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11763882"/>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54" w:name="_Toc11763883"/>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11748676"/>
      <w:bookmarkStart w:id="57" w:name="_Toc11761032"/>
      <w:bookmarkStart w:id="58" w:name="_Toc11763884"/>
      <w:bookmarkEnd w:id="55"/>
      <w:r>
        <w:rPr>
          <w:rStyle w:val="CharSchNo"/>
        </w:rPr>
        <w:t>Schedule 1</w:t>
      </w:r>
      <w:bookmarkEnd w:id="56"/>
      <w:bookmarkEnd w:id="57"/>
      <w:bookmarkEnd w:id="58"/>
    </w:p>
    <w:p>
      <w:pPr>
        <w:pStyle w:val="yHeading2"/>
        <w:outlineLvl w:val="9"/>
        <w:rPr>
          <w:b w:val="0"/>
          <w:snapToGrid/>
          <w:sz w:val="24"/>
        </w:rPr>
      </w:pPr>
      <w:bookmarkStart w:id="59" w:name="_Toc11748677"/>
      <w:bookmarkStart w:id="60" w:name="_Toc11761033"/>
      <w:bookmarkStart w:id="61" w:name="_Toc11763885"/>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11748678"/>
      <w:bookmarkStart w:id="64" w:name="_Toc11761034"/>
      <w:bookmarkStart w:id="65" w:name="_Toc11763886"/>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11763887"/>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11763888"/>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11763889"/>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11748682"/>
      <w:bookmarkStart w:id="70" w:name="_Toc11761038"/>
      <w:bookmarkStart w:id="71" w:name="_Toc11763890"/>
      <w:r>
        <w:t>Notes</w:t>
      </w:r>
      <w:bookmarkEnd w:id="69"/>
      <w:bookmarkEnd w:id="70"/>
      <w:bookmarkEnd w:id="71"/>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rPr>
          <w:snapToGrid w:val="0"/>
        </w:rPr>
      </w:pPr>
      <w:bookmarkStart w:id="72" w:name="_Toc11763891"/>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2019</w:t>
            </w:r>
          </w:p>
        </w:tc>
        <w:tc>
          <w:tcPr>
            <w:tcW w:w="1276" w:type="dxa"/>
            <w:tcBorders>
              <w:top w:val="nil"/>
              <w:bottom w:val="single" w:sz="4" w:space="0" w:color="auto"/>
            </w:tcBorders>
          </w:tcPr>
          <w:p>
            <w:pPr>
              <w:pStyle w:val="nTable"/>
              <w:spacing w:after="40"/>
            </w:pPr>
            <w:r>
              <w:t>22 Mar 2019</w:t>
            </w:r>
          </w:p>
        </w:tc>
        <w:tc>
          <w:tcPr>
            <w:tcW w:w="2693" w:type="dxa"/>
            <w:tcBorders>
              <w:top w:val="nil"/>
              <w:bottom w:val="single" w:sz="4" w:space="0" w:color="auto"/>
            </w:tcBorders>
          </w:tcPr>
          <w:p>
            <w:pPr>
              <w:pStyle w:val="nTable"/>
              <w:spacing w:after="40"/>
            </w:pPr>
            <w:r>
              <w:t>r. 1 and 2: 22 Mar 2019 (see r. 2(a));</w:t>
            </w:r>
            <w:r>
              <w:br/>
              <w:t>Regulations other than r. 1 and 2: 1 Apr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 w:name="_Toc11750470"/>
      <w:bookmarkStart w:id="74" w:name="_Toc11756187"/>
      <w:bookmarkStart w:id="75" w:name="_Toc11763892"/>
      <w:r>
        <w:t>Provisions that have not come into operation</w:t>
      </w:r>
      <w:bookmarkEnd w:id="73"/>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18</w:t>
            </w:r>
            <w:r>
              <w:rPr>
                <w:snapToGrid w:val="0"/>
                <w:vertAlign w:val="superscript"/>
              </w:rPr>
              <w:t> 2</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 xml:space="preserve">Commerce Regulations Amendment (Fees and Charges) Regulations 2019 </w:t>
      </w:r>
      <w:r>
        <w:t>Pt. 18 had not come into operation. It reads as follows:</w:t>
      </w:r>
    </w:p>
    <w:p>
      <w:pPr>
        <w:pStyle w:val="BlankOpen"/>
      </w:pPr>
    </w:p>
    <w:p>
      <w:pPr>
        <w:pStyle w:val="nzHeading2"/>
      </w:pPr>
      <w:r>
        <w:t>Part 18 — Retirement Villages Regulations 1992 amended</w:t>
      </w:r>
    </w:p>
    <w:p>
      <w:pPr>
        <w:pStyle w:val="nzHeading5"/>
        <w:rPr>
          <w:snapToGrid w:val="0"/>
        </w:rPr>
      </w:pPr>
      <w:r>
        <w:t>43</w:t>
      </w:r>
      <w:r>
        <w:rPr>
          <w:snapToGrid w:val="0"/>
        </w:rPr>
        <w:t>.</w:t>
      </w:r>
      <w:r>
        <w:rPr>
          <w:snapToGrid w:val="0"/>
        </w:rPr>
        <w:tab/>
        <w:t>Regulations amended</w:t>
      </w:r>
    </w:p>
    <w:p>
      <w:pPr>
        <w:pStyle w:val="nzSubsection"/>
      </w:pPr>
      <w:r>
        <w:tab/>
      </w:r>
      <w:r>
        <w:tab/>
        <w:t xml:space="preserve">This Part amends the </w:t>
      </w:r>
      <w:r>
        <w:rPr>
          <w:i/>
        </w:rPr>
        <w:t>Retirement Villages Regulations 1992</w:t>
      </w:r>
      <w:r>
        <w:t>.</w:t>
      </w:r>
    </w:p>
    <w:p>
      <w:pPr>
        <w:pStyle w:val="nzHeading5"/>
      </w:pPr>
      <w:r>
        <w:t>44.</w:t>
      </w:r>
      <w:r>
        <w:tab/>
        <w:t>Regulation 12 amended</w:t>
      </w:r>
    </w:p>
    <w:p>
      <w:pPr>
        <w:pStyle w:val="nzSubsection"/>
      </w:pPr>
      <w:r>
        <w:tab/>
      </w:r>
      <w:r>
        <w:tab/>
        <w:t>In regulation 12(1) delete “$144.00.” and insert:</w:t>
      </w:r>
    </w:p>
    <w:p>
      <w:pPr>
        <w:pStyle w:val="BlankOpen"/>
      </w:pPr>
    </w:p>
    <w:p>
      <w:pPr>
        <w:pStyle w:val="nzSubsection"/>
      </w:pPr>
      <w:r>
        <w:tab/>
      </w:r>
      <w:r>
        <w:tab/>
        <w:t>$151.00.</w:t>
      </w:r>
    </w:p>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7" w:name="_Toc11748684"/>
      <w:bookmarkStart w:id="78" w:name="_Toc11761041"/>
      <w:bookmarkStart w:id="79" w:name="_Toc11763893"/>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75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BCAC-A38B-48CC-B261-0725DF62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21083</Words>
  <Characters>108578</Characters>
  <Application>Microsoft Office Word</Application>
  <DocSecurity>0</DocSecurity>
  <Lines>4720</Lines>
  <Paragraphs>2401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1992 - 02-e0-00</dc:title>
  <dc:subject/>
  <dc:creator/>
  <cp:keywords/>
  <dc:description/>
  <cp:lastModifiedBy>svcMRProcess</cp:lastModifiedBy>
  <cp:revision>4</cp:revision>
  <cp:lastPrinted>2017-02-16T08:31:00Z</cp:lastPrinted>
  <dcterms:created xsi:type="dcterms:W3CDTF">2019-06-18T08:15:00Z</dcterms:created>
  <dcterms:modified xsi:type="dcterms:W3CDTF">2019-06-18T08:15:00Z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18 Jun 2019</vt:lpwstr>
  </property>
  <property fmtid="{D5CDD505-2E9C-101B-9397-08002B2CF9AE}" pid="8" name="Suffix">
    <vt:lpwstr>02-e0-00</vt:lpwstr>
  </property>
  <property fmtid="{D5CDD505-2E9C-101B-9397-08002B2CF9AE}" pid="9" name="CommencementDate">
    <vt:lpwstr>20190618</vt:lpwstr>
  </property>
</Properties>
</file>