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_Toc12278943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_Toc12278944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_Toc12278945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_Toc12278946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_Toc12278947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_Toc12278948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_Toc12278949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_Toc12278950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_Toc12278951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_Toc12278952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_Toc12278953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_Toc12278954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_Toc12278955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_Toc12278956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_Toc12278957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_Toc12278958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_Toc12278959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_Toc12278960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_Toc12278965 \h </w:instrText>
      </w:r>
      <w:r>
        <w:fldChar w:fldCharType="separate"/>
      </w:r>
      <w:r>
        <w:t>18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_Toc12278966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12278943"/>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2278944"/>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2278945"/>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6" w:name="_Toc12278946"/>
      <w:r>
        <w:rPr>
          <w:rStyle w:val="CharSectno"/>
        </w:rPr>
        <w:t>4</w:t>
      </w:r>
      <w:r>
        <w:t>.</w:t>
      </w:r>
      <w:r>
        <w:tab/>
        <w:t>Fees</w:t>
      </w:r>
      <w:bookmarkEnd w:id="6"/>
    </w:p>
    <w:p>
      <w:pPr>
        <w:pStyle w:val="Subsection"/>
      </w:pPr>
      <w:r>
        <w:tab/>
        <w:t>(1)</w:t>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616"/>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tcPr>
          <w:p>
            <w:pPr>
              <w:pStyle w:val="TableNAm"/>
            </w:pPr>
            <w:r>
              <w:rPr>
                <w:b/>
              </w:rPr>
              <w:t>Fee</w:t>
            </w:r>
          </w:p>
        </w:tc>
      </w:tr>
      <w:tr>
        <w:trPr>
          <w:cantSplit/>
          <w:tblHeader/>
          <w:jc w:val="center"/>
        </w:trPr>
        <w:tc>
          <w:tcPr>
            <w:tcW w:w="817" w:type="dxa"/>
          </w:tcPr>
          <w:p>
            <w:pPr>
              <w:pStyle w:val="TableNAm"/>
            </w:pPr>
            <w:r>
              <w:t>1.</w:t>
            </w:r>
          </w:p>
        </w:tc>
        <w:tc>
          <w:tcPr>
            <w:tcW w:w="3343" w:type="dxa"/>
          </w:tcPr>
          <w:p>
            <w:pPr>
              <w:pStyle w:val="TableNAm"/>
            </w:pPr>
            <w:r>
              <w:t>Issue or renewal of licence</w:t>
            </w:r>
          </w:p>
        </w:tc>
        <w:tc>
          <w:tcPr>
            <w:tcW w:w="1616" w:type="dxa"/>
          </w:tcPr>
          <w:p>
            <w:pPr>
              <w:pStyle w:val="TableNAm"/>
            </w:pPr>
            <w:r>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tcPr>
          <w:p>
            <w:pPr>
              <w:pStyle w:val="TableNAm"/>
            </w:pPr>
            <w:r>
              <w:br/>
              <w:t>$11.25</w:t>
            </w:r>
          </w:p>
        </w:tc>
      </w:tr>
    </w:tbl>
    <w:p>
      <w:pPr>
        <w:pStyle w:val="Subsection"/>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w:t>
      </w:r>
    </w:p>
    <w:p>
      <w:pPr>
        <w:pStyle w:val="Heading5"/>
        <w:rPr>
          <w:snapToGrid w:val="0"/>
        </w:rPr>
      </w:pPr>
      <w:bookmarkStart w:id="7" w:name="_Toc12278947"/>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2278948"/>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2278949"/>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2278950"/>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2278951"/>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2278952"/>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2278953"/>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2278954"/>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2278955"/>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6" w:name="_Toc12278956"/>
      <w:r>
        <w:rPr>
          <w:rStyle w:val="CharSectno"/>
        </w:rPr>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2278957"/>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2278958"/>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2278959"/>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2278960"/>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 w:name="_Toc11747405"/>
      <w:bookmarkStart w:id="22" w:name="_Toc11752931"/>
      <w:bookmarkStart w:id="23" w:name="_Toc11760769"/>
      <w:bookmarkStart w:id="24" w:name="_Toc12278961"/>
      <w:r>
        <w:rPr>
          <w:rStyle w:val="CharSchNo"/>
        </w:rPr>
        <w:t>First Schedule</w:t>
      </w:r>
      <w:bookmarkEnd w:id="21"/>
      <w:bookmarkEnd w:id="22"/>
      <w:bookmarkEnd w:id="23"/>
      <w:bookmarkEnd w:id="24"/>
    </w:p>
    <w:p>
      <w:pPr>
        <w:pStyle w:val="yEdnotesection"/>
      </w:pPr>
      <w:r>
        <w:t>[Forms 1 and 2 deleted: Gazette 27 Jun 2017 p. 3412.]</w:t>
      </w:r>
    </w:p>
    <w:p>
      <w:pPr>
        <w:pStyle w:val="yEdnotesection"/>
      </w:pPr>
      <w:r>
        <w:t>[Form 3 deleted: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Mines, Industry Regulation and Safety</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6" w:name="_Toc11747406"/>
      <w:bookmarkStart w:id="27" w:name="_Toc11752932"/>
      <w:bookmarkStart w:id="28" w:name="_Toc11760770"/>
      <w:bookmarkStart w:id="29" w:name="_Toc12278962"/>
      <w:r>
        <w:rPr>
          <w:rStyle w:val="CharSchNo"/>
        </w:rPr>
        <w:t>Second Schedule</w:t>
      </w:r>
      <w:bookmarkEnd w:id="26"/>
      <w:bookmarkEnd w:id="27"/>
      <w:bookmarkEnd w:id="28"/>
      <w:bookmarkEnd w:id="29"/>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30" w:name="_Toc11747407"/>
      <w:bookmarkStart w:id="31" w:name="_Toc11752933"/>
      <w:bookmarkStart w:id="32" w:name="_Toc11760771"/>
      <w:bookmarkStart w:id="33" w:name="_Toc12278963"/>
      <w:r>
        <w:rPr>
          <w:rStyle w:val="CharSchNo"/>
        </w:rPr>
        <w:t>Third Schedule</w:t>
      </w:r>
      <w:r>
        <w:t> — </w:t>
      </w:r>
      <w:r>
        <w:rPr>
          <w:rStyle w:val="CharSchText"/>
        </w:rPr>
        <w:t>Prescribed offences and modified penalties</w:t>
      </w:r>
      <w:bookmarkEnd w:id="30"/>
      <w:bookmarkEnd w:id="31"/>
      <w:bookmarkEnd w:id="32"/>
      <w:bookmarkEnd w:id="33"/>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4" w:name="_Toc11747408"/>
      <w:bookmarkStart w:id="35" w:name="_Toc11752934"/>
      <w:bookmarkStart w:id="36" w:name="_Toc11760772"/>
      <w:bookmarkStart w:id="37" w:name="_Toc12278964"/>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 w:name="_Toc12278965"/>
      <w:r>
        <w:rPr>
          <w:snapToGrid w:val="0"/>
        </w:rPr>
        <w:t>Compilation table</w:t>
      </w:r>
      <w:bookmarkEnd w:id="38"/>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6"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6"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6"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6"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6" w:type="dxa"/>
            <w:gridSpan w:val="3"/>
          </w:tcPr>
          <w:p>
            <w:pPr>
              <w:pStyle w:val="nTable"/>
              <w:spacing w:before="50" w:after="50"/>
            </w:pPr>
            <w:r>
              <w:t>1 Oct 1975</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6"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6"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6"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6"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6"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6"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6" w:type="dxa"/>
            <w:gridSpan w:val="3"/>
          </w:tcPr>
          <w:p>
            <w:pPr>
              <w:pStyle w:val="nTable"/>
              <w:spacing w:before="50" w:after="50"/>
            </w:pPr>
            <w:r>
              <w:t>14 Aug 1992</w:t>
            </w:r>
          </w:p>
        </w:tc>
      </w:tr>
      <w:tr>
        <w:trPr>
          <w:cantSplit/>
        </w:trPr>
        <w:tc>
          <w:tcPr>
            <w:tcW w:w="7159"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6"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6"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6" w:type="dxa"/>
            <w:gridSpan w:val="3"/>
          </w:tcPr>
          <w:p>
            <w:pPr>
              <w:pStyle w:val="nTable"/>
              <w:spacing w:before="50" w:after="50"/>
            </w:pPr>
            <w:r>
              <w:t>22 Sep 2006 (see r. 2(a))</w:t>
            </w:r>
          </w:p>
        </w:tc>
      </w:tr>
      <w:tr>
        <w:trPr>
          <w:cantSplit/>
        </w:trPr>
        <w:tc>
          <w:tcPr>
            <w:tcW w:w="7159"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6"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6"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6"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6"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9"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6"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6"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6"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6"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6"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9"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6" w:type="dxa"/>
            <w:gridSpan w:val="3"/>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6" w:type="dxa"/>
            <w:gridSpan w:val="3"/>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6" w:type="dxa"/>
            <w:gridSpan w:val="3"/>
            <w:tcBorders>
              <w:top w:val="nil"/>
              <w:bottom w:val="nil"/>
            </w:tcBorders>
          </w:tcPr>
          <w:p>
            <w:pPr>
              <w:pStyle w:val="nTable"/>
              <w:spacing w:after="40"/>
            </w:pPr>
            <w:r>
              <w:t>1 Jul 2016 (see r. 2(b))</w:t>
            </w:r>
          </w:p>
        </w:tc>
      </w:tr>
      <w:tr>
        <w:trPr>
          <w:gridAfter w:val="1"/>
          <w:wAfter w:w="40"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40"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80" w:type="dxa"/>
            <w:tcBorders>
              <w:top w:val="nil"/>
              <w:bottom w:val="nil"/>
            </w:tcBorders>
          </w:tcPr>
          <w:p>
            <w:pPr>
              <w:pStyle w:val="nTable"/>
              <w:spacing w:after="40"/>
            </w:pPr>
            <w:r>
              <w:t>2 Oct 2018 p. 3794</w:t>
            </w:r>
            <w:r>
              <w:noBreakHyphen/>
              <w:t>6</w:t>
            </w:r>
          </w:p>
        </w:tc>
        <w:tc>
          <w:tcPr>
            <w:tcW w:w="2697" w:type="dxa"/>
            <w:tcBorders>
              <w:top w:val="nil"/>
              <w:bottom w:val="nil"/>
            </w:tcBorders>
          </w:tcPr>
          <w:p>
            <w:pPr>
              <w:pStyle w:val="nTable"/>
              <w:spacing w:after="40"/>
              <w:rPr>
                <w:bCs/>
                <w:snapToGrid w:val="0"/>
                <w:spacing w:val="-2"/>
              </w:rPr>
            </w:pPr>
            <w:r>
              <w:rPr>
                <w:bCs/>
                <w:snapToGrid w:val="0"/>
                <w:spacing w:val="-2"/>
              </w:rPr>
              <w:t>3 Oct 2018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single" w:sz="4" w:space="0" w:color="auto"/>
            </w:tcBorders>
          </w:tcPr>
          <w:p>
            <w:pPr>
              <w:pStyle w:val="nTable"/>
              <w:spacing w:after="40"/>
              <w:rPr>
                <w:i/>
              </w:rPr>
            </w:pPr>
            <w:r>
              <w:rPr>
                <w:i/>
              </w:rPr>
              <w:t>Debt Collectors Licensing Amendment Regulations 2019</w:t>
            </w:r>
          </w:p>
        </w:tc>
        <w:tc>
          <w:tcPr>
            <w:tcW w:w="1280" w:type="dxa"/>
            <w:tcBorders>
              <w:top w:val="nil"/>
              <w:bottom w:val="single" w:sz="4" w:space="0" w:color="auto"/>
            </w:tcBorders>
          </w:tcPr>
          <w:p>
            <w:pPr>
              <w:pStyle w:val="nTable"/>
              <w:spacing w:after="40"/>
            </w:pPr>
            <w:r>
              <w:t>25 Jun 2019 p. 2191</w:t>
            </w:r>
            <w:r>
              <w:noBreakHyphen/>
              <w:t>2</w:t>
            </w:r>
          </w:p>
        </w:tc>
        <w:tc>
          <w:tcPr>
            <w:tcW w:w="2697" w:type="dxa"/>
            <w:tcBorders>
              <w:top w:val="nil"/>
              <w:bottom w:val="single" w:sz="4" w:space="0" w:color="auto"/>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w:t>
            </w:r>
            <w:r>
              <w:rPr>
                <w:bCs/>
                <w:snapToGrid w:val="0"/>
                <w:spacing w:val="-2"/>
                <w:lang w:val="en-US"/>
              </w:rPr>
              <w:t> Jun 2019</w:t>
            </w:r>
            <w:r>
              <w:rPr>
                <w:bCs/>
                <w:snapToGrid w:val="0"/>
                <w:spacing w:val="-2"/>
              </w:rPr>
              <w:t xml:space="preserve">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11750470"/>
      <w:bookmarkStart w:id="40" w:name="_Toc12278966"/>
      <w:r>
        <w:t>Provisions that have not come into operation</w:t>
      </w:r>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Commerce Regulations Amendment (Fees and Charges) Regulations 2019 </w:t>
            </w:r>
            <w:r>
              <w:t>Pt. 8</w:t>
            </w:r>
            <w:r>
              <w:rPr>
                <w:snapToGrid w:val="0"/>
                <w:vertAlign w:val="superscript"/>
              </w:rPr>
              <w:t> 3</w:t>
            </w:r>
          </w:p>
        </w:tc>
        <w:tc>
          <w:tcPr>
            <w:tcW w:w="1276" w:type="dxa"/>
          </w:tcPr>
          <w:p>
            <w:pPr>
              <w:pStyle w:val="nTable"/>
              <w:keepNext/>
              <w:spacing w:after="40"/>
            </w:pPr>
            <w:r>
              <w:t>18 Jun 2019 p. 2077</w:t>
            </w:r>
            <w:r>
              <w:noBreakHyphen/>
              <w:t>115</w:t>
            </w:r>
          </w:p>
        </w:tc>
        <w:tc>
          <w:tcPr>
            <w:tcW w:w="2693" w:type="dxa"/>
          </w:tcPr>
          <w:p>
            <w:pPr>
              <w:pStyle w:val="nTable"/>
              <w:keepNext/>
              <w:spacing w:after="40"/>
            </w:pPr>
            <w:r>
              <w:t>1 Jul 2019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On the date as at which this compilation was prepared, the </w:t>
      </w:r>
      <w:r>
        <w:rPr>
          <w:i/>
        </w:rPr>
        <w:t xml:space="preserve">Commerce Regulations Amendment (Fees and Charges) Regulations 2019 </w:t>
      </w:r>
      <w:r>
        <w:t>Pt. 8 had not come into operation. It reads as follows:</w:t>
      </w:r>
    </w:p>
    <w:p>
      <w:pPr>
        <w:pStyle w:val="BlankOpen"/>
      </w:pPr>
    </w:p>
    <w:p>
      <w:pPr>
        <w:pStyle w:val="nzHeading2"/>
      </w:pPr>
      <w:r>
        <w:t>Part 8 —</w:t>
      </w:r>
      <w:r>
        <w:rPr>
          <w:rStyle w:val="CharDivText"/>
        </w:rPr>
        <w:t> </w:t>
      </w:r>
      <w:r>
        <w:t>Debt Collectors Licensing Regulations 1964 amended</w:t>
      </w:r>
    </w:p>
    <w:p>
      <w:pPr>
        <w:pStyle w:val="nzHeading5"/>
        <w:rPr>
          <w:snapToGrid w:val="0"/>
        </w:rPr>
      </w:pPr>
      <w:r>
        <w:t>15</w:t>
      </w:r>
      <w:r>
        <w:rPr>
          <w:snapToGrid w:val="0"/>
        </w:rPr>
        <w:t>.</w:t>
      </w:r>
      <w:r>
        <w:rPr>
          <w:snapToGrid w:val="0"/>
        </w:rPr>
        <w:tab/>
        <w:t>Regulations amended</w:t>
      </w:r>
    </w:p>
    <w:p>
      <w:pPr>
        <w:pStyle w:val="nzSubsection"/>
      </w:pPr>
      <w:r>
        <w:tab/>
      </w:r>
      <w:r>
        <w:tab/>
        <w:t xml:space="preserve">This Part amends the </w:t>
      </w:r>
      <w:r>
        <w:rPr>
          <w:i/>
        </w:rPr>
        <w:t>Debt Collectors Licensing Regulations 1964</w:t>
      </w:r>
      <w:r>
        <w:t>.</w:t>
      </w:r>
    </w:p>
    <w:p>
      <w:pPr>
        <w:pStyle w:val="nzHeading5"/>
      </w:pPr>
      <w:r>
        <w:t>16.</w:t>
      </w:r>
      <w:r>
        <w:tab/>
        <w:t>Regulation 4 amended</w:t>
      </w:r>
    </w:p>
    <w:p>
      <w:pPr>
        <w:pStyle w:val="nzSubsection"/>
      </w:pPr>
      <w:r>
        <w:tab/>
      </w:r>
      <w:r>
        <w:tab/>
        <w:t>In regulation 4 in the Table:</w:t>
      </w:r>
    </w:p>
    <w:p>
      <w:pPr>
        <w:pStyle w:val="nzIndenta"/>
      </w:pPr>
      <w:r>
        <w:tab/>
        <w:t>(a)</w:t>
      </w:r>
      <w:r>
        <w:tab/>
        <w:t>in item 2 delete “$343.50” and insert:</w:t>
      </w:r>
    </w:p>
    <w:p>
      <w:pPr>
        <w:pStyle w:val="BlankOpen"/>
      </w:pPr>
    </w:p>
    <w:p>
      <w:pPr>
        <w:pStyle w:val="nzIndenta"/>
      </w:pPr>
      <w:r>
        <w:tab/>
      </w:r>
      <w:r>
        <w:tab/>
        <w:t>$361.00</w:t>
      </w:r>
    </w:p>
    <w:p>
      <w:pPr>
        <w:pStyle w:val="BlankClose"/>
      </w:pPr>
    </w:p>
    <w:p>
      <w:pPr>
        <w:pStyle w:val="nzIndenta"/>
      </w:pPr>
      <w:r>
        <w:tab/>
        <w:t>(b)</w:t>
      </w:r>
      <w:r>
        <w:tab/>
        <w:t>in item 3 delete “$28.00” and insert:</w:t>
      </w:r>
    </w:p>
    <w:p>
      <w:pPr>
        <w:pStyle w:val="BlankOpen"/>
      </w:pPr>
    </w:p>
    <w:p>
      <w:pPr>
        <w:pStyle w:val="nzIndenta"/>
      </w:pPr>
      <w:r>
        <w:tab/>
      </w:r>
      <w:r>
        <w:tab/>
        <w:t>$29.50</w:t>
      </w:r>
    </w:p>
    <w:p>
      <w:pPr>
        <w:pStyle w:val="BlankClose"/>
      </w:pPr>
    </w:p>
    <w:p>
      <w:pPr>
        <w:pStyle w:val="nzIndenta"/>
      </w:pPr>
      <w:r>
        <w:tab/>
        <w:t>(c)</w:t>
      </w:r>
      <w:r>
        <w:tab/>
        <w:t>in item 4 delete “$11.25” and insert:</w:t>
      </w:r>
    </w:p>
    <w:p>
      <w:pPr>
        <w:pStyle w:val="BlankOpen"/>
      </w:pPr>
    </w:p>
    <w:p>
      <w:pPr>
        <w:pStyle w:val="nzIndenta"/>
      </w:pPr>
      <w:r>
        <w:tab/>
      </w:r>
      <w:r>
        <w:tab/>
        <w:t>$11.80</w:t>
      </w:r>
    </w:p>
    <w:p>
      <w:pPr>
        <w:pStyle w:val="BlankClose"/>
      </w:pPr>
    </w:p>
    <w:p>
      <w:pPr>
        <w:rPr>
          <w:sz w:val="2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2" w:name="_Toc11747410"/>
      <w:bookmarkStart w:id="43" w:name="_Toc11752937"/>
      <w:bookmarkStart w:id="44" w:name="_Toc11760775"/>
      <w:bookmarkStart w:id="45" w:name="_Toc12278967"/>
      <w:r>
        <w:rPr>
          <w:sz w:val="28"/>
        </w:rPr>
        <w:t>Defined terms</w:t>
      </w:r>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4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4972</Words>
  <Characters>24366</Characters>
  <Application>Microsoft Office Word</Application>
  <DocSecurity>0</DocSecurity>
  <Lines>870</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1964 - 05-j0-00</dc:title>
  <dc:subject/>
  <dc:creator/>
  <cp:keywords/>
  <dc:description/>
  <cp:lastModifiedBy>svcMRProcess</cp:lastModifiedBy>
  <cp:revision>4</cp:revision>
  <cp:lastPrinted>2019-06-24T06:19:00Z</cp:lastPrinted>
  <dcterms:created xsi:type="dcterms:W3CDTF">2019-06-25T05:19:00Z</dcterms:created>
  <dcterms:modified xsi:type="dcterms:W3CDTF">2019-06-25T05:19:00Z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26 Jun 2019</vt:lpwstr>
  </property>
  <property fmtid="{D5CDD505-2E9C-101B-9397-08002B2CF9AE}" pid="8" name="Suffix">
    <vt:lpwstr>05-j0-00</vt:lpwstr>
  </property>
  <property fmtid="{D5CDD505-2E9C-101B-9397-08002B2CF9AE}" pid="9" name="CommencementDate">
    <vt:lpwstr>20190626</vt:lpwstr>
  </property>
</Properties>
</file>