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_Toc131829654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_Toc131829655 \h </w:instrText>
      </w:r>
      <w:r>
        <w:fldChar w:fldCharType="separate"/>
      </w:r>
      <w:r>
        <w:t>1</w:t>
      </w:r>
      <w:r>
        <w:fldChar w:fldCharType="end"/>
      </w:r>
    </w:p>
    <w:p>
      <w:pPr>
        <w:pStyle w:val="TOC8"/>
        <w:rPr>
          <w:sz w:val="24"/>
          <w:szCs w:val="24"/>
        </w:rPr>
      </w:pPr>
      <w:r>
        <w:rPr>
          <w:szCs w:val="24"/>
        </w:rPr>
        <w:t>2A.</w:t>
      </w:r>
      <w:r>
        <w:rPr>
          <w:szCs w:val="24"/>
        </w:rPr>
        <w:tab/>
        <w:t>Definitions</w:t>
      </w:r>
      <w:r>
        <w:tab/>
      </w:r>
      <w:r>
        <w:fldChar w:fldCharType="begin"/>
      </w:r>
      <w:r>
        <w:instrText xml:space="preserve"> PAGEREF _Toc131829656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Exemption for retirement villages</w:t>
      </w:r>
      <w:r>
        <w:tab/>
      </w:r>
      <w:r>
        <w:fldChar w:fldCharType="begin"/>
      </w:r>
      <w:r>
        <w:instrText xml:space="preserve"> PAGEREF _Toc131829657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 for certain agreements with squatters</w:t>
      </w:r>
      <w:r>
        <w:tab/>
      </w:r>
      <w:r>
        <w:fldChar w:fldCharType="begin"/>
      </w:r>
      <w:r>
        <w:instrText xml:space="preserve"> PAGEREF _Toc131829658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Exemption for certain agreements under the </w:t>
      </w:r>
      <w:r>
        <w:rPr>
          <w:i/>
          <w:snapToGrid w:val="0"/>
          <w:szCs w:val="24"/>
        </w:rPr>
        <w:t>Land Act 1933</w:t>
      </w:r>
      <w:r>
        <w:tab/>
      </w:r>
      <w:r>
        <w:fldChar w:fldCharType="begin"/>
      </w:r>
      <w:r>
        <w:instrText xml:space="preserve"> PAGEREF _Toc131829659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Exemption of Homeswest from sections 29(4)(b) and 33 of the Act</w:t>
      </w:r>
      <w:r>
        <w:tab/>
      </w:r>
      <w:r>
        <w:fldChar w:fldCharType="begin"/>
      </w:r>
      <w:r>
        <w:instrText xml:space="preserve"> PAGEREF _Toc131829660 \h </w:instrText>
      </w:r>
      <w:r>
        <w:fldChar w:fldCharType="separate"/>
      </w:r>
      <w:r>
        <w:t>3</w:t>
      </w:r>
      <w:r>
        <w:fldChar w:fldCharType="end"/>
      </w:r>
    </w:p>
    <w:p>
      <w:pPr>
        <w:pStyle w:val="TOC8"/>
        <w:rPr>
          <w:sz w:val="24"/>
          <w:szCs w:val="24"/>
        </w:rPr>
      </w:pPr>
      <w:r>
        <w:rPr>
          <w:szCs w:val="24"/>
        </w:rPr>
        <w:t>5B</w:t>
      </w:r>
      <w:r>
        <w:rPr>
          <w:snapToGrid w:val="0"/>
          <w:szCs w:val="24"/>
        </w:rPr>
        <w:t>.</w:t>
      </w:r>
      <w:r>
        <w:rPr>
          <w:snapToGrid w:val="0"/>
          <w:szCs w:val="24"/>
        </w:rPr>
        <w:tab/>
        <w:t>Exemptions from section 30(1) of the Act</w:t>
      </w:r>
      <w:r>
        <w:tab/>
      </w:r>
      <w:r>
        <w:fldChar w:fldCharType="begin"/>
      </w:r>
      <w:r>
        <w:instrText xml:space="preserve"> PAGEREF _Toc131829661 \h </w:instrText>
      </w:r>
      <w:r>
        <w:fldChar w:fldCharType="separate"/>
      </w:r>
      <w:r>
        <w:t>4</w:t>
      </w:r>
      <w:r>
        <w:fldChar w:fldCharType="end"/>
      </w:r>
    </w:p>
    <w:p>
      <w:pPr>
        <w:pStyle w:val="TOC8"/>
        <w:rPr>
          <w:sz w:val="24"/>
          <w:szCs w:val="24"/>
        </w:rPr>
      </w:pPr>
      <w:r>
        <w:rPr>
          <w:szCs w:val="24"/>
        </w:rPr>
        <w:t>5C</w:t>
      </w:r>
      <w:r>
        <w:rPr>
          <w:snapToGrid w:val="0"/>
          <w:szCs w:val="24"/>
        </w:rPr>
        <w:t>.</w:t>
      </w:r>
      <w:r>
        <w:rPr>
          <w:snapToGrid w:val="0"/>
          <w:szCs w:val="24"/>
        </w:rPr>
        <w:tab/>
        <w:t>Exemptions for employment</w:t>
      </w:r>
      <w:r>
        <w:rPr>
          <w:snapToGrid w:val="0"/>
          <w:szCs w:val="24"/>
        </w:rPr>
        <w:noBreakHyphen/>
        <w:t>linked tenancy agreements</w:t>
      </w:r>
      <w:r>
        <w:tab/>
      </w:r>
      <w:r>
        <w:fldChar w:fldCharType="begin"/>
      </w:r>
      <w:r>
        <w:instrText xml:space="preserve"> PAGEREF _Toc131829662 \h </w:instrText>
      </w:r>
      <w:r>
        <w:fldChar w:fldCharType="separate"/>
      </w:r>
      <w:r>
        <w:t>6</w:t>
      </w:r>
      <w:r>
        <w:fldChar w:fldCharType="end"/>
      </w:r>
    </w:p>
    <w:p>
      <w:pPr>
        <w:pStyle w:val="TOC8"/>
        <w:rPr>
          <w:sz w:val="24"/>
          <w:szCs w:val="24"/>
        </w:rPr>
      </w:pPr>
      <w:r>
        <w:rPr>
          <w:szCs w:val="24"/>
        </w:rPr>
        <w:t>5D.</w:t>
      </w:r>
      <w:r>
        <w:rPr>
          <w:szCs w:val="24"/>
        </w:rPr>
        <w:tab/>
        <w:t xml:space="preserve">Exemption for certain agreements under the </w:t>
      </w:r>
      <w:r>
        <w:rPr>
          <w:i/>
          <w:szCs w:val="24"/>
        </w:rPr>
        <w:t>Land Administration Act 1997</w:t>
      </w:r>
      <w:r>
        <w:tab/>
      </w:r>
      <w:r>
        <w:fldChar w:fldCharType="begin"/>
      </w:r>
      <w:r>
        <w:instrText xml:space="preserve"> PAGEREF _Toc131829663 \h </w:instrText>
      </w:r>
      <w:r>
        <w:fldChar w:fldCharType="separate"/>
      </w:r>
      <w:r>
        <w:t>6</w:t>
      </w:r>
      <w:r>
        <w:fldChar w:fldCharType="end"/>
      </w:r>
    </w:p>
    <w:p>
      <w:pPr>
        <w:pStyle w:val="TOC8"/>
        <w:rPr>
          <w:sz w:val="24"/>
          <w:szCs w:val="24"/>
        </w:rPr>
      </w:pPr>
      <w:r>
        <w:rPr>
          <w:szCs w:val="24"/>
        </w:rPr>
        <w:t>5E.</w:t>
      </w:r>
      <w:r>
        <w:rPr>
          <w:szCs w:val="24"/>
        </w:rPr>
        <w:tab/>
        <w:t>More notice required to terminate certain tenancies</w:t>
      </w:r>
      <w:r>
        <w:tab/>
      </w:r>
      <w:r>
        <w:fldChar w:fldCharType="begin"/>
      </w:r>
      <w:r>
        <w:instrText xml:space="preserve"> PAGEREF _Toc131829664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Applications prescribed for the purposes of section 13A(2)(a) of the Act</w:t>
      </w:r>
      <w:r>
        <w:tab/>
      </w:r>
      <w:r>
        <w:fldChar w:fldCharType="begin"/>
      </w:r>
      <w:r>
        <w:instrText xml:space="preserve"> PAGEREF _Toc131829665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Determination of nearest Magistrates Court</w:t>
      </w:r>
      <w:r>
        <w:tab/>
      </w:r>
      <w:r>
        <w:fldChar w:fldCharType="begin"/>
      </w:r>
      <w:r>
        <w:instrText xml:space="preserve"> PAGEREF _Toc131829666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Scale of costs for section 24</w:t>
      </w:r>
      <w:r>
        <w:tab/>
      </w:r>
      <w:r>
        <w:fldChar w:fldCharType="begin"/>
      </w:r>
      <w:r>
        <w:instrText xml:space="preserve"> PAGEREF _Toc131829667 \h </w:instrText>
      </w:r>
      <w:r>
        <w:fldChar w:fldCharType="separate"/>
      </w:r>
      <w:r>
        <w:t>9</w:t>
      </w:r>
      <w:r>
        <w:fldChar w:fldCharType="end"/>
      </w:r>
    </w:p>
    <w:p>
      <w:pPr>
        <w:pStyle w:val="TOC8"/>
        <w:rPr>
          <w:sz w:val="24"/>
          <w:szCs w:val="24"/>
        </w:rPr>
      </w:pPr>
      <w:r>
        <w:rPr>
          <w:szCs w:val="24"/>
        </w:rPr>
        <w:t>10A</w:t>
      </w:r>
      <w:r>
        <w:rPr>
          <w:snapToGrid w:val="0"/>
          <w:szCs w:val="24"/>
        </w:rPr>
        <w:t>.</w:t>
      </w:r>
      <w:r>
        <w:rPr>
          <w:snapToGrid w:val="0"/>
          <w:szCs w:val="24"/>
        </w:rPr>
        <w:tab/>
        <w:t>Amount prescribed for section 29(1)(b)(ii)</w:t>
      </w:r>
      <w:r>
        <w:tab/>
      </w:r>
      <w:r>
        <w:fldChar w:fldCharType="begin"/>
      </w:r>
      <w:r>
        <w:instrText xml:space="preserve"> PAGEREF _Toc131829668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Amount prescribed for section 29(2)(a)</w:t>
      </w:r>
      <w:r>
        <w:tab/>
      </w:r>
      <w:r>
        <w:fldChar w:fldCharType="begin"/>
      </w:r>
      <w:r>
        <w:instrText xml:space="preserve"> PAGEREF _Toc131829669 \h </w:instrText>
      </w:r>
      <w:r>
        <w:fldChar w:fldCharType="separate"/>
      </w:r>
      <w:r>
        <w:t>9</w:t>
      </w:r>
      <w:r>
        <w:fldChar w:fldCharType="end"/>
      </w:r>
    </w:p>
    <w:p>
      <w:pPr>
        <w:pStyle w:val="TOC8"/>
        <w:rPr>
          <w:sz w:val="24"/>
          <w:szCs w:val="24"/>
        </w:rPr>
      </w:pPr>
      <w:r>
        <w:rPr>
          <w:szCs w:val="24"/>
        </w:rPr>
        <w:t>11A</w:t>
      </w:r>
      <w:r>
        <w:rPr>
          <w:snapToGrid w:val="0"/>
          <w:szCs w:val="24"/>
        </w:rPr>
        <w:t>.</w:t>
      </w:r>
      <w:r>
        <w:rPr>
          <w:snapToGrid w:val="0"/>
          <w:szCs w:val="24"/>
        </w:rPr>
        <w:tab/>
        <w:t>Period prescribed for section 29(4)(d)</w:t>
      </w:r>
      <w:r>
        <w:tab/>
      </w:r>
      <w:r>
        <w:fldChar w:fldCharType="begin"/>
      </w:r>
      <w:r>
        <w:instrText xml:space="preserve"> PAGEREF _Toc131829670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Information prescribed for section 79(10)</w:t>
      </w:r>
      <w:r>
        <w:tab/>
      </w:r>
      <w:r>
        <w:fldChar w:fldCharType="begin"/>
      </w:r>
      <w:r>
        <w:instrText xml:space="preserve"> PAGEREF _Toc131829671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Letting fees</w:t>
      </w:r>
      <w:r>
        <w:tab/>
      </w:r>
      <w:r>
        <w:fldChar w:fldCharType="begin"/>
      </w:r>
      <w:r>
        <w:instrText xml:space="preserve"> PAGEREF _Toc131829672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to be given by owner to tenant</w:t>
      </w:r>
      <w:r>
        <w:tab/>
      </w:r>
      <w:r>
        <w:fldChar w:fldCharType="begin"/>
      </w:r>
      <w:r>
        <w:instrText xml:space="preserve"> PAGEREF _Toc131829673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Disposal of unclaimed security bonds</w:t>
      </w:r>
      <w:r>
        <w:tab/>
      </w:r>
      <w:r>
        <w:fldChar w:fldCharType="begin"/>
      </w:r>
      <w:r>
        <w:instrText xml:space="preserve"> PAGEREF _Toc131829674 \h </w:instrText>
      </w:r>
      <w:r>
        <w:fldChar w:fldCharType="separate"/>
      </w:r>
      <w:r>
        <w:t>11</w:t>
      </w:r>
      <w:r>
        <w:fldChar w:fldCharType="end"/>
      </w:r>
    </w:p>
    <w:p>
      <w:pPr>
        <w:pStyle w:val="TOC8"/>
        <w:rPr>
          <w:sz w:val="24"/>
          <w:szCs w:val="24"/>
        </w:rPr>
      </w:pPr>
      <w:r>
        <w:rPr>
          <w:szCs w:val="24"/>
        </w:rPr>
        <w:lastRenderedPageBreak/>
        <w:t>16</w:t>
      </w:r>
      <w:r>
        <w:rPr>
          <w:snapToGrid w:val="0"/>
          <w:szCs w:val="24"/>
        </w:rPr>
        <w:t>.</w:t>
      </w:r>
      <w:r>
        <w:rPr>
          <w:snapToGrid w:val="0"/>
          <w:szCs w:val="24"/>
        </w:rPr>
        <w:tab/>
        <w:t>Definition of “authorised financial institution” — prescribed classes</w:t>
      </w:r>
      <w:r>
        <w:tab/>
      </w:r>
      <w:r>
        <w:fldChar w:fldCharType="begin"/>
      </w:r>
      <w:r>
        <w:instrText xml:space="preserve"> PAGEREF _Toc131829675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Fees prescribed</w:t>
      </w:r>
      <w:r>
        <w:tab/>
      </w:r>
      <w:r>
        <w:fldChar w:fldCharType="begin"/>
      </w:r>
      <w:r>
        <w:instrText xml:space="preserve"> PAGEREF _Toc131829676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Forms prescribed</w:t>
      </w:r>
      <w:r>
        <w:tab/>
      </w:r>
      <w:r>
        <w:fldChar w:fldCharType="begin"/>
      </w:r>
      <w:r>
        <w:instrText xml:space="preserve"> PAGEREF _Toc131829677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Matters prescribed for clause 6(1)(b) and (c) of Schedule 1 to the Act</w:t>
      </w:r>
      <w:r>
        <w:tab/>
      </w:r>
      <w:r>
        <w:fldChar w:fldCharType="begin"/>
      </w:r>
      <w:r>
        <w:instrText xml:space="preserve"> PAGEREF _Toc131829678 \h </w:instrText>
      </w:r>
      <w:r>
        <w:fldChar w:fldCharType="separate"/>
      </w:r>
      <w:r>
        <w:t>14</w:t>
      </w:r>
      <w:r>
        <w:fldChar w:fldCharType="end"/>
      </w:r>
    </w:p>
    <w:p>
      <w:pPr>
        <w:pStyle w:val="TOC2"/>
        <w:tabs>
          <w:tab w:val="right" w:pos="7086"/>
        </w:tabs>
        <w:rPr>
          <w:b w:val="0"/>
          <w:sz w:val="24"/>
          <w:szCs w:val="24"/>
        </w:rPr>
      </w:pPr>
      <w:r>
        <w:rPr>
          <w:szCs w:val="28"/>
        </w:rPr>
        <w:t>Schedule 1</w:t>
      </w:r>
    </w:p>
    <w:p>
      <w:pPr>
        <w:pStyle w:val="TOC8"/>
        <w:rPr>
          <w:sz w:val="24"/>
          <w:szCs w:val="24"/>
        </w:rPr>
      </w:pPr>
      <w:r>
        <w:rPr>
          <w:szCs w:val="22"/>
        </w:rPr>
        <w:t>1.</w:t>
      </w:r>
      <w:r>
        <w:rPr>
          <w:szCs w:val="22"/>
        </w:rPr>
        <w:tab/>
        <w:t>Tenancy for a fixed term</w:t>
      </w:r>
      <w:r>
        <w:tab/>
      </w:r>
      <w:r>
        <w:fldChar w:fldCharType="begin"/>
      </w:r>
      <w:r>
        <w:instrText xml:space="preserve"> PAGEREF _Toc131829680 \h </w:instrText>
      </w:r>
      <w:r>
        <w:fldChar w:fldCharType="separate"/>
      </w:r>
      <w:r>
        <w:t>15</w:t>
      </w:r>
      <w:r>
        <w:fldChar w:fldCharType="end"/>
      </w:r>
    </w:p>
    <w:p>
      <w:pPr>
        <w:pStyle w:val="TOC8"/>
        <w:rPr>
          <w:sz w:val="24"/>
          <w:szCs w:val="24"/>
        </w:rPr>
      </w:pPr>
      <w:r>
        <w:rPr>
          <w:szCs w:val="22"/>
        </w:rPr>
        <w:t>2.</w:t>
      </w:r>
      <w:r>
        <w:rPr>
          <w:szCs w:val="22"/>
        </w:rPr>
        <w:tab/>
        <w:t>Tenancy for indefinite term</w:t>
      </w:r>
      <w:r>
        <w:tab/>
      </w:r>
      <w:r>
        <w:fldChar w:fldCharType="begin"/>
      </w:r>
      <w:r>
        <w:instrText xml:space="preserve"> PAGEREF _Toc131829681 \h </w:instrText>
      </w:r>
      <w:r>
        <w:fldChar w:fldCharType="separate"/>
      </w:r>
      <w:r>
        <w:t>15</w:t>
      </w:r>
      <w:r>
        <w:fldChar w:fldCharType="end"/>
      </w:r>
    </w:p>
    <w:p>
      <w:pPr>
        <w:pStyle w:val="TOC8"/>
        <w:rPr>
          <w:sz w:val="24"/>
          <w:szCs w:val="24"/>
        </w:rPr>
      </w:pPr>
      <w:r>
        <w:rPr>
          <w:szCs w:val="22"/>
        </w:rPr>
        <w:t>3.</w:t>
      </w:r>
      <w:r>
        <w:rPr>
          <w:szCs w:val="22"/>
        </w:rPr>
        <w:tab/>
        <w:t>Tenancy for a fixed term or an indefinite term of a building of more than one storey where the whole building is let under one agreement</w:t>
      </w:r>
      <w:r>
        <w:tab/>
      </w:r>
      <w:r>
        <w:fldChar w:fldCharType="begin"/>
      </w:r>
      <w:r>
        <w:instrText xml:space="preserve"> PAGEREF _Toc131829682 \h </w:instrText>
      </w:r>
      <w:r>
        <w:fldChar w:fldCharType="separate"/>
      </w:r>
      <w:r>
        <w:t>15</w:t>
      </w:r>
      <w:r>
        <w:fldChar w:fldCharType="end"/>
      </w:r>
    </w:p>
    <w:p>
      <w:pPr>
        <w:pStyle w:val="TOC2"/>
        <w:tabs>
          <w:tab w:val="right" w:pos="7086"/>
        </w:tabs>
        <w:rPr>
          <w:b w:val="0"/>
          <w:sz w:val="24"/>
          <w:szCs w:val="24"/>
        </w:rPr>
      </w:pPr>
      <w:r>
        <w:rPr>
          <w:szCs w:val="28"/>
        </w:rPr>
        <w:t>Schedule 2</w:t>
      </w:r>
    </w:p>
    <w:p>
      <w:pPr>
        <w:pStyle w:val="TOC8"/>
        <w:rPr>
          <w:sz w:val="24"/>
          <w:szCs w:val="24"/>
        </w:rPr>
      </w:pPr>
      <w:r>
        <w:rPr>
          <w:szCs w:val="22"/>
        </w:rPr>
        <w:t>1.</w:t>
      </w:r>
      <w:r>
        <w:rPr>
          <w:szCs w:val="22"/>
        </w:rPr>
        <w:tab/>
        <w:t>INFORMATION FOR TENANT</w:t>
      </w:r>
      <w:r>
        <w:tab/>
      </w:r>
      <w:r>
        <w:fldChar w:fldCharType="begin"/>
      </w:r>
      <w:r>
        <w:instrText xml:space="preserve"> PAGEREF _Toc131829684 \h </w:instrText>
      </w:r>
      <w:r>
        <w:fldChar w:fldCharType="separate"/>
      </w:r>
      <w:r>
        <w:t>16</w:t>
      </w:r>
      <w:r>
        <w:fldChar w:fldCharType="end"/>
      </w:r>
    </w:p>
    <w:p>
      <w:pPr>
        <w:pStyle w:val="TOC8"/>
        <w:rPr>
          <w:sz w:val="24"/>
          <w:szCs w:val="24"/>
        </w:rPr>
      </w:pPr>
      <w:r>
        <w:rPr>
          <w:szCs w:val="22"/>
        </w:rPr>
        <w:t>2.</w:t>
      </w:r>
      <w:r>
        <w:rPr>
          <w:szCs w:val="22"/>
        </w:rPr>
        <w:tab/>
        <w:t>ADVICE, COMPLAINTS AND DISPUTES</w:t>
      </w:r>
      <w:r>
        <w:tab/>
      </w:r>
      <w:r>
        <w:fldChar w:fldCharType="begin"/>
      </w:r>
      <w:r>
        <w:instrText xml:space="preserve"> PAGEREF _Toc131829685 \h </w:instrText>
      </w:r>
      <w:r>
        <w:fldChar w:fldCharType="separate"/>
      </w:r>
      <w:r>
        <w:t>16</w:t>
      </w:r>
      <w:r>
        <w:fldChar w:fldCharType="end"/>
      </w:r>
    </w:p>
    <w:p>
      <w:pPr>
        <w:pStyle w:val="TOC8"/>
        <w:rPr>
          <w:sz w:val="24"/>
          <w:szCs w:val="24"/>
        </w:rPr>
      </w:pPr>
      <w:r>
        <w:rPr>
          <w:szCs w:val="22"/>
        </w:rPr>
        <w:t>3.</w:t>
      </w:r>
      <w:r>
        <w:rPr>
          <w:szCs w:val="22"/>
        </w:rPr>
        <w:tab/>
        <w:t>AGREEMENTS THAT BY</w:t>
      </w:r>
      <w:r>
        <w:rPr>
          <w:szCs w:val="22"/>
        </w:rPr>
        <w:noBreakHyphen/>
        <w:t>PASS THE ACT</w:t>
      </w:r>
      <w:r>
        <w:tab/>
      </w:r>
      <w:r>
        <w:fldChar w:fldCharType="begin"/>
      </w:r>
      <w:r>
        <w:instrText xml:space="preserve"> PAGEREF _Toc131829686 \h </w:instrText>
      </w:r>
      <w:r>
        <w:fldChar w:fldCharType="separate"/>
      </w:r>
      <w:r>
        <w:t>17</w:t>
      </w:r>
      <w:r>
        <w:fldChar w:fldCharType="end"/>
      </w:r>
    </w:p>
    <w:p>
      <w:pPr>
        <w:pStyle w:val="TOC8"/>
        <w:rPr>
          <w:sz w:val="24"/>
          <w:szCs w:val="24"/>
        </w:rPr>
      </w:pPr>
      <w:r>
        <w:rPr>
          <w:szCs w:val="22"/>
        </w:rPr>
        <w:t>4.</w:t>
      </w:r>
      <w:r>
        <w:rPr>
          <w:szCs w:val="22"/>
        </w:rPr>
        <w:tab/>
        <w:t>INFORMATION TO BE GIVEN</w:t>
      </w:r>
      <w:r>
        <w:tab/>
      </w:r>
      <w:r>
        <w:fldChar w:fldCharType="begin"/>
      </w:r>
      <w:r>
        <w:instrText xml:space="preserve"> PAGEREF _Toc131829687 \h </w:instrText>
      </w:r>
      <w:r>
        <w:fldChar w:fldCharType="separate"/>
      </w:r>
      <w:r>
        <w:t>17</w:t>
      </w:r>
      <w:r>
        <w:fldChar w:fldCharType="end"/>
      </w:r>
    </w:p>
    <w:p>
      <w:pPr>
        <w:pStyle w:val="TOC8"/>
        <w:rPr>
          <w:sz w:val="24"/>
          <w:szCs w:val="24"/>
        </w:rPr>
      </w:pPr>
      <w:r>
        <w:rPr>
          <w:szCs w:val="22"/>
        </w:rPr>
        <w:t>5.</w:t>
      </w:r>
      <w:r>
        <w:rPr>
          <w:szCs w:val="22"/>
        </w:rPr>
        <w:tab/>
        <w:t>USE OF PREMISES</w:t>
      </w:r>
      <w:r>
        <w:tab/>
      </w:r>
      <w:r>
        <w:fldChar w:fldCharType="begin"/>
      </w:r>
      <w:r>
        <w:instrText xml:space="preserve"> PAGEREF _Toc131829688 \h </w:instrText>
      </w:r>
      <w:r>
        <w:fldChar w:fldCharType="separate"/>
      </w:r>
      <w:r>
        <w:t>18</w:t>
      </w:r>
      <w:r>
        <w:fldChar w:fldCharType="end"/>
      </w:r>
    </w:p>
    <w:p>
      <w:pPr>
        <w:pStyle w:val="TOC8"/>
        <w:rPr>
          <w:sz w:val="24"/>
          <w:szCs w:val="24"/>
        </w:rPr>
      </w:pPr>
      <w:r>
        <w:rPr>
          <w:szCs w:val="22"/>
        </w:rPr>
        <w:t>6.</w:t>
      </w:r>
      <w:r>
        <w:rPr>
          <w:szCs w:val="22"/>
        </w:rPr>
        <w:tab/>
        <w:t>CHILDREN</w:t>
      </w:r>
      <w:r>
        <w:tab/>
      </w:r>
      <w:r>
        <w:fldChar w:fldCharType="begin"/>
      </w:r>
      <w:r>
        <w:instrText xml:space="preserve"> PAGEREF _Toc131829689 \h </w:instrText>
      </w:r>
      <w:r>
        <w:fldChar w:fldCharType="separate"/>
      </w:r>
      <w:r>
        <w:t>18</w:t>
      </w:r>
      <w:r>
        <w:fldChar w:fldCharType="end"/>
      </w:r>
    </w:p>
    <w:p>
      <w:pPr>
        <w:pStyle w:val="TOC8"/>
        <w:rPr>
          <w:sz w:val="24"/>
          <w:szCs w:val="24"/>
        </w:rPr>
      </w:pPr>
      <w:r>
        <w:rPr>
          <w:szCs w:val="22"/>
        </w:rPr>
        <w:t>*7.</w:t>
      </w:r>
      <w:r>
        <w:rPr>
          <w:szCs w:val="22"/>
        </w:rPr>
        <w:tab/>
        <w:t>REPAIR AND CLEANLINESS</w:t>
      </w:r>
      <w:r>
        <w:tab/>
      </w:r>
      <w:r>
        <w:fldChar w:fldCharType="begin"/>
      </w:r>
      <w:r>
        <w:instrText xml:space="preserve"> PAGEREF _Toc131829690 \h </w:instrText>
      </w:r>
      <w:r>
        <w:fldChar w:fldCharType="separate"/>
      </w:r>
      <w:r>
        <w:t>19</w:t>
      </w:r>
      <w:r>
        <w:fldChar w:fldCharType="end"/>
      </w:r>
    </w:p>
    <w:p>
      <w:pPr>
        <w:pStyle w:val="TOC8"/>
        <w:rPr>
          <w:sz w:val="24"/>
          <w:szCs w:val="24"/>
        </w:rPr>
      </w:pPr>
      <w:r>
        <w:rPr>
          <w:szCs w:val="22"/>
        </w:rPr>
        <w:t>*8.</w:t>
      </w:r>
      <w:r>
        <w:rPr>
          <w:szCs w:val="22"/>
        </w:rPr>
        <w:tab/>
        <w:t>URGENT REPAIRS BY TENANT</w:t>
      </w:r>
      <w:r>
        <w:tab/>
      </w:r>
      <w:r>
        <w:fldChar w:fldCharType="begin"/>
      </w:r>
      <w:r>
        <w:instrText xml:space="preserve"> PAGEREF _Toc131829691 \h </w:instrText>
      </w:r>
      <w:r>
        <w:fldChar w:fldCharType="separate"/>
      </w:r>
      <w:r>
        <w:t>19</w:t>
      </w:r>
      <w:r>
        <w:fldChar w:fldCharType="end"/>
      </w:r>
    </w:p>
    <w:p>
      <w:pPr>
        <w:pStyle w:val="TOC8"/>
        <w:rPr>
          <w:sz w:val="24"/>
          <w:szCs w:val="24"/>
        </w:rPr>
      </w:pPr>
      <w:r>
        <w:rPr>
          <w:szCs w:val="22"/>
        </w:rPr>
        <w:t>*9.</w:t>
      </w:r>
      <w:r>
        <w:rPr>
          <w:szCs w:val="22"/>
        </w:rPr>
        <w:tab/>
        <w:t>FIXTURES, RENOVATIONS, ALTERATIONS AND ADDITIONS</w:t>
      </w:r>
      <w:r>
        <w:tab/>
      </w:r>
      <w:r>
        <w:fldChar w:fldCharType="begin"/>
      </w:r>
      <w:r>
        <w:instrText xml:space="preserve"> PAGEREF _Toc131829692 \h </w:instrText>
      </w:r>
      <w:r>
        <w:fldChar w:fldCharType="separate"/>
      </w:r>
      <w:r>
        <w:t>20</w:t>
      </w:r>
      <w:r>
        <w:fldChar w:fldCharType="end"/>
      </w:r>
    </w:p>
    <w:p>
      <w:pPr>
        <w:pStyle w:val="TOC8"/>
        <w:rPr>
          <w:sz w:val="24"/>
          <w:szCs w:val="24"/>
        </w:rPr>
      </w:pPr>
      <w:r>
        <w:rPr>
          <w:szCs w:val="22"/>
        </w:rPr>
        <w:t>*10.</w:t>
      </w:r>
      <w:r>
        <w:rPr>
          <w:szCs w:val="22"/>
        </w:rPr>
        <w:tab/>
        <w:t>LOCKS</w:t>
      </w:r>
      <w:r>
        <w:tab/>
      </w:r>
      <w:r>
        <w:fldChar w:fldCharType="begin"/>
      </w:r>
      <w:r>
        <w:instrText xml:space="preserve"> PAGEREF _Toc131829693 \h </w:instrText>
      </w:r>
      <w:r>
        <w:fldChar w:fldCharType="separate"/>
      </w:r>
      <w:r>
        <w:t>21</w:t>
      </w:r>
      <w:r>
        <w:fldChar w:fldCharType="end"/>
      </w:r>
    </w:p>
    <w:p>
      <w:pPr>
        <w:pStyle w:val="TOC8"/>
        <w:rPr>
          <w:sz w:val="24"/>
          <w:szCs w:val="24"/>
        </w:rPr>
      </w:pPr>
      <w:r>
        <w:rPr>
          <w:szCs w:val="22"/>
        </w:rPr>
        <w:t>*11.</w:t>
      </w:r>
      <w:r>
        <w:rPr>
          <w:szCs w:val="22"/>
        </w:rPr>
        <w:tab/>
        <w:t>ENTRY BY OWNER</w:t>
      </w:r>
      <w:r>
        <w:tab/>
      </w:r>
      <w:r>
        <w:fldChar w:fldCharType="begin"/>
      </w:r>
      <w:r>
        <w:instrText xml:space="preserve"> PAGEREF _Toc131829694 \h </w:instrText>
      </w:r>
      <w:r>
        <w:fldChar w:fldCharType="separate"/>
      </w:r>
      <w:r>
        <w:t>21</w:t>
      </w:r>
      <w:r>
        <w:fldChar w:fldCharType="end"/>
      </w:r>
    </w:p>
    <w:p>
      <w:pPr>
        <w:pStyle w:val="TOC8"/>
        <w:rPr>
          <w:sz w:val="24"/>
          <w:szCs w:val="24"/>
        </w:rPr>
      </w:pPr>
      <w:r>
        <w:rPr>
          <w:szCs w:val="22"/>
        </w:rPr>
        <w:t>12.</w:t>
      </w:r>
      <w:r>
        <w:rPr>
          <w:szCs w:val="22"/>
        </w:rPr>
        <w:tab/>
        <w:t>PAYMENTS BY TENANT</w:t>
      </w:r>
      <w:r>
        <w:tab/>
      </w:r>
      <w:r>
        <w:fldChar w:fldCharType="begin"/>
      </w:r>
      <w:r>
        <w:instrText xml:space="preserve"> PAGEREF _Toc131829695 \h </w:instrText>
      </w:r>
      <w:r>
        <w:fldChar w:fldCharType="separate"/>
      </w:r>
      <w:r>
        <w:t>21</w:t>
      </w:r>
      <w:r>
        <w:fldChar w:fldCharType="end"/>
      </w:r>
    </w:p>
    <w:p>
      <w:pPr>
        <w:pStyle w:val="TOC8"/>
        <w:rPr>
          <w:sz w:val="24"/>
          <w:szCs w:val="24"/>
        </w:rPr>
      </w:pPr>
      <w:r>
        <w:rPr>
          <w:szCs w:val="22"/>
        </w:rPr>
        <w:t>13.</w:t>
      </w:r>
      <w:r>
        <w:rPr>
          <w:szCs w:val="22"/>
        </w:rPr>
        <w:tab/>
        <w:t>PAYMENT OF RENT</w:t>
      </w:r>
      <w:r>
        <w:tab/>
      </w:r>
      <w:r>
        <w:fldChar w:fldCharType="begin"/>
      </w:r>
      <w:r>
        <w:instrText xml:space="preserve"> PAGEREF _Toc131829696 \h </w:instrText>
      </w:r>
      <w:r>
        <w:fldChar w:fldCharType="separate"/>
      </w:r>
      <w:r>
        <w:t>22</w:t>
      </w:r>
      <w:r>
        <w:fldChar w:fldCharType="end"/>
      </w:r>
    </w:p>
    <w:p>
      <w:pPr>
        <w:pStyle w:val="TOC8"/>
        <w:rPr>
          <w:sz w:val="24"/>
          <w:szCs w:val="24"/>
        </w:rPr>
      </w:pPr>
      <w:r>
        <w:rPr>
          <w:szCs w:val="22"/>
        </w:rPr>
        <w:t>14.</w:t>
      </w:r>
      <w:r>
        <w:rPr>
          <w:szCs w:val="22"/>
        </w:rPr>
        <w:tab/>
        <w:t>RENT INCREASE</w:t>
      </w:r>
      <w:r>
        <w:tab/>
      </w:r>
      <w:r>
        <w:fldChar w:fldCharType="begin"/>
      </w:r>
      <w:r>
        <w:instrText xml:space="preserve"> PAGEREF _Toc131829697 \h </w:instrText>
      </w:r>
      <w:r>
        <w:fldChar w:fldCharType="separate"/>
      </w:r>
      <w:r>
        <w:t>23</w:t>
      </w:r>
      <w:r>
        <w:fldChar w:fldCharType="end"/>
      </w:r>
    </w:p>
    <w:p>
      <w:pPr>
        <w:pStyle w:val="TOC8"/>
        <w:rPr>
          <w:sz w:val="24"/>
          <w:szCs w:val="24"/>
        </w:rPr>
      </w:pPr>
      <w:r>
        <w:rPr>
          <w:szCs w:val="22"/>
        </w:rPr>
        <w:t>15.</w:t>
      </w:r>
      <w:r>
        <w:rPr>
          <w:szCs w:val="22"/>
        </w:rPr>
        <w:tab/>
        <w:t>SECURITY BOND</w:t>
      </w:r>
      <w:r>
        <w:tab/>
      </w:r>
      <w:r>
        <w:fldChar w:fldCharType="begin"/>
      </w:r>
      <w:r>
        <w:instrText xml:space="preserve"> PAGEREF _Toc131829698 \h </w:instrText>
      </w:r>
      <w:r>
        <w:fldChar w:fldCharType="separate"/>
      </w:r>
      <w:r>
        <w:t>23</w:t>
      </w:r>
      <w:r>
        <w:fldChar w:fldCharType="end"/>
      </w:r>
    </w:p>
    <w:p>
      <w:pPr>
        <w:pStyle w:val="TOC8"/>
        <w:rPr>
          <w:sz w:val="24"/>
          <w:szCs w:val="24"/>
        </w:rPr>
      </w:pPr>
      <w:r>
        <w:rPr>
          <w:szCs w:val="22"/>
        </w:rPr>
        <w:t>*16.</w:t>
      </w:r>
      <w:r>
        <w:rPr>
          <w:szCs w:val="22"/>
        </w:rPr>
        <w:tab/>
        <w:t>ASSIGNMENT AND SUBLETTING</w:t>
      </w:r>
      <w:r>
        <w:tab/>
      </w:r>
      <w:r>
        <w:fldChar w:fldCharType="begin"/>
      </w:r>
      <w:r>
        <w:instrText xml:space="preserve"> PAGEREF _Toc131829699 \h </w:instrText>
      </w:r>
      <w:r>
        <w:fldChar w:fldCharType="separate"/>
      </w:r>
      <w:r>
        <w:t>24</w:t>
      </w:r>
      <w:r>
        <w:fldChar w:fldCharType="end"/>
      </w:r>
    </w:p>
    <w:p>
      <w:pPr>
        <w:pStyle w:val="TOC8"/>
        <w:rPr>
          <w:sz w:val="24"/>
          <w:szCs w:val="24"/>
        </w:rPr>
      </w:pPr>
      <w:r>
        <w:rPr>
          <w:szCs w:val="22"/>
        </w:rPr>
        <w:t>*17.</w:t>
      </w:r>
      <w:r>
        <w:rPr>
          <w:szCs w:val="22"/>
        </w:rPr>
        <w:tab/>
        <w:t>RATES, TAXES AND CHARGES</w:t>
      </w:r>
      <w:r>
        <w:tab/>
      </w:r>
      <w:r>
        <w:fldChar w:fldCharType="begin"/>
      </w:r>
      <w:r>
        <w:instrText xml:space="preserve"> PAGEREF _Toc131829700 \h </w:instrText>
      </w:r>
      <w:r>
        <w:fldChar w:fldCharType="separate"/>
      </w:r>
      <w:r>
        <w:t>25</w:t>
      </w:r>
      <w:r>
        <w:fldChar w:fldCharType="end"/>
      </w:r>
    </w:p>
    <w:p>
      <w:pPr>
        <w:pStyle w:val="TOC8"/>
        <w:rPr>
          <w:sz w:val="24"/>
          <w:szCs w:val="24"/>
        </w:rPr>
      </w:pPr>
      <w:r>
        <w:rPr>
          <w:szCs w:val="22"/>
        </w:rPr>
        <w:t>18.</w:t>
      </w:r>
      <w:r>
        <w:rPr>
          <w:szCs w:val="22"/>
        </w:rPr>
        <w:tab/>
        <w:t>ENDING A TENANCY</w:t>
      </w:r>
      <w:r>
        <w:tab/>
      </w:r>
      <w:r>
        <w:fldChar w:fldCharType="begin"/>
      </w:r>
      <w:r>
        <w:instrText xml:space="preserve"> PAGEREF _Toc131829701 \h </w:instrText>
      </w:r>
      <w:r>
        <w:fldChar w:fldCharType="separate"/>
      </w:r>
      <w:r>
        <w:t>25</w:t>
      </w:r>
      <w:r>
        <w:fldChar w:fldCharType="end"/>
      </w:r>
    </w:p>
    <w:p>
      <w:pPr>
        <w:pStyle w:val="TOC8"/>
        <w:rPr>
          <w:sz w:val="24"/>
          <w:szCs w:val="24"/>
        </w:rPr>
      </w:pPr>
      <w:r>
        <w:rPr>
          <w:szCs w:val="22"/>
        </w:rPr>
        <w:t>19.</w:t>
      </w:r>
      <w:r>
        <w:rPr>
          <w:szCs w:val="22"/>
        </w:rPr>
        <w:tab/>
        <w:t>GIVING OF NOTICES</w:t>
      </w:r>
      <w:r>
        <w:tab/>
      </w:r>
      <w:r>
        <w:fldChar w:fldCharType="begin"/>
      </w:r>
      <w:r>
        <w:instrText xml:space="preserve"> PAGEREF _Toc131829702 \h </w:instrText>
      </w:r>
      <w:r>
        <w:fldChar w:fldCharType="separate"/>
      </w:r>
      <w:r>
        <w:t>28</w:t>
      </w:r>
      <w:r>
        <w:fldChar w:fldCharType="end"/>
      </w:r>
    </w:p>
    <w:p>
      <w:pPr>
        <w:pStyle w:val="TOC2"/>
        <w:tabs>
          <w:tab w:val="right" w:pos="7086"/>
        </w:tabs>
        <w:rPr>
          <w:b w:val="0"/>
          <w:sz w:val="24"/>
          <w:szCs w:val="24"/>
        </w:rPr>
      </w:pPr>
      <w:r>
        <w:rPr>
          <w:szCs w:val="28"/>
        </w:rPr>
        <w:t>Schedule 3</w:t>
      </w:r>
    </w:p>
    <w:p>
      <w:pPr>
        <w:pStyle w:val="TOC2"/>
        <w:tabs>
          <w:tab w:val="right" w:pos="7086"/>
        </w:tabs>
        <w:rPr>
          <w:b w:val="0"/>
          <w:sz w:val="24"/>
          <w:szCs w:val="24"/>
        </w:rPr>
      </w:pPr>
      <w:r>
        <w:rPr>
          <w:szCs w:val="28"/>
        </w:rPr>
        <w:t>Schedule 4</w:t>
      </w:r>
    </w:p>
    <w:p>
      <w:pPr>
        <w:pStyle w:val="TOC6"/>
        <w:tabs>
          <w:tab w:val="right" w:pos="7086"/>
        </w:tabs>
        <w:rPr>
          <w:b w:val="0"/>
          <w:sz w:val="24"/>
          <w:szCs w:val="24"/>
        </w:rPr>
      </w:pPr>
      <w:r>
        <w:rPr>
          <w:szCs w:val="22"/>
        </w:rPr>
        <w:t>FORM 5</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_Toc131829707 \h </w:instrText>
      </w:r>
      <w:r>
        <w:fldChar w:fldCharType="separate"/>
      </w:r>
      <w:r>
        <w:t>46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1" w:name="_Toc444500074"/>
      <w:bookmarkStart w:id="2" w:name="_Toc131829597"/>
      <w:bookmarkStart w:id="3" w:name="_Toc13182965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4" w:name="_Toc444500075"/>
      <w:bookmarkStart w:id="5" w:name="_Toc131829598"/>
      <w:bookmarkStart w:id="6" w:name="_Toc13182965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pPr>
      <w:bookmarkStart w:id="7" w:name="_Toc131829599"/>
      <w:bookmarkStart w:id="8" w:name="_Toc131829656"/>
      <w:bookmarkStart w:id="9" w:name="_Toc444500076"/>
      <w:r>
        <w:rPr>
          <w:rStyle w:val="CharSectno"/>
        </w:rPr>
        <w:t>2A</w:t>
      </w:r>
      <w:r>
        <w:t>.</w:t>
      </w:r>
      <w:r>
        <w:tab/>
        <w:t>Definitions</w:t>
      </w:r>
      <w:bookmarkEnd w:id="7"/>
      <w:bookmarkEnd w:id="8"/>
    </w:p>
    <w:p>
      <w:pPr>
        <w:pStyle w:val="Subsection"/>
      </w:pPr>
      <w:r>
        <w:tab/>
      </w:r>
      <w:r>
        <w:tab/>
        <w:t xml:space="preserve">In these regulations, unless the contrary intention appears — </w:t>
      </w:r>
    </w:p>
    <w:p>
      <w:pPr>
        <w:pStyle w:val="Defstart"/>
      </w:pPr>
      <w:r>
        <w:rPr>
          <w:b/>
        </w:rPr>
        <w:tab/>
        <w:t>“</w:t>
      </w:r>
      <w:r>
        <w:rPr>
          <w:rStyle w:val="CharDefText"/>
        </w:rPr>
        <w:t>park operator</w:t>
      </w:r>
      <w:r>
        <w:rPr>
          <w:b/>
        </w:rPr>
        <w:t>”</w:t>
      </w:r>
      <w:r>
        <w:t>,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t>“</w:t>
      </w:r>
      <w:r>
        <w:rPr>
          <w:rStyle w:val="CharDefText"/>
        </w:rPr>
        <w:t>relocatable home</w:t>
      </w:r>
      <w:r>
        <w:rPr>
          <w:b/>
        </w:rPr>
        <w:t>”</w:t>
      </w:r>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pPr>
      <w:r>
        <w:rPr>
          <w:b/>
        </w:rPr>
        <w:tab/>
        <w:t>“</w:t>
      </w:r>
      <w:r>
        <w:rPr>
          <w:rStyle w:val="CharDefText"/>
        </w:rPr>
        <w:t>residential park</w:t>
      </w:r>
      <w:r>
        <w:rPr>
          <w:b/>
        </w:rPr>
        <w:t>”</w:t>
      </w:r>
      <w:r>
        <w:t xml:space="preserve"> means — </w:t>
      </w:r>
    </w:p>
    <w:p>
      <w:pPr>
        <w:pStyle w:val="Defpara"/>
      </w:pPr>
      <w:r>
        <w:tab/>
        <w:t>(a)</w:t>
      </w:r>
      <w:r>
        <w:tab/>
        <w:t xml:space="preserve">a caravan park that is operated or required to be operated under a licence issued under the </w:t>
      </w:r>
      <w:r>
        <w:rPr>
          <w:i/>
        </w:rPr>
        <w:t>Caravan Parks and Camping Grounds Act 1995</w:t>
      </w:r>
      <w:r>
        <w:t>;</w:t>
      </w:r>
    </w:p>
    <w:p>
      <w:pPr>
        <w:pStyle w:val="Defpara"/>
      </w:pPr>
      <w:r>
        <w:tab/>
        <w:t>(b)</w:t>
      </w:r>
      <w:r>
        <w:tab/>
        <w:t xml:space="preserve">a caravan park operated by a local government under the </w:t>
      </w:r>
      <w:r>
        <w:rPr>
          <w:i/>
        </w:rPr>
        <w:t>Caravan Parks and Camping Grounds Act 1995</w:t>
      </w:r>
      <w:r>
        <w:t>; or</w:t>
      </w:r>
    </w:p>
    <w:p>
      <w:pPr>
        <w:pStyle w:val="Defpara"/>
      </w:pPr>
      <w:r>
        <w:tab/>
        <w:t>(c)</w:t>
      </w:r>
      <w:r>
        <w:tab/>
        <w:t>a caravan park that is operated by a public sector body;</w:t>
      </w:r>
    </w:p>
    <w:p>
      <w:pPr>
        <w:pStyle w:val="Defstart"/>
      </w:pPr>
      <w:r>
        <w:rPr>
          <w:b/>
        </w:rPr>
        <w:tab/>
        <w:t>“</w:t>
      </w:r>
      <w:r>
        <w:rPr>
          <w:rStyle w:val="CharDefText"/>
        </w:rPr>
        <w:t>site</w:t>
      </w:r>
      <w:r>
        <w:rPr>
          <w:b/>
        </w:rPr>
        <w:t>”</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t>“</w:t>
      </w:r>
      <w:r>
        <w:rPr>
          <w:rStyle w:val="CharDefText"/>
        </w:rPr>
        <w:t>site</w:t>
      </w:r>
      <w:r>
        <w:rPr>
          <w:rStyle w:val="CharDefText"/>
        </w:rPr>
        <w:noBreakHyphen/>
        <w:t>only agreement</w:t>
      </w:r>
      <w:r>
        <w:rPr>
          <w:b/>
        </w:rPr>
        <w:t>”</w:t>
      </w:r>
      <w:r>
        <w:t xml:space="preserve"> means a residential tenancy agreement under which a park operator grants to the tenant the rights to occupy a site and to keep on the site a relocatable home that is provided by the tenant.</w:t>
      </w:r>
    </w:p>
    <w:p>
      <w:pPr>
        <w:pStyle w:val="Footnotesection"/>
      </w:pPr>
      <w:r>
        <w:tab/>
        <w:t>[Regulation 2A inserted in Gazette 24 Dec 2004 p. 6149-50.]</w:t>
      </w:r>
    </w:p>
    <w:p>
      <w:pPr>
        <w:pStyle w:val="Heading5"/>
        <w:rPr>
          <w:snapToGrid w:val="0"/>
        </w:rPr>
      </w:pPr>
      <w:bookmarkStart w:id="10" w:name="_Toc131829600"/>
      <w:bookmarkStart w:id="11" w:name="_Toc131829657"/>
      <w:r>
        <w:rPr>
          <w:rStyle w:val="CharSectno"/>
        </w:rPr>
        <w:t>3</w:t>
      </w:r>
      <w:r>
        <w:rPr>
          <w:snapToGrid w:val="0"/>
        </w:rPr>
        <w:t>.</w:t>
      </w:r>
      <w:r>
        <w:rPr>
          <w:snapToGrid w:val="0"/>
        </w:rPr>
        <w:tab/>
        <w:t>Exemption for retirement villages</w:t>
      </w:r>
      <w:bookmarkEnd w:id="9"/>
      <w:bookmarkEnd w:id="10"/>
      <w:bookmarkEnd w:id="11"/>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retirement village</w:t>
      </w:r>
      <w:r>
        <w:rPr>
          <w:b/>
          <w:snapToGrid w:val="0"/>
        </w:rPr>
        <w:t>”</w:t>
      </w:r>
      <w:r>
        <w:rPr>
          <w:snapToGrid w:val="0"/>
        </w:rPr>
        <w:t xml:space="preserve"> has the same meaning as in the </w:t>
      </w:r>
      <w:r>
        <w:rPr>
          <w:i/>
          <w:snapToGrid w:val="0"/>
        </w:rPr>
        <w:t>Retirement Villages Act 1992</w:t>
      </w:r>
      <w:r>
        <w:rPr>
          <w:snapToGrid w:val="0"/>
        </w:rPr>
        <w:t>.</w:t>
      </w:r>
    </w:p>
    <w:p>
      <w:pPr>
        <w:pStyle w:val="Footnotesection"/>
      </w:pPr>
      <w:r>
        <w:tab/>
        <w:t xml:space="preserve">[Regulation 3 amended in Gazette 8 Jan 1993 p. 29.] </w:t>
      </w:r>
    </w:p>
    <w:p>
      <w:pPr>
        <w:pStyle w:val="Heading5"/>
        <w:rPr>
          <w:snapToGrid w:val="0"/>
        </w:rPr>
      </w:pPr>
      <w:bookmarkStart w:id="12" w:name="_Toc444500077"/>
      <w:bookmarkStart w:id="13" w:name="_Toc131829601"/>
      <w:bookmarkStart w:id="14" w:name="_Toc131829658"/>
      <w:r>
        <w:rPr>
          <w:rStyle w:val="CharSectno"/>
        </w:rPr>
        <w:t>4</w:t>
      </w:r>
      <w:r>
        <w:rPr>
          <w:snapToGrid w:val="0"/>
        </w:rPr>
        <w:t>.</w:t>
      </w:r>
      <w:r>
        <w:rPr>
          <w:snapToGrid w:val="0"/>
        </w:rPr>
        <w:tab/>
        <w:t>Exemption for certain agreements with squatters</w:t>
      </w:r>
      <w:bookmarkEnd w:id="12"/>
      <w:bookmarkEnd w:id="13"/>
      <w:bookmarkEnd w:id="14"/>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pPr>
      <w:r>
        <w:tab/>
        <w:t xml:space="preserve">[Regulation 4 amended in Gazette 12 Feb 1993 p. 1214; 19 Feb 1999 p. 553.] </w:t>
      </w:r>
    </w:p>
    <w:p>
      <w:pPr>
        <w:pStyle w:val="Heading5"/>
        <w:rPr>
          <w:snapToGrid w:val="0"/>
        </w:rPr>
      </w:pPr>
      <w:bookmarkStart w:id="15" w:name="_Toc444500078"/>
      <w:bookmarkStart w:id="16" w:name="_Toc131829602"/>
      <w:bookmarkStart w:id="17" w:name="_Toc131829659"/>
      <w:r>
        <w:rPr>
          <w:rStyle w:val="CharSectno"/>
        </w:rPr>
        <w:t>5</w:t>
      </w:r>
      <w:r>
        <w:rPr>
          <w:snapToGrid w:val="0"/>
        </w:rPr>
        <w:t>.</w:t>
      </w:r>
      <w:r>
        <w:rPr>
          <w:snapToGrid w:val="0"/>
        </w:rPr>
        <w:tab/>
        <w:t xml:space="preserve">Exemption for certain agreements under the </w:t>
      </w:r>
      <w:r>
        <w:rPr>
          <w:i/>
          <w:snapToGrid w:val="0"/>
        </w:rPr>
        <w:t>Land Act 1933</w:t>
      </w:r>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specified power</w:t>
      </w:r>
      <w:r>
        <w:rPr>
          <w:b/>
          <w:snapToGrid w:val="0"/>
        </w:rPr>
        <w:t>”</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rPr>
          <w:snapToGrid w:val="0"/>
        </w:rPr>
      </w:pPr>
      <w:bookmarkStart w:id="18" w:name="_Toc444500079"/>
      <w:bookmarkStart w:id="19" w:name="_Toc131829603"/>
      <w:bookmarkStart w:id="20" w:name="_Toc131829660"/>
      <w:r>
        <w:rPr>
          <w:rStyle w:val="CharSectno"/>
        </w:rPr>
        <w:t>5A</w:t>
      </w:r>
      <w:r>
        <w:rPr>
          <w:snapToGrid w:val="0"/>
        </w:rPr>
        <w:t>.</w:t>
      </w:r>
      <w:r>
        <w:rPr>
          <w:snapToGrid w:val="0"/>
        </w:rPr>
        <w:tab/>
        <w:t>Exemption of Homeswest from sections 29(4)(b) and 33 of the Act</w:t>
      </w:r>
      <w:bookmarkEnd w:id="18"/>
      <w:bookmarkEnd w:id="19"/>
      <w:bookmarkEnd w:id="20"/>
      <w:r>
        <w:rPr>
          <w:snapToGrid w:val="0"/>
        </w:rPr>
        <w:t xml:space="preserve"> </w:t>
      </w:r>
    </w:p>
    <w:p>
      <w:pPr>
        <w:pStyle w:val="Subsection"/>
        <w:rPr>
          <w:snapToGrid w:val="0"/>
        </w:rPr>
      </w:pPr>
      <w:r>
        <w:rPr>
          <w:snapToGrid w:val="0"/>
        </w:rPr>
        <w:tab/>
        <w:t>(1)</w:t>
      </w:r>
      <w:r>
        <w:rPr>
          <w:snapToGrid w:val="0"/>
        </w:rPr>
        <w:tab/>
        <w:t>The State Housing Commission (“Homeswest”) is prescribed under section 6(c) of the Act as an agency to which sections 29(4)(b) and 33 of the Act shall not apply.</w:t>
      </w:r>
    </w:p>
    <w:p>
      <w:pPr>
        <w:pStyle w:val="Subsection"/>
        <w:rPr>
          <w:snapToGrid w:val="0"/>
        </w:rPr>
      </w:pPr>
      <w:r>
        <w:rPr>
          <w:snapToGrid w:val="0"/>
        </w:rPr>
        <w:tab/>
        <w:t>(2)</w:t>
      </w:r>
      <w:r>
        <w:rPr>
          <w:snapToGrid w:val="0"/>
        </w:rPr>
        <w:tab/>
        <w:t>Where a residential tenancy agreement is entered into by The State Housing Commission (“Homeswest”) 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t>The State Housing Commission (“Homeswest”) is prescribed as an agency under section 6(c) of the Act,</w:t>
      </w:r>
    </w:p>
    <w:p>
      <w:pPr>
        <w:pStyle w:val="Subsection"/>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 xml:space="preserve">2.] </w:t>
      </w:r>
    </w:p>
    <w:p>
      <w:pPr>
        <w:pStyle w:val="Heading5"/>
        <w:rPr>
          <w:snapToGrid w:val="0"/>
        </w:rPr>
      </w:pPr>
      <w:bookmarkStart w:id="21" w:name="_Toc444500080"/>
      <w:bookmarkStart w:id="22" w:name="_Toc131829604"/>
      <w:bookmarkStart w:id="23" w:name="_Toc131829661"/>
      <w:r>
        <w:rPr>
          <w:rStyle w:val="CharSectno"/>
        </w:rPr>
        <w:t>5B</w:t>
      </w:r>
      <w:r>
        <w:rPr>
          <w:snapToGrid w:val="0"/>
        </w:rPr>
        <w:t>.</w:t>
      </w:r>
      <w:r>
        <w:rPr>
          <w:snapToGrid w:val="0"/>
        </w:rPr>
        <w:tab/>
        <w:t>Exemptions from section 30(1) of the Act</w:t>
      </w:r>
      <w:bookmarkEnd w:id="21"/>
      <w:bookmarkEnd w:id="22"/>
      <w:bookmarkEnd w:id="23"/>
      <w:r>
        <w:rPr>
          <w:snapToGrid w:val="0"/>
        </w:rPr>
        <w:t xml:space="preserve"> </w:t>
      </w:r>
    </w:p>
    <w:p>
      <w:pPr>
        <w:pStyle w:val="Subsection"/>
        <w:rPr>
          <w:snapToGrid w:val="0"/>
        </w:rPr>
      </w:pPr>
      <w:r>
        <w:rPr>
          <w:snapToGrid w:val="0"/>
        </w:rPr>
        <w:tab/>
        <w:t>(1)</w:t>
      </w:r>
      <w:r>
        <w:rPr>
          <w:snapToGrid w:val="0"/>
        </w:rPr>
        <w:tab/>
        <w:t>A 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6422" w:type="dxa"/>
          </w:tcPr>
          <w:p>
            <w:pPr>
              <w:pStyle w:val="Table"/>
              <w:rPr>
                <w:snapToGrid w:val="0"/>
              </w:rPr>
            </w:pPr>
            <w:r>
              <w:t>The Electricity Generation Corporation</w:t>
            </w:r>
          </w:p>
        </w:tc>
      </w:tr>
      <w:tr>
        <w:tc>
          <w:tcPr>
            <w:tcW w:w="6422" w:type="dxa"/>
          </w:tcPr>
          <w:p>
            <w:pPr>
              <w:pStyle w:val="zTablet"/>
              <w:rPr>
                <w:snapToGrid w:val="0"/>
              </w:rPr>
            </w:pPr>
            <w:r>
              <w:t>The Electricity Networks Corporation</w:t>
            </w:r>
          </w:p>
        </w:tc>
      </w:tr>
      <w:tr>
        <w:tc>
          <w:tcPr>
            <w:tcW w:w="6422" w:type="dxa"/>
          </w:tcPr>
          <w:p>
            <w:pPr>
              <w:pStyle w:val="Table"/>
              <w:rPr>
                <w:snapToGrid w:val="0"/>
              </w:rPr>
            </w:pPr>
            <w:r>
              <w:t>The Electricity Retail Corporation</w:t>
            </w:r>
          </w:p>
        </w:tc>
      </w:tr>
      <w:tr>
        <w:tc>
          <w:tcPr>
            <w:tcW w:w="6422" w:type="dxa"/>
          </w:tcPr>
          <w:p>
            <w:pPr>
              <w:pStyle w:val="zTablet"/>
            </w:pPr>
            <w:r>
              <w:t>The Regional Power Corporation</w:t>
            </w:r>
          </w:p>
        </w:tc>
      </w:tr>
      <w:tr>
        <w:tc>
          <w:tcPr>
            <w:tcW w:w="6422" w:type="dxa"/>
          </w:tcPr>
          <w:p>
            <w:pPr>
              <w:pStyle w:val="Table"/>
              <w:rPr>
                <w:snapToGrid w:val="0"/>
              </w:rPr>
            </w:pPr>
            <w:r>
              <w:rPr>
                <w:snapToGrid w:val="0"/>
              </w:rPr>
              <w:t xml:space="preserve">The Western Australian Government Railways Commission </w:t>
            </w:r>
            <w:r>
              <w:rPr>
                <w:snapToGrid w:val="0"/>
                <w:vertAlign w:val="superscript"/>
              </w:rPr>
              <w:t>4</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rPr>
                <w:snapToGrid w:val="0"/>
              </w:rPr>
            </w:pPr>
            <w:r>
              <w:rPr>
                <w:snapToGrid w:val="0"/>
              </w:rPr>
              <w:t>“Butler’s Cottage”, Government House, 7</w:t>
            </w:r>
            <w:r>
              <w:rPr>
                <w:snapToGrid w:val="0"/>
              </w:rPr>
              <w:noBreakHyphen/>
              <w:t>21 St. George’s Terrace, Perth</w:t>
            </w:r>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Agriculture Protection Board of Western Australia </w:t>
            </w:r>
          </w:p>
        </w:tc>
      </w:tr>
      <w:tr>
        <w:tc>
          <w:tcPr>
            <w:tcW w:w="7312" w:type="dxa"/>
          </w:tcPr>
          <w:p>
            <w:pPr>
              <w:pStyle w:val="Table"/>
              <w:rPr>
                <w:snapToGrid w:val="0"/>
              </w:rPr>
            </w:pPr>
            <w:r>
              <w:rPr>
                <w:snapToGrid w:val="0"/>
              </w:rPr>
              <w:t>The Government Employees’ Housing Authority (G.E.H.A.)</w:t>
            </w:r>
          </w:p>
        </w:tc>
      </w:tr>
      <w:tr>
        <w:tc>
          <w:tcPr>
            <w:tcW w:w="7312" w:type="dxa"/>
          </w:tcPr>
          <w:p>
            <w:pPr>
              <w:pStyle w:val="Table"/>
              <w:rPr>
                <w:snapToGrid w:val="0"/>
              </w:rPr>
            </w:pPr>
            <w:r>
              <w:rPr>
                <w:snapToGrid w:val="0"/>
              </w:rPr>
              <w:t>The King’s Park Board</w:t>
            </w:r>
          </w:p>
        </w:tc>
      </w:tr>
      <w:tr>
        <w:tc>
          <w:tcPr>
            <w:tcW w:w="7312" w:type="dxa"/>
          </w:tcPr>
          <w:p>
            <w:pPr>
              <w:pStyle w:val="Table"/>
              <w:rPr>
                <w:snapToGrid w:val="0"/>
              </w:rPr>
            </w:pPr>
            <w:r>
              <w:rPr>
                <w:snapToGrid w:val="0"/>
              </w:rPr>
              <w:t>The State Housing Commission (“Homeswest”)</w:t>
            </w:r>
          </w:p>
        </w:tc>
      </w:tr>
      <w:tr>
        <w:tc>
          <w:tcPr>
            <w:tcW w:w="7312" w:type="dxa"/>
          </w:tcPr>
          <w:p>
            <w:pPr>
              <w:pStyle w:val="Table"/>
              <w:rPr>
                <w:snapToGrid w:val="0"/>
              </w:rPr>
            </w:pPr>
            <w:r>
              <w:rPr>
                <w:snapToGrid w:val="0"/>
              </w:rPr>
              <w:t>The Western Australian Department of Agriculture</w:t>
            </w:r>
          </w:p>
        </w:tc>
      </w:tr>
      <w:tr>
        <w:tc>
          <w:tcPr>
            <w:tcW w:w="7312" w:type="dxa"/>
          </w:tcPr>
          <w:p>
            <w:pPr>
              <w:pStyle w:val="Table"/>
              <w:rPr>
                <w:snapToGrid w:val="0"/>
              </w:rPr>
            </w:pPr>
            <w:r>
              <w:rPr>
                <w:snapToGrid w:val="0"/>
              </w:rPr>
              <w:t xml:space="preserve">The Western Australian Main Roads Department </w:t>
            </w:r>
            <w:r>
              <w:rPr>
                <w:snapToGrid w:val="0"/>
                <w:vertAlign w:val="superscript"/>
              </w:rPr>
              <w:t>5</w:t>
            </w:r>
          </w:p>
        </w:tc>
      </w:tr>
      <w:tr>
        <w:tc>
          <w:tcPr>
            <w:tcW w:w="7312" w:type="dxa"/>
          </w:tcPr>
          <w:p>
            <w:pPr>
              <w:pStyle w:val="Table"/>
              <w:rPr>
                <w:snapToGrid w:val="0"/>
              </w:rPr>
            </w:pPr>
            <w:r>
              <w:rPr>
                <w:snapToGrid w:val="0"/>
              </w:rPr>
              <w:t xml:space="preserve">The Western Australian Meat Commission </w:t>
            </w:r>
            <w:r>
              <w:rPr>
                <w:snapToGrid w:val="0"/>
                <w:vertAlign w:val="superscript"/>
              </w:rPr>
              <w:t>6</w:t>
            </w:r>
          </w:p>
        </w:tc>
      </w:tr>
      <w:tr>
        <w:tc>
          <w:tcPr>
            <w:tcW w:w="7312" w:type="dxa"/>
          </w:tcPr>
          <w:p>
            <w:pPr>
              <w:pStyle w:val="Table"/>
              <w:rPr>
                <w:snapToGrid w:val="0"/>
              </w:rPr>
            </w:pPr>
            <w:r>
              <w:rPr>
                <w:snapToGrid w:val="0"/>
              </w:rPr>
              <w:t xml:space="preserve">The Western Australian Ministry of Sport and Recreation </w:t>
            </w:r>
            <w:r>
              <w:rPr>
                <w:snapToGrid w:val="0"/>
                <w:vertAlign w:val="superscript"/>
              </w:rPr>
              <w:t>7</w:t>
            </w:r>
          </w:p>
        </w:tc>
      </w:tr>
    </w:tbl>
    <w:p>
      <w:pPr>
        <w:pStyle w:val="Subsection"/>
        <w:rPr>
          <w:snapToGrid w:val="0"/>
        </w:rPr>
      </w:pPr>
      <w:r>
        <w:rPr>
          <w:snapToGrid w:val="0"/>
        </w:rPr>
        <w:tab/>
        <w:t>(4)</w:t>
      </w:r>
      <w:r>
        <w:rPr>
          <w:snapToGrid w:val="0"/>
        </w:rPr>
        <w:tab/>
        <w:t>A residential tenancy agreement — </w:t>
      </w:r>
    </w:p>
    <w:p>
      <w:pPr>
        <w:pStyle w:val="Indenta"/>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Health Department of Western Australia </w:t>
            </w:r>
            <w:r>
              <w:rPr>
                <w:snapToGrid w:val="0"/>
                <w:vertAlign w:val="superscript"/>
              </w:rPr>
              <w:t>8</w:t>
            </w:r>
          </w:p>
        </w:tc>
      </w:tr>
    </w:tbl>
    <w:p>
      <w:pPr>
        <w:pStyle w:val="Footnotesection"/>
      </w:pPr>
      <w:r>
        <w:tab/>
        <w:t>[Regulation 5B inserted in Gazette 6 Apr 1990 p. 1701; Erratum in Gazette 12 Apr 1990 p. 1907; amended in Gazette 14 Jun 1991 p. 2872</w:t>
      </w:r>
      <w:r>
        <w:noBreakHyphen/>
        <w:t xml:space="preserve">3; 13 Dec 1991 p. 6153; 31 Mar 2006 p. 1352.] </w:t>
      </w:r>
    </w:p>
    <w:p>
      <w:pPr>
        <w:pStyle w:val="Heading5"/>
        <w:rPr>
          <w:snapToGrid w:val="0"/>
        </w:rPr>
      </w:pPr>
      <w:bookmarkStart w:id="24" w:name="_Toc444500081"/>
      <w:bookmarkStart w:id="25" w:name="_Toc131829605"/>
      <w:bookmarkStart w:id="26" w:name="_Toc131829662"/>
      <w:r>
        <w:rPr>
          <w:rStyle w:val="CharSectno"/>
        </w:rPr>
        <w:t>5C</w:t>
      </w:r>
      <w:r>
        <w:rPr>
          <w:snapToGrid w:val="0"/>
        </w:rPr>
        <w:t>.</w:t>
      </w:r>
      <w:r>
        <w:rPr>
          <w:snapToGrid w:val="0"/>
        </w:rPr>
        <w:tab/>
        <w:t>Exemptions for employment</w:t>
      </w:r>
      <w:r>
        <w:rPr>
          <w:snapToGrid w:val="0"/>
        </w:rPr>
        <w:noBreakHyphen/>
        <w:t>linked tenancy agreements</w:t>
      </w:r>
      <w:bookmarkEnd w:id="24"/>
      <w:bookmarkEnd w:id="25"/>
      <w:bookmarkEnd w:id="26"/>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w:t>
      </w:r>
      <w:bookmarkStart w:id="27" w:name="UpToHere"/>
      <w:bookmarkEnd w:id="27"/>
      <w:r>
        <w:rPr>
          <w:snapToGrid w:val="0"/>
        </w:rPr>
        <w:t>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28" w:name="_Toc444500082"/>
      <w:bookmarkStart w:id="29" w:name="_Toc131829606"/>
      <w:bookmarkStart w:id="30" w:name="_Toc131829663"/>
      <w:r>
        <w:rPr>
          <w:rStyle w:val="CharSectno"/>
        </w:rPr>
        <w:t>5D</w:t>
      </w:r>
      <w:r>
        <w:t>.</w:t>
      </w:r>
      <w:r>
        <w:tab/>
        <w:t xml:space="preserve">Exemption for certain agreements under the </w:t>
      </w:r>
      <w:r>
        <w:rPr>
          <w:i/>
        </w:rPr>
        <w:t>Land Administration Act 1997</w:t>
      </w:r>
      <w:bookmarkEnd w:id="28"/>
      <w:bookmarkEnd w:id="29"/>
      <w:bookmarkEnd w:id="30"/>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t>“</w:t>
      </w:r>
      <w:r>
        <w:rPr>
          <w:rStyle w:val="CharDefText"/>
        </w:rPr>
        <w:t>specified power</w:t>
      </w:r>
      <w:r>
        <w:rPr>
          <w:b/>
        </w:rPr>
        <w:t>”</w:t>
      </w:r>
      <w:r>
        <w:t xml:space="preserve"> means the power to grant or issue a lease or licence under section 47, 48, 79, 80, 85, or under Part 7, of the </w:t>
      </w:r>
      <w:r>
        <w:rPr>
          <w:i/>
        </w:rPr>
        <w:t>Land Administration Act 1997</w:t>
      </w:r>
      <w:r>
        <w:t>.</w:t>
      </w:r>
    </w:p>
    <w:p>
      <w:pPr>
        <w:pStyle w:val="Footnotesection"/>
      </w:pPr>
      <w:r>
        <w:tab/>
        <w:t>[Regulation 5D inserted in Gazette 19 Feb 1999 p. 554.]</w:t>
      </w:r>
    </w:p>
    <w:p>
      <w:pPr>
        <w:pStyle w:val="Heading5"/>
      </w:pPr>
      <w:bookmarkStart w:id="31" w:name="_Toc131829607"/>
      <w:bookmarkStart w:id="32" w:name="_Toc131829664"/>
      <w:bookmarkStart w:id="33" w:name="_Toc444500083"/>
      <w:r>
        <w:rPr>
          <w:rStyle w:val="CharSectno"/>
        </w:rPr>
        <w:t>5E</w:t>
      </w:r>
      <w:r>
        <w:t>.</w:t>
      </w:r>
      <w:r>
        <w:tab/>
        <w:t>More notice required to terminate certain tenancies</w:t>
      </w:r>
      <w:bookmarkEnd w:id="31"/>
      <w:bookmarkEnd w:id="32"/>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 5E inserted in Gazette 24 Dec 2004 p. 6150-1.]</w:t>
      </w:r>
    </w:p>
    <w:p>
      <w:pPr>
        <w:pStyle w:val="Ednotesection"/>
      </w:pPr>
      <w:bookmarkStart w:id="34" w:name="_Toc444500084"/>
      <w:bookmarkEnd w:id="33"/>
      <w:r>
        <w:t>[</w:t>
      </w:r>
      <w:r>
        <w:rPr>
          <w:b/>
        </w:rPr>
        <w:t>6.</w:t>
      </w:r>
      <w:r>
        <w:tab/>
        <w:t>Repealed in Gazette 29 Apr 2005 p. 1772.]</w:t>
      </w:r>
    </w:p>
    <w:p>
      <w:pPr>
        <w:pStyle w:val="Heading5"/>
        <w:rPr>
          <w:snapToGrid w:val="0"/>
        </w:rPr>
      </w:pPr>
      <w:bookmarkStart w:id="35" w:name="_Toc131829608"/>
      <w:bookmarkStart w:id="36" w:name="_Toc131829665"/>
      <w:r>
        <w:rPr>
          <w:rStyle w:val="CharSectno"/>
        </w:rPr>
        <w:t>7</w:t>
      </w:r>
      <w:r>
        <w:rPr>
          <w:snapToGrid w:val="0"/>
        </w:rPr>
        <w:t>.</w:t>
      </w:r>
      <w:r>
        <w:rPr>
          <w:snapToGrid w:val="0"/>
        </w:rPr>
        <w:tab/>
      </w:r>
      <w:bookmarkEnd w:id="34"/>
      <w:r>
        <w:rPr>
          <w:snapToGrid w:val="0"/>
        </w:rPr>
        <w:t>Applications prescribed for the purposes of section 13A(2)(a) of the Act</w:t>
      </w:r>
      <w:bookmarkEnd w:id="35"/>
      <w:bookmarkEnd w:id="36"/>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repealed]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Ednotesubsection"/>
      </w:pPr>
      <w:r>
        <w:tab/>
        <w:t>[(5)</w:t>
      </w:r>
      <w:r>
        <w:tab/>
        <w:t xml:space="preserve">repealed] </w:t>
      </w:r>
    </w:p>
    <w:p>
      <w:pPr>
        <w:pStyle w:val="Footnotesection"/>
      </w:pPr>
      <w:r>
        <w:tab/>
        <w:t xml:space="preserve">[Regulation 7 amended in Gazette 16 Jun 1995 p. 2318; 29 Apr 2005 p. 1772-3.] </w:t>
      </w:r>
    </w:p>
    <w:p>
      <w:pPr>
        <w:pStyle w:val="Ednotesection"/>
      </w:pPr>
      <w:bookmarkStart w:id="37" w:name="_Toc444500086"/>
      <w:r>
        <w:t>[</w:t>
      </w:r>
      <w:r>
        <w:rPr>
          <w:b/>
        </w:rPr>
        <w:t>8.</w:t>
      </w:r>
      <w:r>
        <w:tab/>
        <w:t>Repealed in Gazette 29 Apr 2005 p. 1773.]</w:t>
      </w:r>
    </w:p>
    <w:p>
      <w:pPr>
        <w:pStyle w:val="Heading5"/>
        <w:rPr>
          <w:snapToGrid w:val="0"/>
        </w:rPr>
      </w:pPr>
      <w:bookmarkStart w:id="38" w:name="_Toc131829609"/>
      <w:bookmarkStart w:id="39" w:name="_Toc131829666"/>
      <w:r>
        <w:rPr>
          <w:rStyle w:val="CharSectno"/>
        </w:rPr>
        <w:t>9</w:t>
      </w:r>
      <w:r>
        <w:rPr>
          <w:snapToGrid w:val="0"/>
        </w:rPr>
        <w:t>.</w:t>
      </w:r>
      <w:r>
        <w:rPr>
          <w:snapToGrid w:val="0"/>
        </w:rPr>
        <w:tab/>
        <w:t xml:space="preserve">Determination of nearest </w:t>
      </w:r>
      <w:bookmarkEnd w:id="37"/>
      <w:r>
        <w:rPr>
          <w:snapToGrid w:val="0"/>
        </w:rPr>
        <w:t>Magistrates Court</w:t>
      </w:r>
      <w:bookmarkEnd w:id="38"/>
      <w:bookmarkEnd w:id="39"/>
    </w:p>
    <w:p>
      <w:pPr>
        <w:pStyle w:val="Subsection"/>
        <w:rPr>
          <w:snapToGrid w:val="0"/>
        </w:rPr>
      </w:pPr>
      <w:r>
        <w:rPr>
          <w:snapToGrid w:val="0"/>
        </w:rPr>
        <w:tab/>
      </w:r>
      <w:r>
        <w:rPr>
          <w:snapToGrid w:val="0"/>
        </w:rPr>
        <w:tab/>
        <w:t>For the purposes of section 13A (3) of the Act, the distance of the court from any premises is the distance by the most direct route using roads open to the public.</w:t>
      </w:r>
    </w:p>
    <w:p>
      <w:pPr>
        <w:pStyle w:val="Footnotesection"/>
      </w:pPr>
      <w:bookmarkStart w:id="40" w:name="_Toc444500087"/>
      <w:r>
        <w:tab/>
        <w:t>[Regulation 9 amended in Gazette 29 Apr 2005 p. 1773.]</w:t>
      </w:r>
    </w:p>
    <w:p>
      <w:pPr>
        <w:pStyle w:val="Heading5"/>
        <w:rPr>
          <w:snapToGrid w:val="0"/>
        </w:rPr>
      </w:pPr>
      <w:bookmarkStart w:id="41" w:name="_Toc131829610"/>
      <w:bookmarkStart w:id="42" w:name="_Toc131829667"/>
      <w:r>
        <w:rPr>
          <w:rStyle w:val="CharSectno"/>
        </w:rPr>
        <w:t>10</w:t>
      </w:r>
      <w:r>
        <w:rPr>
          <w:snapToGrid w:val="0"/>
        </w:rPr>
        <w:t>.</w:t>
      </w:r>
      <w:r>
        <w:rPr>
          <w:snapToGrid w:val="0"/>
        </w:rPr>
        <w:tab/>
        <w:t>Scale of costs for section 24</w:t>
      </w:r>
      <w:bookmarkEnd w:id="40"/>
      <w:bookmarkEnd w:id="41"/>
      <w:bookmarkEnd w:id="42"/>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 10 amended in Gazette 19 Apr 2005 p. 1298; 29 Apr 2005 p. 1773.]</w:t>
      </w:r>
    </w:p>
    <w:p>
      <w:pPr>
        <w:pStyle w:val="Heading5"/>
        <w:rPr>
          <w:snapToGrid w:val="0"/>
        </w:rPr>
      </w:pPr>
      <w:bookmarkStart w:id="43" w:name="_Toc444500088"/>
      <w:bookmarkStart w:id="44" w:name="_Toc131829611"/>
      <w:bookmarkStart w:id="45" w:name="_Toc131829668"/>
      <w:r>
        <w:rPr>
          <w:rStyle w:val="CharSectno"/>
        </w:rPr>
        <w:t>10A</w:t>
      </w:r>
      <w:r>
        <w:rPr>
          <w:snapToGrid w:val="0"/>
        </w:rPr>
        <w:t>.</w:t>
      </w:r>
      <w:r>
        <w:rPr>
          <w:snapToGrid w:val="0"/>
        </w:rPr>
        <w:tab/>
        <w:t>Amount prescribed for section 29(1)(b)(ii)</w:t>
      </w:r>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29(1)(b)(ii) of the Act, the amount of $100 is prescribed.</w:t>
      </w:r>
    </w:p>
    <w:p>
      <w:pPr>
        <w:pStyle w:val="Footnotesection"/>
      </w:pPr>
      <w:r>
        <w:tab/>
        <w:t xml:space="preserve">[Regulation 10A inserted in Gazette 16 Jun 1995 p. 2318.] </w:t>
      </w:r>
    </w:p>
    <w:p>
      <w:pPr>
        <w:pStyle w:val="Heading5"/>
        <w:rPr>
          <w:snapToGrid w:val="0"/>
        </w:rPr>
      </w:pPr>
      <w:bookmarkStart w:id="46" w:name="_Toc444500089"/>
      <w:bookmarkStart w:id="47" w:name="_Toc131829612"/>
      <w:bookmarkStart w:id="48" w:name="_Toc131829669"/>
      <w:r>
        <w:rPr>
          <w:rStyle w:val="CharSectno"/>
        </w:rPr>
        <w:t>11</w:t>
      </w:r>
      <w:r>
        <w:rPr>
          <w:snapToGrid w:val="0"/>
        </w:rPr>
        <w:t>.</w:t>
      </w:r>
      <w:r>
        <w:rPr>
          <w:snapToGrid w:val="0"/>
        </w:rPr>
        <w:tab/>
        <w:t>Amount prescribed for section 29(2)(a)</w:t>
      </w:r>
      <w:bookmarkEnd w:id="46"/>
      <w:bookmarkEnd w:id="47"/>
      <w:bookmarkEnd w:id="48"/>
      <w:r>
        <w:rPr>
          <w:snapToGrid w:val="0"/>
        </w:rPr>
        <w:t xml:space="preserve"> </w:t>
      </w:r>
    </w:p>
    <w:p>
      <w:pPr>
        <w:pStyle w:val="Subsection"/>
        <w:rPr>
          <w:snapToGrid w:val="0"/>
        </w:rPr>
      </w:pPr>
      <w:r>
        <w:rPr>
          <w:snapToGrid w:val="0"/>
        </w:rPr>
        <w:tab/>
      </w:r>
      <w:r>
        <w:rPr>
          <w:snapToGrid w:val="0"/>
        </w:rPr>
        <w:tab/>
        <w:t>The amount of $500 is prescribed for the purposes of section 29(2)(a) of the Act.</w:t>
      </w:r>
    </w:p>
    <w:p>
      <w:pPr>
        <w:pStyle w:val="Heading5"/>
        <w:rPr>
          <w:snapToGrid w:val="0"/>
        </w:rPr>
      </w:pPr>
      <w:bookmarkStart w:id="49" w:name="_Toc444500090"/>
      <w:bookmarkStart w:id="50" w:name="_Toc131829613"/>
      <w:bookmarkStart w:id="51" w:name="_Toc131829670"/>
      <w:r>
        <w:rPr>
          <w:rStyle w:val="CharSectno"/>
        </w:rPr>
        <w:t>11A</w:t>
      </w:r>
      <w:r>
        <w:rPr>
          <w:snapToGrid w:val="0"/>
        </w:rPr>
        <w:t>.</w:t>
      </w:r>
      <w:r>
        <w:rPr>
          <w:snapToGrid w:val="0"/>
        </w:rPr>
        <w:tab/>
        <w:t>Period prescribed for section 29(4)(d)</w:t>
      </w:r>
      <w:bookmarkEnd w:id="49"/>
      <w:bookmarkEnd w:id="50"/>
      <w:bookmarkEnd w:id="51"/>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rPr>
          <w:snapToGrid w:val="0"/>
        </w:rPr>
      </w:pPr>
      <w:bookmarkStart w:id="52" w:name="_Toc444500091"/>
      <w:bookmarkStart w:id="53" w:name="_Toc131829614"/>
      <w:bookmarkStart w:id="54" w:name="_Toc131829671"/>
      <w:r>
        <w:rPr>
          <w:rStyle w:val="CharSectno"/>
        </w:rPr>
        <w:t>12</w:t>
      </w:r>
      <w:r>
        <w:rPr>
          <w:snapToGrid w:val="0"/>
        </w:rPr>
        <w:t>.</w:t>
      </w:r>
      <w:r>
        <w:rPr>
          <w:snapToGrid w:val="0"/>
        </w:rPr>
        <w:tab/>
        <w:t>Information prescribed for section 79(10)</w:t>
      </w:r>
      <w:bookmarkEnd w:id="52"/>
      <w:bookmarkEnd w:id="53"/>
      <w:bookmarkEnd w:id="54"/>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Heading5"/>
        <w:rPr>
          <w:snapToGrid w:val="0"/>
        </w:rPr>
      </w:pPr>
      <w:bookmarkStart w:id="55" w:name="_Toc444500092"/>
      <w:bookmarkStart w:id="56" w:name="_Toc131829615"/>
      <w:bookmarkStart w:id="57" w:name="_Toc131829672"/>
      <w:r>
        <w:rPr>
          <w:rStyle w:val="CharSectno"/>
        </w:rPr>
        <w:t>13</w:t>
      </w:r>
      <w:r>
        <w:rPr>
          <w:snapToGrid w:val="0"/>
        </w:rPr>
        <w:t>.</w:t>
      </w:r>
      <w:r>
        <w:rPr>
          <w:snapToGrid w:val="0"/>
        </w:rPr>
        <w:tab/>
        <w:t>Letting fees</w:t>
      </w:r>
      <w:bookmarkEnd w:id="55"/>
      <w:bookmarkEnd w:id="56"/>
      <w:bookmarkEnd w:id="57"/>
      <w:r>
        <w:rPr>
          <w:snapToGrid w:val="0"/>
        </w:rPr>
        <w:t xml:space="preserve"> </w:t>
      </w:r>
    </w:p>
    <w:p>
      <w:pPr>
        <w:pStyle w:val="Subsection"/>
        <w:rPr>
          <w:snapToGrid w:val="0"/>
        </w:rPr>
      </w:pPr>
      <w:r>
        <w:rPr>
          <w:snapToGrid w:val="0"/>
        </w:rPr>
        <w:tab/>
        <w:t>(1)</w:t>
      </w:r>
      <w:r>
        <w:rPr>
          <w:snapToGrid w:val="0"/>
        </w:rPr>
        <w:tab/>
        <w:t>The letting fees set out in Schedule 1 are prescribed for the purposes of section 86(1)(a) of the Act.</w:t>
      </w:r>
    </w:p>
    <w:p>
      <w:pPr>
        <w:pStyle w:val="Subsection"/>
        <w:rPr>
          <w:snapToGrid w:val="0"/>
        </w:rPr>
      </w:pPr>
      <w:r>
        <w:rPr>
          <w:snapToGrid w:val="0"/>
        </w:rPr>
        <w:tab/>
        <w:t>(2)</w:t>
      </w:r>
      <w:r>
        <w:rPr>
          <w:snapToGrid w:val="0"/>
        </w:rPr>
        <w:tab/>
        <w:t>If the tenant has agreed to pay the whole or a part of a letting fee to a real estate agent for services rendered to the owner in connection with a letting, the agent is not entitled to demand or receive from the owner — </w:t>
      </w:r>
    </w:p>
    <w:p>
      <w:pPr>
        <w:pStyle w:val="Indenta"/>
        <w:rPr>
          <w:snapToGrid w:val="0"/>
        </w:rPr>
      </w:pPr>
      <w:r>
        <w:rPr>
          <w:snapToGrid w:val="0"/>
        </w:rPr>
        <w:tab/>
        <w:t>(a)</w:t>
      </w:r>
      <w:r>
        <w:rPr>
          <w:snapToGrid w:val="0"/>
        </w:rPr>
        <w:tab/>
        <w:t>where the whole fee is agreed to be paid by the tenant, any further fee or charge; or</w:t>
      </w:r>
    </w:p>
    <w:p>
      <w:pPr>
        <w:pStyle w:val="Indenta"/>
        <w:rPr>
          <w:snapToGrid w:val="0"/>
        </w:rPr>
      </w:pPr>
      <w:r>
        <w:rPr>
          <w:snapToGrid w:val="0"/>
        </w:rPr>
        <w:tab/>
        <w:t>(b)</w:t>
      </w:r>
      <w:r>
        <w:rPr>
          <w:snapToGrid w:val="0"/>
        </w:rPr>
        <w:tab/>
        <w:t>where part of the fee is agreed to be so paid, any further fee or charge exceeding the balance of the fee so agreed to be paid,</w:t>
      </w:r>
    </w:p>
    <w:p>
      <w:pPr>
        <w:pStyle w:val="Subsection"/>
        <w:rPr>
          <w:snapToGrid w:val="0"/>
        </w:rPr>
      </w:pPr>
      <w:r>
        <w:rPr>
          <w:snapToGrid w:val="0"/>
        </w:rPr>
        <w:tab/>
      </w:r>
      <w:r>
        <w:rPr>
          <w:snapToGrid w:val="0"/>
        </w:rPr>
        <w:tab/>
        <w:t>for services rendered in connection with the letting.</w:t>
      </w:r>
    </w:p>
    <w:p>
      <w:pPr>
        <w:pStyle w:val="Heading5"/>
        <w:rPr>
          <w:snapToGrid w:val="0"/>
        </w:rPr>
      </w:pPr>
      <w:bookmarkStart w:id="58" w:name="_Toc444500093"/>
      <w:bookmarkStart w:id="59" w:name="_Toc131829616"/>
      <w:bookmarkStart w:id="60" w:name="_Toc131829673"/>
      <w:r>
        <w:rPr>
          <w:rStyle w:val="CharSectno"/>
        </w:rPr>
        <w:t>14</w:t>
      </w:r>
      <w:r>
        <w:rPr>
          <w:snapToGrid w:val="0"/>
        </w:rPr>
        <w:t>.</w:t>
      </w:r>
      <w:r>
        <w:rPr>
          <w:snapToGrid w:val="0"/>
        </w:rPr>
        <w:tab/>
        <w:t>Information to be given by owner to tenant</w:t>
      </w:r>
      <w:bookmarkEnd w:id="58"/>
      <w:bookmarkEnd w:id="59"/>
      <w:bookmarkEnd w:id="60"/>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61" w:name="_Toc444500094"/>
      <w:bookmarkStart w:id="62" w:name="_Toc131829617"/>
      <w:bookmarkStart w:id="63" w:name="_Toc131829674"/>
      <w:r>
        <w:rPr>
          <w:rStyle w:val="CharSectno"/>
        </w:rPr>
        <w:t>15</w:t>
      </w:r>
      <w:r>
        <w:rPr>
          <w:snapToGrid w:val="0"/>
        </w:rPr>
        <w:t>.</w:t>
      </w:r>
      <w:r>
        <w:rPr>
          <w:snapToGrid w:val="0"/>
        </w:rPr>
        <w:tab/>
        <w:t>Disposal of unclaimed security bonds</w:t>
      </w:r>
      <w:bookmarkEnd w:id="61"/>
      <w:bookmarkEnd w:id="62"/>
      <w:bookmarkEnd w:id="63"/>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rPr>
          <w:snapToGrid w:val="0"/>
          <w:spacing w:val="-4"/>
        </w:rPr>
      </w:pPr>
      <w:r>
        <w:rPr>
          <w:snapToGrid w:val="0"/>
          <w:spacing w:val="-4"/>
        </w:rPr>
        <w:tab/>
        <w:t>(6)</w:t>
      </w:r>
      <w:r>
        <w:rPr>
          <w:snapToGrid w:val="0"/>
          <w:spacing w:val="-4"/>
        </w:rPr>
        <w:tab/>
        <w:t xml:space="preserve">For the purposes of this regulation, the chief executive officer of the Crown Law Department </w:t>
      </w:r>
      <w:r>
        <w:rPr>
          <w:snapToGrid w:val="0"/>
          <w:spacing w:val="-4"/>
          <w:vertAlign w:val="superscript"/>
        </w:rPr>
        <w:t>9</w:t>
      </w:r>
      <w:r>
        <w:rPr>
          <w:snapToGrid w:val="0"/>
          <w:spacing w:val="-4"/>
        </w:rPr>
        <w:t xml:space="preserve"> shall establish in the Residential Accommodation Fund referred to in clause 3 of Schedule 1 to the Act an account called the Unclaimed Security Bond Account.</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bond holder</w:t>
      </w:r>
      <w:r>
        <w:rPr>
          <w:b/>
        </w:rPr>
        <w:t>”</w:t>
      </w:r>
      <w:r>
        <w:t xml:space="preserve"> means the bond administrator or an authorised financial institution as defined in Schedule 1 of the Act;</w:t>
      </w:r>
    </w:p>
    <w:p>
      <w:pPr>
        <w:pStyle w:val="Defstart"/>
      </w:pPr>
      <w:r>
        <w:rPr>
          <w:b/>
        </w:rPr>
        <w:tab/>
        <w:t>“</w:t>
      </w:r>
      <w:r>
        <w:rPr>
          <w:rStyle w:val="CharDefText"/>
        </w:rPr>
        <w:t>security bond</w:t>
      </w:r>
      <w:r>
        <w:rPr>
          <w:b/>
        </w:rPr>
        <w:t>”</w:t>
      </w:r>
      <w:r>
        <w:t xml:space="preserve"> includes part of a security bond;</w:t>
      </w:r>
    </w:p>
    <w:p>
      <w:pPr>
        <w:pStyle w:val="Defstart"/>
      </w:pPr>
      <w:r>
        <w:rPr>
          <w:b/>
        </w:rPr>
        <w:tab/>
        <w:t>“</w:t>
      </w:r>
      <w:r>
        <w:rPr>
          <w:rStyle w:val="CharDefText"/>
        </w:rPr>
        <w:t>Unclaimed Security Bond Account</w:t>
      </w:r>
      <w:r>
        <w:rPr>
          <w:b/>
        </w:rPr>
        <w:t>”</w:t>
      </w:r>
      <w:r>
        <w:t xml:space="preserve"> means the account established under subregulation (6).</w:t>
      </w:r>
    </w:p>
    <w:p>
      <w:pPr>
        <w:pStyle w:val="Footnotesection"/>
      </w:pPr>
      <w:r>
        <w:tab/>
        <w:t xml:space="preserve">[Regulation 15 amended in Gazette 25 Jun 1996 p. 2905.] </w:t>
      </w:r>
    </w:p>
    <w:p>
      <w:pPr>
        <w:pStyle w:val="Heading5"/>
        <w:rPr>
          <w:snapToGrid w:val="0"/>
        </w:rPr>
      </w:pPr>
      <w:bookmarkStart w:id="64" w:name="_Toc444500095"/>
      <w:bookmarkStart w:id="65" w:name="_Toc131829618"/>
      <w:bookmarkStart w:id="66" w:name="_Toc131829675"/>
      <w:r>
        <w:rPr>
          <w:rStyle w:val="CharSectno"/>
        </w:rPr>
        <w:t>16</w:t>
      </w:r>
      <w:r>
        <w:rPr>
          <w:snapToGrid w:val="0"/>
        </w:rPr>
        <w:t>.</w:t>
      </w:r>
      <w:r>
        <w:rPr>
          <w:snapToGrid w:val="0"/>
        </w:rPr>
        <w:tab/>
        <w:t>Definition of “authorised financial institution” — prescribed classes</w:t>
      </w:r>
      <w:bookmarkEnd w:id="64"/>
      <w:bookmarkEnd w:id="65"/>
      <w:bookmarkEnd w:id="66"/>
      <w:r>
        <w:rPr>
          <w:snapToGrid w:val="0"/>
        </w:rPr>
        <w:t xml:space="preserve"> </w:t>
      </w:r>
    </w:p>
    <w:p>
      <w:pPr>
        <w:pStyle w:val="Subsection"/>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16 inserted in Gazette 25 Jun 1996 p. 2905.] </w:t>
      </w:r>
    </w:p>
    <w:p>
      <w:pPr>
        <w:pStyle w:val="Heading5"/>
        <w:keepNext w:val="0"/>
        <w:keepLines w:val="0"/>
        <w:rPr>
          <w:snapToGrid w:val="0"/>
        </w:rPr>
      </w:pPr>
      <w:bookmarkStart w:id="67" w:name="_Toc444500096"/>
      <w:bookmarkStart w:id="68" w:name="_Toc131829619"/>
      <w:bookmarkStart w:id="69" w:name="_Toc131829676"/>
      <w:r>
        <w:rPr>
          <w:rStyle w:val="CharSectno"/>
        </w:rPr>
        <w:t>17</w:t>
      </w:r>
      <w:r>
        <w:rPr>
          <w:snapToGrid w:val="0"/>
        </w:rPr>
        <w:t>.</w:t>
      </w:r>
      <w:r>
        <w:rPr>
          <w:snapToGrid w:val="0"/>
        </w:rPr>
        <w:tab/>
        <w:t>Fees prescribed</w:t>
      </w:r>
      <w:bookmarkEnd w:id="67"/>
      <w:bookmarkEnd w:id="68"/>
      <w:bookmarkEnd w:id="69"/>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70" w:name="_Toc444500097"/>
      <w:r>
        <w:tab/>
        <w:t>[Regulation 17 amended in Gazette 29 Apr 2005 p. 1773.]</w:t>
      </w:r>
    </w:p>
    <w:p>
      <w:pPr>
        <w:pStyle w:val="Heading5"/>
        <w:rPr>
          <w:snapToGrid w:val="0"/>
        </w:rPr>
      </w:pPr>
      <w:bookmarkStart w:id="71" w:name="_Toc131829620"/>
      <w:bookmarkStart w:id="72" w:name="_Toc131829677"/>
      <w:r>
        <w:rPr>
          <w:rStyle w:val="CharSectno"/>
        </w:rPr>
        <w:t>18</w:t>
      </w:r>
      <w:r>
        <w:rPr>
          <w:snapToGrid w:val="0"/>
        </w:rPr>
        <w:t>.</w:t>
      </w:r>
      <w:r>
        <w:rPr>
          <w:snapToGrid w:val="0"/>
        </w:rPr>
        <w:tab/>
        <w:t>Forms prescribed</w:t>
      </w:r>
      <w:bookmarkEnd w:id="70"/>
      <w:bookmarkEnd w:id="71"/>
      <w:bookmarkEnd w:id="72"/>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of the Act specified opposite thereto in the first column of the table.</w:t>
      </w:r>
    </w:p>
    <w:p>
      <w:pPr>
        <w:pStyle w:val="Subsection"/>
        <w:rPr>
          <w:snapToGrid w:val="0"/>
        </w:rPr>
      </w:pPr>
      <w:r>
        <w:rPr>
          <w:snapToGrid w:val="0"/>
        </w:rPr>
        <w:tab/>
        <w:t>(2)</w:t>
      </w:r>
      <w:r>
        <w:rPr>
          <w:snapToGrid w:val="0"/>
        </w:rPr>
        <w:tab/>
        <w:t>The forms so prescribed are set out in Schedule 4.</w:t>
      </w:r>
    </w:p>
    <w:p>
      <w:pPr>
        <w:pStyle w:val="MiscellaneousHeading"/>
        <w:rPr>
          <w:b/>
          <w:bCs/>
          <w:snapToGrid w:val="0"/>
        </w:rPr>
      </w:pPr>
      <w:r>
        <w:rPr>
          <w:b/>
          <w:bCs/>
          <w:snapToGrid w:val="0"/>
        </w:rPr>
        <w:t>Table</w:t>
      </w:r>
    </w:p>
    <w:tbl>
      <w:tblPr>
        <w:tblW w:w="0" w:type="auto"/>
        <w:tblInd w:w="993" w:type="dxa"/>
        <w:tblLayout w:type="fixed"/>
        <w:tblCellMar>
          <w:left w:w="56" w:type="dxa"/>
          <w:right w:w="56" w:type="dxa"/>
        </w:tblCellMar>
        <w:tblLook w:val="0000" w:firstRow="0" w:lastRow="0" w:firstColumn="0" w:lastColumn="0" w:noHBand="0" w:noVBand="0"/>
      </w:tblPr>
      <w:tblGrid>
        <w:gridCol w:w="1843"/>
        <w:gridCol w:w="4308"/>
      </w:tblGrid>
      <w:tr>
        <w:tc>
          <w:tcPr>
            <w:tcW w:w="1843" w:type="dxa"/>
          </w:tcPr>
          <w:p>
            <w:pPr>
              <w:pStyle w:val="Table"/>
              <w:rPr>
                <w:b/>
              </w:rPr>
            </w:pPr>
            <w:r>
              <w:rPr>
                <w:b/>
              </w:rPr>
              <w:t>Provision of Act</w:t>
            </w:r>
          </w:p>
        </w:tc>
        <w:tc>
          <w:tcPr>
            <w:tcW w:w="4308" w:type="dxa"/>
          </w:tcPr>
          <w:p>
            <w:pPr>
              <w:pStyle w:val="Table"/>
              <w:ind w:left="487" w:hanging="425"/>
              <w:rPr>
                <w:b/>
              </w:rPr>
            </w:pPr>
            <w:r>
              <w:rPr>
                <w:b/>
              </w:rPr>
              <w:t>Description of Form</w:t>
            </w:r>
          </w:p>
        </w:tc>
      </w:tr>
      <w:tr>
        <w:tc>
          <w:tcPr>
            <w:tcW w:w="1843" w:type="dxa"/>
          </w:tcPr>
          <w:p>
            <w:pPr>
              <w:pStyle w:val="Table"/>
            </w:pPr>
            <w:r>
              <w:t>s. 29(4)(c)</w:t>
            </w:r>
          </w:p>
        </w:tc>
        <w:tc>
          <w:tcPr>
            <w:tcW w:w="4308" w:type="dxa"/>
          </w:tcPr>
          <w:p>
            <w:pPr>
              <w:pStyle w:val="Table"/>
              <w:ind w:left="490" w:hanging="425"/>
            </w:pPr>
            <w:r>
              <w:t>Form 1 (Record of payment of security bond)</w:t>
            </w:r>
          </w:p>
        </w:tc>
      </w:tr>
      <w:tr>
        <w:tc>
          <w:tcPr>
            <w:tcW w:w="1843" w:type="dxa"/>
          </w:tcPr>
          <w:p>
            <w:pPr>
              <w:pStyle w:val="Table"/>
            </w:pPr>
            <w:r>
              <w:t>s. 61(a)</w:t>
            </w:r>
          </w:p>
        </w:tc>
        <w:tc>
          <w:tcPr>
            <w:tcW w:w="4308" w:type="dxa"/>
          </w:tcPr>
          <w:p>
            <w:pPr>
              <w:pStyle w:val="Table"/>
              <w:ind w:left="490" w:hanging="425"/>
            </w:pPr>
            <w:r>
              <w:t>Form 1A (Notice of termination of agreement for non</w:t>
            </w:r>
            <w:r>
              <w:noBreakHyphen/>
              <w:t>payment of rent)</w:t>
            </w:r>
          </w:p>
        </w:tc>
      </w:tr>
      <w:tr>
        <w:tc>
          <w:tcPr>
            <w:tcW w:w="1843" w:type="dxa"/>
          </w:tcPr>
          <w:p>
            <w:pPr>
              <w:pStyle w:val="Table"/>
            </w:pPr>
            <w:r>
              <w:t>s. 61(a)</w:t>
            </w:r>
          </w:p>
        </w:tc>
        <w:tc>
          <w:tcPr>
            <w:tcW w:w="4308" w:type="dxa"/>
          </w:tcPr>
          <w:p>
            <w:pPr>
              <w:pStyle w:val="Table"/>
              <w:ind w:left="490" w:hanging="425"/>
            </w:pPr>
            <w:r>
              <w:t>Form 1B (Notice of termination of agreement for non</w:t>
            </w:r>
            <w:r>
              <w:noBreakHyphen/>
              <w:t>payment of rent)</w:t>
            </w:r>
          </w:p>
        </w:tc>
      </w:tr>
      <w:tr>
        <w:tc>
          <w:tcPr>
            <w:tcW w:w="1843" w:type="dxa"/>
          </w:tcPr>
          <w:p>
            <w:pPr>
              <w:pStyle w:val="Table"/>
            </w:pPr>
            <w:r>
              <w:t>s. 61(a)</w:t>
            </w:r>
          </w:p>
        </w:tc>
        <w:tc>
          <w:tcPr>
            <w:tcW w:w="4308" w:type="dxa"/>
          </w:tcPr>
          <w:p>
            <w:pPr>
              <w:pStyle w:val="Table"/>
              <w:ind w:left="490" w:hanging="425"/>
            </w:pPr>
            <w:r>
              <w:t>Form 1C (Notice of termination of agreement)</w:t>
            </w:r>
          </w:p>
        </w:tc>
      </w:tr>
      <w:tr>
        <w:tc>
          <w:tcPr>
            <w:tcW w:w="1843" w:type="dxa"/>
          </w:tcPr>
          <w:p>
            <w:pPr>
              <w:pStyle w:val="Table"/>
            </w:pPr>
            <w:r>
              <w:t>s. 79(3)(a)</w:t>
            </w:r>
          </w:p>
        </w:tc>
        <w:tc>
          <w:tcPr>
            <w:tcW w:w="4308" w:type="dxa"/>
          </w:tcPr>
          <w:p>
            <w:pPr>
              <w:pStyle w:val="Table"/>
              <w:ind w:left="490" w:hanging="425"/>
            </w:pPr>
            <w:r>
              <w:t>Form 2 (Notice to former tenant as to disposal of goods)</w:t>
            </w:r>
          </w:p>
        </w:tc>
      </w:tr>
      <w:tr>
        <w:tc>
          <w:tcPr>
            <w:tcW w:w="1843" w:type="dxa"/>
          </w:tcPr>
          <w:p>
            <w:pPr>
              <w:pStyle w:val="Table"/>
            </w:pPr>
            <w:r>
              <w:t>s. 79(3)(b)</w:t>
            </w:r>
          </w:p>
        </w:tc>
        <w:tc>
          <w:tcPr>
            <w:tcW w:w="4308" w:type="dxa"/>
          </w:tcPr>
          <w:p>
            <w:pPr>
              <w:pStyle w:val="Table"/>
              <w:ind w:left="490" w:hanging="425"/>
            </w:pPr>
            <w:r>
              <w:t>Form 3 (Notice as to disposal of goods)</w:t>
            </w:r>
          </w:p>
        </w:tc>
      </w:tr>
      <w:tr>
        <w:tc>
          <w:tcPr>
            <w:tcW w:w="1843" w:type="dxa"/>
          </w:tcPr>
          <w:p>
            <w:pPr>
              <w:pStyle w:val="Table"/>
            </w:pPr>
            <w:r>
              <w:t>Schedule 1, clauses 5(1)(a), 7(1)(a) and 7(3)(a)</w:t>
            </w:r>
          </w:p>
        </w:tc>
        <w:tc>
          <w:tcPr>
            <w:tcW w:w="4308" w:type="dxa"/>
          </w:tcPr>
          <w:p>
            <w:pPr>
              <w:pStyle w:val="Table"/>
              <w:ind w:left="490" w:hanging="425"/>
            </w:pPr>
            <w:r>
              <w:t>Form 4 (Joint application for disposal of security bond)</w:t>
            </w:r>
          </w:p>
        </w:tc>
      </w:tr>
      <w:tr>
        <w:tc>
          <w:tcPr>
            <w:tcW w:w="1843" w:type="dxa"/>
          </w:tcPr>
          <w:p>
            <w:pPr>
              <w:pStyle w:val="Table"/>
            </w:pPr>
            <w:r>
              <w:t>Schedule 1, clause 8(3) and (4)</w:t>
            </w:r>
          </w:p>
        </w:tc>
        <w:tc>
          <w:tcPr>
            <w:tcW w:w="4308" w:type="dxa"/>
          </w:tcPr>
          <w:p>
            <w:pPr>
              <w:pStyle w:val="Table"/>
              <w:ind w:left="490" w:hanging="425"/>
            </w:pPr>
            <w:r>
              <w:t>Form 5 (Notice of intention to dispute application for disposal of security bond)</w:t>
            </w:r>
          </w:p>
        </w:tc>
      </w:tr>
    </w:tbl>
    <w:p>
      <w:pPr>
        <w:pStyle w:val="Footnotesection"/>
      </w:pPr>
      <w:r>
        <w:tab/>
        <w:t>[Regulation 18 amended in Gazette 25 Jun 1996 p. 2905</w:t>
      </w:r>
      <w:r>
        <w:noBreakHyphen/>
        <w:t xml:space="preserve">6.] </w:t>
      </w:r>
    </w:p>
    <w:p>
      <w:pPr>
        <w:pStyle w:val="Heading5"/>
        <w:rPr>
          <w:snapToGrid w:val="0"/>
        </w:rPr>
      </w:pPr>
      <w:bookmarkStart w:id="73" w:name="_Toc444500098"/>
      <w:bookmarkStart w:id="74" w:name="_Toc131829621"/>
      <w:bookmarkStart w:id="75" w:name="_Toc131829678"/>
      <w:r>
        <w:rPr>
          <w:rStyle w:val="CharSectno"/>
        </w:rPr>
        <w:t>19</w:t>
      </w:r>
      <w:r>
        <w:rPr>
          <w:snapToGrid w:val="0"/>
        </w:rPr>
        <w:t>.</w:t>
      </w:r>
      <w:r>
        <w:rPr>
          <w:snapToGrid w:val="0"/>
        </w:rPr>
        <w:tab/>
        <w:t>Matters prescribed for clause 6(1)(b) and (c) of Schedule 1 to the Act</w:t>
      </w:r>
      <w:bookmarkEnd w:id="73"/>
      <w:bookmarkEnd w:id="74"/>
      <w:bookmarkEnd w:id="75"/>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6" w:name="_Toc50885397"/>
      <w:bookmarkStart w:id="77" w:name="_Toc131829622"/>
      <w:bookmarkStart w:id="78" w:name="_Toc131829679"/>
      <w:r>
        <w:rPr>
          <w:rStyle w:val="CharSchNo"/>
        </w:rPr>
        <w:t>Schedule 1</w:t>
      </w:r>
      <w:bookmarkEnd w:id="76"/>
      <w:bookmarkEnd w:id="77"/>
      <w:bookmarkEnd w:id="78"/>
      <w:r>
        <w:rPr>
          <w:rStyle w:val="CharSchNo"/>
        </w:rPr>
        <w:t xml:space="preserve"> </w:t>
      </w:r>
    </w:p>
    <w:p>
      <w:pPr>
        <w:pStyle w:val="yShoulderClause"/>
      </w:pPr>
      <w:r>
        <w:t>[reg. 13]</w:t>
      </w:r>
    </w:p>
    <w:p>
      <w:pPr>
        <w:pStyle w:val="yMiscellaneousHeading"/>
        <w:rPr>
          <w:b/>
          <w:sz w:val="28"/>
        </w:rPr>
      </w:pPr>
      <w:r>
        <w:rPr>
          <w:b/>
          <w:sz w:val="28"/>
        </w:rPr>
        <w:t>Letting fees</w:t>
      </w:r>
    </w:p>
    <w:p>
      <w:pPr>
        <w:pStyle w:val="yHeading5"/>
        <w:outlineLvl w:val="9"/>
      </w:pPr>
      <w:bookmarkStart w:id="79" w:name="_Toc131829623"/>
      <w:bookmarkStart w:id="80" w:name="_Toc131829680"/>
      <w:r>
        <w:t>1.</w:t>
      </w:r>
      <w:r>
        <w:tab/>
        <w:t>Tenancy for a fixed term</w:t>
      </w:r>
      <w:bookmarkEnd w:id="79"/>
      <w:bookmarkEnd w:id="80"/>
    </w:p>
    <w:p>
      <w:pPr>
        <w:pStyle w:val="ySubsection"/>
      </w:pPr>
      <w:r>
        <w:tab/>
        <w:t>(a)</w:t>
      </w:r>
      <w:r>
        <w:tab/>
        <w:t>For a term of not more than 1 year, the maximum fee is 8.5% of the gross rent for the term.</w:t>
      </w:r>
    </w:p>
    <w:p>
      <w:pPr>
        <w:pStyle w:val="ySubsection"/>
      </w:pPr>
      <w:r>
        <w:tab/>
        <w:t>(b)</w:t>
      </w:r>
      <w:r>
        <w:tab/>
        <w:t>For a term of more than 1 year but not more than 3 years, the maximum fee is 8.5% of the average annual gross rent for the term.</w:t>
      </w:r>
    </w:p>
    <w:p>
      <w:pPr>
        <w:pStyle w:val="ySubsection"/>
      </w:pPr>
      <w:r>
        <w:tab/>
        <w:t>(c)</w:t>
      </w:r>
      <w:r>
        <w:tab/>
        <w:t>For a term of more than 3 years the maximum fee is — </w:t>
      </w:r>
    </w:p>
    <w:p>
      <w:pPr>
        <w:pStyle w:val="yIndenta"/>
      </w:pPr>
      <w:r>
        <w:tab/>
        <w:t>(i)</w:t>
      </w:r>
      <w:r>
        <w:tab/>
        <w:t>8.5% of average annual gross rent for the first 3 years; and</w:t>
      </w:r>
    </w:p>
    <w:p>
      <w:pPr>
        <w:pStyle w:val="yIndenta"/>
      </w:pPr>
      <w:r>
        <w:tab/>
        <w:t>(ii)</w:t>
      </w:r>
      <w:r>
        <w:tab/>
        <w:t>1% of average annual gross rent for each year or part thereof in excess of 3 years.</w:t>
      </w:r>
    </w:p>
    <w:p>
      <w:pPr>
        <w:pStyle w:val="yHeading5"/>
        <w:outlineLvl w:val="9"/>
      </w:pPr>
      <w:bookmarkStart w:id="81" w:name="_Toc131829624"/>
      <w:bookmarkStart w:id="82" w:name="_Toc131829681"/>
      <w:r>
        <w:t>2.</w:t>
      </w:r>
      <w:r>
        <w:tab/>
        <w:t>Tenancy for indefinite term</w:t>
      </w:r>
      <w:bookmarkEnd w:id="81"/>
      <w:bookmarkEnd w:id="82"/>
    </w:p>
    <w:p>
      <w:pPr>
        <w:pStyle w:val="ySubsection"/>
      </w:pPr>
      <w:r>
        <w:tab/>
      </w:r>
      <w:r>
        <w:tab/>
        <w:t>The maximum fee is a sum equal to 1½ times the rent for one week.</w:t>
      </w:r>
    </w:p>
    <w:p>
      <w:pPr>
        <w:pStyle w:val="yHeading5"/>
        <w:outlineLvl w:val="9"/>
      </w:pPr>
      <w:bookmarkStart w:id="83" w:name="_Toc131829625"/>
      <w:bookmarkStart w:id="84" w:name="_Toc131829682"/>
      <w:r>
        <w:t>3.</w:t>
      </w:r>
      <w:r>
        <w:tab/>
        <w:t>Tenancy for a fixed term or an indefinite term of a building of more than one storey where the whole building is let under one agreement</w:t>
      </w:r>
      <w:bookmarkEnd w:id="83"/>
      <w:bookmarkEnd w:id="84"/>
    </w:p>
    <w:p>
      <w:pPr>
        <w:pStyle w:val="ySubsection"/>
      </w:pPr>
      <w:r>
        <w:tab/>
      </w:r>
      <w:r>
        <w:tab/>
        <w:t>The maximum fee is a sum equal to the total rent for one week of all of the residential premises in the building.</w:t>
      </w:r>
    </w:p>
    <w:p>
      <w:pPr>
        <w:pStyle w:val="yScheduleHeading"/>
      </w:pPr>
      <w:bookmarkStart w:id="85" w:name="_Toc50885401"/>
      <w:bookmarkStart w:id="86" w:name="_Toc131829626"/>
      <w:bookmarkStart w:id="87" w:name="_Toc131829683"/>
      <w:r>
        <w:rPr>
          <w:rStyle w:val="CharSchNo"/>
        </w:rPr>
        <w:t>Schedule 2</w:t>
      </w:r>
      <w:bookmarkEnd w:id="85"/>
      <w:bookmarkEnd w:id="86"/>
      <w:bookmarkEnd w:id="87"/>
      <w:r>
        <w:rPr>
          <w:rStyle w:val="CharSchText"/>
        </w:rPr>
        <w:t xml:space="preserve"> </w:t>
      </w:r>
    </w:p>
    <w:p>
      <w:pPr>
        <w:pStyle w:val="yShoulderClause"/>
      </w:pPr>
      <w:r>
        <w:t>[reg. 14]</w:t>
      </w:r>
    </w:p>
    <w:p>
      <w:pPr>
        <w:pStyle w:val="MiscellaneousHeading"/>
        <w:rPr>
          <w:b/>
          <w:i/>
          <w:sz w:val="22"/>
        </w:rPr>
      </w:pPr>
      <w:r>
        <w:rPr>
          <w:b/>
          <w:i/>
          <w:sz w:val="22"/>
        </w:rPr>
        <w:t>RESIDENTIAL TENANCIES ACT 1987</w:t>
      </w:r>
    </w:p>
    <w:p>
      <w:pPr>
        <w:pStyle w:val="yHeading5"/>
        <w:outlineLvl w:val="9"/>
      </w:pPr>
      <w:bookmarkStart w:id="88" w:name="_Toc131829627"/>
      <w:bookmarkStart w:id="89" w:name="_Toc131829684"/>
      <w:r>
        <w:t>1.</w:t>
      </w:r>
      <w:r>
        <w:tab/>
        <w:t>INFORMATION FOR TENANT</w:t>
      </w:r>
      <w:bookmarkEnd w:id="88"/>
      <w:bookmarkEnd w:id="89"/>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pPr>
        <w:pStyle w:val="yHeading5"/>
        <w:outlineLvl w:val="9"/>
      </w:pPr>
      <w:bookmarkStart w:id="90" w:name="_Toc131829628"/>
      <w:bookmarkStart w:id="91" w:name="_Toc131829685"/>
      <w:r>
        <w:t>2.</w:t>
      </w:r>
      <w:r>
        <w:tab/>
        <w:t>ADVICE, COMPLAINTS AND DISPUTES</w:t>
      </w:r>
      <w:bookmarkEnd w:id="90"/>
      <w:bookmarkEnd w:id="91"/>
    </w:p>
    <w:p>
      <w:pPr>
        <w:pStyle w:val="ySubsection"/>
        <w:rPr>
          <w:b/>
          <w:bCs/>
        </w:rPr>
      </w:pPr>
      <w:r>
        <w:rPr>
          <w:b/>
        </w:rPr>
        <w:tab/>
      </w:r>
      <w:r>
        <w:rPr>
          <w:b/>
        </w:rPr>
        <w:tab/>
      </w:r>
      <w:r>
        <w:rPr>
          <w:b/>
          <w:bCs/>
        </w:rPr>
        <w:t>Department of Consumer and Employment Protection</w:t>
      </w:r>
    </w:p>
    <w:p>
      <w:pPr>
        <w:pStyle w:val="ySubsection"/>
      </w:pPr>
      <w:r>
        <w:tab/>
      </w:r>
      <w:r>
        <w:tab/>
        <w:t xml:space="preserve">The Act allows the Commissioner for Fair Trading to give advice to parties to a residential tenancy agreement, to look into complaints and, wherever possible, help to settle them. The </w:t>
      </w:r>
      <w:r>
        <w:rPr>
          <w:vertAlign w:val="superscript"/>
        </w:rPr>
        <w:t xml:space="preserve"> </w:t>
      </w:r>
      <w:r>
        <w:t>Department of Consumer and Employment Protection may be contacted by telephone or by visiting the Department’s main office in Perth or in Albany, Bunbury, Geraldton, Kalgoorlie or Karratha.</w:t>
      </w:r>
    </w:p>
    <w:p>
      <w:pPr>
        <w:pStyle w:val="ySubsection"/>
      </w:pPr>
      <w:r>
        <w:tab/>
      </w:r>
      <w:r>
        <w:tab/>
        <w:t>The tenant should generally approach the owner or his agent to solve any problem before approaching the</w:t>
      </w:r>
      <w:r>
        <w:rPr>
          <w:vertAlign w:val="superscript"/>
        </w:rPr>
        <w:t xml:space="preserve"> </w:t>
      </w:r>
      <w:r>
        <w:t>Department of Consumer and Employment Protection.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pPr>
        <w:pStyle w:val="yFootnotesection"/>
      </w:pPr>
      <w:r>
        <w:tab/>
        <w:t>[Clause 2 amended in Gazette 29 Apr 2005 p. 1773-4.]</w:t>
      </w:r>
    </w:p>
    <w:p>
      <w:pPr>
        <w:pStyle w:val="yHeading5"/>
        <w:outlineLvl w:val="9"/>
      </w:pPr>
      <w:bookmarkStart w:id="92" w:name="_Toc131829629"/>
      <w:bookmarkStart w:id="93" w:name="_Toc131829686"/>
      <w:r>
        <w:t>3.</w:t>
      </w:r>
      <w:r>
        <w:tab/>
        <w:t>AGREEMENTS THAT BY</w:t>
      </w:r>
      <w:r>
        <w:noBreakHyphen/>
        <w:t>PASS THE ACT</w:t>
      </w:r>
      <w:bookmarkEnd w:id="92"/>
      <w:bookmarkEnd w:id="93"/>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 3 amended in Gazette 29 Apr 2005 p. 1774.]</w:t>
      </w:r>
    </w:p>
    <w:p>
      <w:pPr>
        <w:pStyle w:val="yHeading5"/>
        <w:outlineLvl w:val="9"/>
      </w:pPr>
      <w:bookmarkStart w:id="94" w:name="_Toc131829630"/>
      <w:bookmarkStart w:id="95" w:name="_Toc131829687"/>
      <w:r>
        <w:t>4.</w:t>
      </w:r>
      <w:r>
        <w:tab/>
        <w:t>INFORMATION TO BE GIVEN</w:t>
      </w:r>
      <w:bookmarkEnd w:id="94"/>
      <w:bookmarkEnd w:id="95"/>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keepNext/>
        <w:keepLines/>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Heading5"/>
        <w:outlineLvl w:val="9"/>
      </w:pPr>
      <w:bookmarkStart w:id="96" w:name="_Toc131829631"/>
      <w:bookmarkStart w:id="97" w:name="_Toc131829688"/>
      <w:r>
        <w:t>5.</w:t>
      </w:r>
      <w:r>
        <w:tab/>
        <w:t>USE OF PREMISES</w:t>
      </w:r>
      <w:bookmarkEnd w:id="96"/>
      <w:bookmarkEnd w:id="97"/>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Heading5"/>
        <w:outlineLvl w:val="9"/>
      </w:pPr>
      <w:bookmarkStart w:id="98" w:name="_Toc131829632"/>
      <w:bookmarkStart w:id="99" w:name="_Toc131829689"/>
      <w:r>
        <w:t>6.</w:t>
      </w:r>
      <w:r>
        <w:tab/>
        <w:t>CHILDREN</w:t>
      </w:r>
      <w:bookmarkEnd w:id="98"/>
      <w:bookmarkEnd w:id="99"/>
    </w:p>
    <w:p>
      <w:pPr>
        <w:pStyle w:val="ySubsection"/>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outlineLvl w:val="9"/>
      </w:pPr>
      <w:bookmarkStart w:id="100" w:name="_Toc131829633"/>
      <w:bookmarkStart w:id="101" w:name="_Toc131829690"/>
      <w:r>
        <w:t>*7.</w:t>
      </w:r>
      <w:r>
        <w:tab/>
        <w:t>REPAIR AND CLEANLINESS</w:t>
      </w:r>
      <w:bookmarkEnd w:id="100"/>
      <w:bookmarkEnd w:id="101"/>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r>
        <w:rPr>
          <w:b/>
        </w:rPr>
        <w:t>“</w:t>
      </w:r>
      <w:r>
        <w:rPr>
          <w:rStyle w:val="CharDefText"/>
        </w:rPr>
        <w:t>chattels</w:t>
      </w:r>
      <w:r>
        <w:rPr>
          <w:b/>
        </w:rPr>
        <w:t>”</w:t>
      </w:r>
      <w:r>
        <w:t xml:space="preserve"> includes furniture, household appliances and other household items provided with the premises for use by the tenant.</w:t>
      </w:r>
    </w:p>
    <w:p>
      <w:pPr>
        <w:pStyle w:val="yHeading5"/>
        <w:outlineLvl w:val="9"/>
      </w:pPr>
      <w:bookmarkStart w:id="102" w:name="_Toc131829634"/>
      <w:bookmarkStart w:id="103" w:name="_Toc131829691"/>
      <w:r>
        <w:t>*8.</w:t>
      </w:r>
      <w:r>
        <w:tab/>
        <w:t>URGENT REPAIRS BY TENANT</w:t>
      </w:r>
      <w:bookmarkEnd w:id="102"/>
      <w:bookmarkEnd w:id="103"/>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Heading5"/>
        <w:outlineLvl w:val="9"/>
      </w:pPr>
      <w:bookmarkStart w:id="104" w:name="_Toc131829635"/>
      <w:bookmarkStart w:id="105" w:name="_Toc131829692"/>
      <w:r>
        <w:t>*9.</w:t>
      </w:r>
      <w:r>
        <w:tab/>
        <w:t>FIXTURES, RENOVATIONS, ALTERATIONS AND ADDITIONS</w:t>
      </w:r>
      <w:bookmarkEnd w:id="104"/>
      <w:bookmarkEnd w:id="105"/>
    </w:p>
    <w:p>
      <w:pPr>
        <w:pStyle w:val="ySubsection"/>
      </w:pPr>
      <w:r>
        <w:tab/>
      </w:r>
      <w:r>
        <w:tab/>
        <w:t>THE TENANT — </w:t>
      </w:r>
    </w:p>
    <w:p>
      <w:pPr>
        <w:pStyle w:val="yIndenta"/>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Heading5"/>
        <w:outlineLvl w:val="9"/>
      </w:pPr>
      <w:bookmarkStart w:id="106" w:name="_Toc131829636"/>
      <w:bookmarkStart w:id="107" w:name="_Toc131829693"/>
      <w:r>
        <w:t>*10.</w:t>
      </w:r>
      <w:r>
        <w:tab/>
        <w:t>LOCKS</w:t>
      </w:r>
      <w:bookmarkEnd w:id="106"/>
      <w:bookmarkEnd w:id="107"/>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outlineLvl w:val="9"/>
      </w:pPr>
      <w:bookmarkStart w:id="108" w:name="_Toc131829637"/>
      <w:bookmarkStart w:id="109" w:name="_Toc131829694"/>
      <w:r>
        <w:t>*11.</w:t>
      </w:r>
      <w:r>
        <w:tab/>
        <w:t>ENTRY BY OWNER</w:t>
      </w:r>
      <w:bookmarkEnd w:id="108"/>
      <w:bookmarkEnd w:id="109"/>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 (d)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outlineLvl w:val="9"/>
      </w:pPr>
      <w:bookmarkStart w:id="110" w:name="_Toc131829638"/>
      <w:bookmarkStart w:id="111" w:name="_Toc131829695"/>
      <w:r>
        <w:t>12.</w:t>
      </w:r>
      <w:r>
        <w:tab/>
        <w:t>PAYMENTS BY TENANT</w:t>
      </w:r>
      <w:bookmarkEnd w:id="110"/>
      <w:bookmarkEnd w:id="111"/>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Indenta"/>
      </w:pPr>
      <w:r>
        <w:tab/>
        <w:t>(d)</w:t>
      </w:r>
      <w:r>
        <w:tab/>
        <w:t>a real estate agent’s letting fee not exceeding one week’s rent (where the tenancy agreement is entered into before 1 January 1997); or</w:t>
      </w:r>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Heading5"/>
        <w:outlineLvl w:val="9"/>
      </w:pPr>
      <w:bookmarkStart w:id="112" w:name="_Toc131829639"/>
      <w:bookmarkStart w:id="113" w:name="_Toc131829696"/>
      <w:r>
        <w:t>13.</w:t>
      </w:r>
      <w:r>
        <w:tab/>
        <w:t>PAYMENT OF RENT</w:t>
      </w:r>
      <w:bookmarkEnd w:id="112"/>
      <w:bookmarkEnd w:id="113"/>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Heading5"/>
        <w:outlineLvl w:val="9"/>
      </w:pPr>
      <w:bookmarkStart w:id="114" w:name="_Toc131829640"/>
      <w:bookmarkStart w:id="115" w:name="_Toc131829697"/>
      <w:r>
        <w:t>14.</w:t>
      </w:r>
      <w:r>
        <w:tab/>
        <w:t>RENT INCREASE</w:t>
      </w:r>
      <w:bookmarkEnd w:id="114"/>
      <w:bookmarkEnd w:id="115"/>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Heading5"/>
        <w:outlineLvl w:val="9"/>
      </w:pPr>
      <w:bookmarkStart w:id="116" w:name="_Toc131829641"/>
      <w:bookmarkStart w:id="117" w:name="_Toc131829698"/>
      <w:r>
        <w:t>15.</w:t>
      </w:r>
      <w:r>
        <w:tab/>
        <w:t>SECURITY BOND</w:t>
      </w:r>
      <w:bookmarkEnd w:id="116"/>
      <w:bookmarkEnd w:id="117"/>
    </w:p>
    <w:p>
      <w:pPr>
        <w:pStyle w:val="ySubsection"/>
      </w:pPr>
      <w:r>
        <w:tab/>
      </w:r>
      <w:r>
        <w:tab/>
        <w:t>NO PERSON may demand or accept a security bond which amounts to more than 4 weeks’ rent (plus $100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$500.</w:t>
      </w:r>
    </w:p>
    <w:p>
      <w:pPr>
        <w:pStyle w:val="ySubsection"/>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pPr>
      <w:r>
        <w:tab/>
        <w:t>(i)</w:t>
      </w:r>
      <w:r>
        <w:tab/>
        <w:t>the date on which the amount was paid;</w:t>
      </w:r>
    </w:p>
    <w:p>
      <w:pPr>
        <w:pStyle w:val="yIndenti0"/>
      </w:pPr>
      <w:r>
        <w:tab/>
        <w:t>(ii)</w:t>
      </w:r>
      <w:r>
        <w:tab/>
        <w:t>the amount paid; and</w:t>
      </w:r>
    </w:p>
    <w:p>
      <w:pPr>
        <w:pStyle w:val="yIndenti0"/>
      </w:pPr>
      <w:r>
        <w:tab/>
        <w:t>(iii)</w:t>
      </w:r>
      <w:r>
        <w:tab/>
        <w:t>in the case of payment to an authorised financial institution, the name of the financial institution and the name and number of the account into which the amount was paid.</w:t>
      </w:r>
    </w:p>
    <w:p>
      <w:pPr>
        <w:pStyle w:val="ySubsection"/>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pPr>
      <w:r>
        <w:tab/>
        <w:t>[Clause 15 amended in Gazette 29 Apr 2005 p. 1774.]</w:t>
      </w:r>
    </w:p>
    <w:p>
      <w:pPr>
        <w:pStyle w:val="yHeading5"/>
        <w:outlineLvl w:val="9"/>
      </w:pPr>
      <w:bookmarkStart w:id="118" w:name="_Toc131829642"/>
      <w:bookmarkStart w:id="119" w:name="_Toc131829699"/>
      <w:r>
        <w:t>*16.</w:t>
      </w:r>
      <w:r>
        <w:tab/>
        <w:t>ASSIGNMENT AND SUBLETTING</w:t>
      </w:r>
      <w:bookmarkEnd w:id="118"/>
      <w:bookmarkEnd w:id="119"/>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outlineLvl w:val="9"/>
      </w:pPr>
      <w:bookmarkStart w:id="120" w:name="_Toc131829643"/>
      <w:bookmarkStart w:id="121" w:name="_Toc131829700"/>
      <w:r>
        <w:t>*17.</w:t>
      </w:r>
      <w:r>
        <w:tab/>
        <w:t>RATES, TAXES AND CHARGES</w:t>
      </w:r>
      <w:bookmarkEnd w:id="120"/>
      <w:bookmarkEnd w:id="121"/>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Heading5"/>
        <w:outlineLvl w:val="9"/>
      </w:pPr>
      <w:bookmarkStart w:id="122" w:name="_Toc131829644"/>
      <w:bookmarkStart w:id="123" w:name="_Toc131829701"/>
      <w:r>
        <w:t>18.</w:t>
      </w:r>
      <w:r>
        <w:tab/>
        <w:t>ENDING A TENANCY</w:t>
      </w:r>
      <w:bookmarkEnd w:id="122"/>
      <w:bookmarkEnd w:id="123"/>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If a tenant does not keep his or her part of the agreement except for not paying rent, the owner may give a notice (</w:t>
      </w:r>
      <w:r>
        <w:rPr>
          <w:b/>
        </w:rPr>
        <w:t>“</w:t>
      </w:r>
      <w:r>
        <w:rPr>
          <w:rStyle w:val="CharDefText"/>
        </w:rPr>
        <w:t>the first notice</w:t>
      </w:r>
      <w:r>
        <w:rPr>
          <w:b/>
        </w:rPr>
        <w:t>”</w:t>
      </w:r>
      <w:r>
        <w:t>) requiring that the matter be put right.</w:t>
      </w:r>
    </w:p>
    <w:p>
      <w:pPr>
        <w:pStyle w:val="yIndenta"/>
      </w:pPr>
      <w:r>
        <w:tab/>
      </w:r>
      <w:r>
        <w:tab/>
        <w:t>If the tenant does not put the matter right, then not less than 14 days after the first notice was given the owner may give another notice (</w:t>
      </w:r>
      <w:r>
        <w:rPr>
          <w:b/>
        </w:rPr>
        <w:t>“</w:t>
      </w:r>
      <w:r>
        <w:rPr>
          <w:rStyle w:val="CharDefText"/>
        </w:rPr>
        <w:t>the second notice</w:t>
      </w:r>
      <w:r>
        <w:rPr>
          <w:b/>
        </w:rPr>
        <w:t>”</w:t>
      </w:r>
      <w:r>
        <w:t>)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give a notice (</w:t>
      </w:r>
      <w:r>
        <w:rPr>
          <w:b/>
        </w:rPr>
        <w:t>“</w:t>
      </w:r>
      <w:r>
        <w:rPr>
          <w:rStyle w:val="CharDefText"/>
        </w:rPr>
        <w:t>the first notice</w:t>
      </w:r>
      <w:r>
        <w:rPr>
          <w:b/>
        </w:rPr>
        <w:t>”</w:t>
      </w:r>
      <w:r>
        <w:t>) to the tenant requiring payment of the outstanding rent and, if the rent is not paid, give another notice (</w:t>
      </w:r>
      <w:r>
        <w:rPr>
          <w:b/>
        </w:rPr>
        <w:t>“</w:t>
      </w:r>
      <w:r>
        <w:rPr>
          <w:rStyle w:val="CharDefText"/>
        </w:rPr>
        <w:t>the second notice</w:t>
      </w:r>
      <w:r>
        <w:rPr>
          <w:b/>
        </w:rPr>
        <w:t>”</w:t>
      </w:r>
      <w:r>
        <w:t>)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t>Sale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pPr>
      <w:r>
        <w:tab/>
      </w:r>
      <w:r>
        <w:tab/>
      </w:r>
      <w:r>
        <w:rPr>
          <w:b/>
        </w:rPr>
        <w:t>Competent court’s order</w:t>
      </w: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rPr>
          <w:b/>
        </w:rPr>
      </w:pPr>
      <w:r>
        <w:tab/>
      </w:r>
      <w:r>
        <w:tab/>
      </w:r>
      <w:r>
        <w:rPr>
          <w:b/>
        </w:rPr>
        <w:t>Goods left behind</w:t>
      </w:r>
    </w:p>
    <w:p>
      <w:pPr>
        <w:pStyle w:val="ySubsection"/>
      </w:pPr>
      <w:r>
        <w:tab/>
      </w:r>
      <w:r>
        <w:tab/>
        <w:t xml:space="preserve">There are detailed provisions in the Act about what is to be done with goods that are left behind by a tenant at the end of a tenancy. Information about those provisions can be obtained by contacting the Ministry of Fair Trading </w:t>
      </w:r>
      <w:r>
        <w:rPr>
          <w:vertAlign w:val="superscript"/>
        </w:rPr>
        <w:t>10</w:t>
      </w:r>
      <w:r>
        <w:t>. Apart from those provisions the owner cannot seize the tenant’s furniture or other goods as compensation for rent owing.</w:t>
      </w:r>
    </w:p>
    <w:p>
      <w:pPr>
        <w:pStyle w:val="yFootnotesection"/>
      </w:pPr>
      <w:r>
        <w:tab/>
        <w:t>[Clause 18 amended in Gazette 29 Apr 2005 p. 1774.]</w:t>
      </w:r>
    </w:p>
    <w:p>
      <w:pPr>
        <w:pStyle w:val="yHeading5"/>
        <w:outlineLvl w:val="9"/>
      </w:pPr>
      <w:bookmarkStart w:id="124" w:name="_Toc131829645"/>
      <w:bookmarkStart w:id="125" w:name="_Toc131829702"/>
      <w:r>
        <w:t>19.</w:t>
      </w:r>
      <w:r>
        <w:tab/>
        <w:t>GIVING OF NOTICES</w:t>
      </w:r>
      <w:bookmarkEnd w:id="124"/>
      <w:bookmarkEnd w:id="125"/>
    </w:p>
    <w:p>
      <w:pPr>
        <w:pStyle w:val="ySubsection"/>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pPr>
      <w:r>
        <w:tab/>
      </w:r>
      <w:r>
        <w:tab/>
        <w:t>Where there are 2 or more owners or tenants notice need only be given to one of them.</w:t>
      </w:r>
    </w:p>
    <w:p>
      <w:pPr>
        <w:pStyle w:val="ySubsection"/>
      </w:pPr>
      <w:r>
        <w:rPr>
          <w:vertAlign w:val="superscript"/>
        </w:rPr>
        <w:tab/>
      </w:r>
      <w:r>
        <w:rPr>
          <w:vertAlign w:val="superscript"/>
        </w:rPr>
        <w:tab/>
      </w:r>
      <w:r>
        <w:t>† Address at time of printing: 10 William Street, Perth.</w:t>
      </w:r>
    </w:p>
    <w:p>
      <w:pPr>
        <w:pStyle w:val="yFootnotesection"/>
      </w:pPr>
      <w:r>
        <w:tab/>
        <w:t>[Schedule 2 amended in Gazette 9 Sep 1994 p. 4629; 25 Jun 1996 p. 2906</w:t>
      </w:r>
      <w:r>
        <w:noBreakHyphen/>
        <w:t>11; 24 Dec 2004 p. 6151; 29 Apr 2005 p. 1773-4.]</w:t>
      </w:r>
    </w:p>
    <w:p>
      <w:pPr>
        <w:pStyle w:val="yScheduleHeading"/>
      </w:pPr>
      <w:bookmarkStart w:id="126" w:name="_Toc131829646"/>
      <w:bookmarkStart w:id="127" w:name="_Toc131829703"/>
      <w:r>
        <w:rPr>
          <w:rStyle w:val="CharSchNo"/>
        </w:rPr>
        <w:t>Schedule 3</w:t>
      </w:r>
      <w:bookmarkEnd w:id="126"/>
      <w:bookmarkEnd w:id="127"/>
      <w:r>
        <w:rPr>
          <w:rStyle w:val="CharSchNo"/>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a financially disadvantaged person ....................</w:t>
            </w:r>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any other person .................................................</w:t>
            </w:r>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r>
              <w:rPr>
                <w:b/>
              </w:rPr>
              <w:t>“</w:t>
            </w:r>
            <w:r>
              <w:rPr>
                <w:rStyle w:val="CharDefText"/>
              </w:rPr>
              <w:t>financially disadvantaged person</w:t>
            </w:r>
            <w:r>
              <w:rPr>
                <w:b/>
              </w:rPr>
              <w:t>”</w:t>
            </w:r>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spacing w:before="0"/>
              <w:ind w:left="426" w:hanging="425"/>
            </w:pP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rPr>
                <w:i/>
                <w:iCs/>
              </w:rPr>
              <w:t>((3) deleted</w:t>
            </w:r>
            <w:r>
              <w:t>)</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by any other person ..................................................</w:t>
            </w:r>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not exceeding 4 pages ..............................................</w:t>
            </w:r>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5 pages or more ........................................................</w:t>
            </w:r>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 Apr 2005 p. 1774-5.]</w:t>
      </w:r>
    </w:p>
    <w:p>
      <w:pPr>
        <w:pStyle w:val="yScheduleHeading"/>
      </w:pPr>
      <w:bookmarkStart w:id="128" w:name="_Toc131829647"/>
      <w:bookmarkStart w:id="129" w:name="_Toc131829704"/>
      <w:r>
        <w:rPr>
          <w:rStyle w:val="CharSchNo"/>
        </w:rPr>
        <w:t>Schedule 4</w:t>
      </w:r>
      <w:bookmarkEnd w:id="128"/>
      <w:bookmarkEnd w:id="129"/>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t>......................................................................................................................</w:t>
      </w:r>
      <w:r>
        <w:br/>
        <w:t>......................................................................................................................</w:t>
      </w:r>
    </w:p>
    <w:p>
      <w:pPr>
        <w:pStyle w:val="yTable"/>
        <w:keepNext/>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t>*....................................................................................................................</w:t>
      </w:r>
    </w:p>
    <w:p>
      <w:pPr>
        <w:pStyle w:val="yTable"/>
        <w:tabs>
          <w:tab w:val="left" w:pos="567"/>
          <w:tab w:val="right" w:leader="dot" w:pos="7088"/>
        </w:tabs>
        <w:spacing w:before="0"/>
        <w:ind w:left="567"/>
        <w:jc w:val="center"/>
      </w:pPr>
      <w:r>
        <w:t>(Name of authorised financial institution)</w:t>
      </w:r>
    </w:p>
    <w:p>
      <w:pPr>
        <w:pStyle w:val="yTable"/>
        <w:tabs>
          <w:tab w:val="left" w:pos="567"/>
          <w:tab w:val="right" w:leader="dot" w:pos="7088"/>
        </w:tabs>
      </w:pPr>
      <w:r>
        <w:tab/>
        <w:t>......................................................................................................................</w:t>
      </w:r>
    </w:p>
    <w:p>
      <w:pPr>
        <w:pStyle w:val="yTable"/>
        <w:tabs>
          <w:tab w:val="left" w:pos="567"/>
          <w:tab w:val="left" w:pos="1843"/>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2911-12.]</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4.55pt" o:ole="" fillcolor="window">
            <v:imagedata r:id="rId26" o:title=""/>
          </v:shape>
          <o:OLEObject Type="Embed" ProgID="PBrush" ShapeID="_x0000_i1025" DrawAspect="Content" ObjectID="_1511705145" r:id="rId27"/>
        </w:object>
      </w:r>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
        </w:numPr>
        <w:tabs>
          <w:tab w:val="right" w:leader="dot" w:pos="7088"/>
        </w:tabs>
      </w:pPr>
      <w:r>
        <w:t>The owner is seeking to terminate your residential tenancy agreement and requires you to vacate the premises on the date specified in this notice.</w:t>
      </w:r>
    </w:p>
    <w:p>
      <w:pPr>
        <w:pStyle w:val="yTable"/>
        <w:numPr>
          <w:ilvl w:val="0"/>
          <w:numId w:val="1"/>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
        </w:numPr>
        <w:tabs>
          <w:tab w:val="right" w:leader="dot" w:pos="7088"/>
        </w:tabs>
      </w:pPr>
      <w:r>
        <w:t>You should contact the owner or the owner’s agent immediately to try and resolve this matter.</w:t>
      </w:r>
    </w:p>
    <w:p>
      <w:pPr>
        <w:pStyle w:val="yTable"/>
        <w:numPr>
          <w:ilvl w:val="0"/>
          <w:numId w:val="1"/>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2412-13.]</w:t>
      </w:r>
    </w:p>
    <w:p>
      <w:pPr>
        <w:pStyle w:val="CentredBaseLine"/>
        <w:jc w:val="center"/>
        <w:rPr>
          <w:sz w:val="22"/>
        </w:rPr>
      </w:pPr>
      <w:r>
        <w:rPr>
          <w:sz w:val="22"/>
        </w:rPr>
        <w:object w:dxaOrig="1830" w:dyaOrig="285">
          <v:shape id="_x0000_i1026" type="#_x0000_t75" style="width:91.4pt;height:14.55pt" o:ole="" fillcolor="window">
            <v:imagedata r:id="rId26" o:title=""/>
          </v:shape>
          <o:OLEObject Type="Embed" ProgID="PBrush" ShapeID="_x0000_i1026" DrawAspect="Content" ObjectID="_1511705146" r:id="rId28"/>
        </w:object>
      </w:r>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2"/>
        </w:numPr>
        <w:tabs>
          <w:tab w:val="right" w:leader="dot" w:pos="7088"/>
        </w:tabs>
      </w:pPr>
      <w:r>
        <w:t>The owner is seeking to terminate your residential tenancy agreement and requires you to vacate the premises on the date specified in this notice.</w:t>
      </w:r>
    </w:p>
    <w:p>
      <w:pPr>
        <w:pStyle w:val="yTable"/>
        <w:numPr>
          <w:ilvl w:val="0"/>
          <w:numId w:val="2"/>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2"/>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2"/>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2"/>
        </w:numPr>
        <w:tabs>
          <w:tab w:val="right" w:leader="dot" w:pos="7088"/>
        </w:tabs>
      </w:pPr>
      <w:r>
        <w:t>You should contact the owner or the owner’s agent immediately to try and resolve this matter.</w:t>
      </w:r>
    </w:p>
    <w:p>
      <w:pPr>
        <w:pStyle w:val="yTable"/>
        <w:numPr>
          <w:ilvl w:val="0"/>
          <w:numId w:val="2"/>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2913-14.]</w:t>
      </w:r>
    </w:p>
    <w:p>
      <w:pPr>
        <w:pStyle w:val="CentredBaseLine"/>
        <w:jc w:val="center"/>
      </w:pPr>
      <w:r>
        <w:object w:dxaOrig="1830" w:dyaOrig="285">
          <v:shape id="_x0000_i1027" type="#_x0000_t75" style="width:91.4pt;height:14.55pt" o:ole="" fillcolor="window">
            <v:imagedata r:id="rId26" o:title=""/>
          </v:shape>
          <o:OLEObject Type="Embed" ProgID="PBrush" ShapeID="_x0000_i1027" DrawAspect="Content" ObjectID="_1511705147" r:id="rId29"/>
        </w:object>
      </w:r>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r>
        <w:rPr>
          <w:b/>
          <w:bCs/>
        </w:rPr>
        <w:t xml:space="preserve"> 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 Residential Tenancies Act 1987 as modified by regulation 5E(2) of the Residential Tenancies Regulations 1989.)</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3"/>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4"/>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5"/>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2914-15; amended in Gazette 24 Dec 2004 p. 6152-3.]</w:t>
      </w:r>
    </w:p>
    <w:p>
      <w:pPr>
        <w:pStyle w:val="CentredBaseLine"/>
        <w:jc w:val="center"/>
      </w:pPr>
      <w:r>
        <w:object w:dxaOrig="1830" w:dyaOrig="285">
          <v:shape id="_x0000_i1028" type="#_x0000_t75" style="width:91.4pt;height:14.55pt" o:ole="" fillcolor="window">
            <v:imagedata r:id="rId26" o:title=""/>
          </v:shape>
          <o:OLEObject Type="Embed" ProgID="PBrush" ShapeID="_x0000_i1028" DrawAspect="Content" ObjectID="_1511705148" r:id="rId30"/>
        </w:object>
      </w:r>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r>
        <w:object w:dxaOrig="1830" w:dyaOrig="285">
          <v:shape id="_x0000_i1029" type="#_x0000_t75" style="width:91.4pt;height:14.55pt" o:ole="" fillcolor="window">
            <v:imagedata r:id="rId26" o:title=""/>
          </v:shape>
          <o:OLEObject Type="Embed" ProgID="PBrush" ShapeID="_x0000_i1029" DrawAspect="Content" ObjectID="_1511705149" r:id="rId31"/>
        </w:object>
      </w:r>
    </w:p>
    <w:p>
      <w:pPr>
        <w:pStyle w:val="yFootnotesection"/>
      </w:pPr>
      <w:r>
        <w:tab/>
        <w:t>[Form 2 amended in Gazette 29 Apr 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r>
        <w:object w:dxaOrig="1830" w:dyaOrig="285">
          <v:shape id="_x0000_i1030" type="#_x0000_t75" style="width:91.4pt;height:14.55pt" o:ole="" fillcolor="window">
            <v:imagedata r:id="rId26" o:title=""/>
          </v:shape>
          <o:OLEObject Type="Embed" ProgID="PBrush" ShapeID="_x0000_i1030" DrawAspect="Content" ObjectID="_1511705150" r:id="rId32"/>
        </w:object>
      </w:r>
    </w:p>
    <w:p>
      <w:pPr>
        <w:pStyle w:val="yFootnotesection"/>
      </w:pPr>
      <w:r>
        <w:tab/>
        <w:t>[Form 3 amended in Gazette 29 Apr 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tabs>
          <w:tab w:val="right" w:leader="dot" w:pos="7088"/>
        </w:tabs>
        <w:ind w:left="567" w:hanging="567"/>
        <w:jc w:val="center"/>
      </w:pPr>
      <w:r>
        <w:t>FORM 4 — REVERSE</w:t>
      </w:r>
    </w:p>
    <w:p>
      <w:pPr>
        <w:pStyle w:val="yTable"/>
        <w:tabs>
          <w:tab w:val="right" w:leader="dot" w:pos="7088"/>
        </w:tabs>
        <w:ind w:left="567" w:hanging="567"/>
        <w:jc w:val="center"/>
        <w:rPr>
          <w:b/>
        </w:rPr>
      </w:pPr>
      <w:r>
        <w:rPr>
          <w:b/>
        </w:rPr>
        <w:t>IMPORTANT INFORMATION</w:t>
      </w:r>
    </w:p>
    <w:p>
      <w:pPr>
        <w:pStyle w:val="yTable"/>
        <w:tabs>
          <w:tab w:val="right" w:leader="dot" w:pos="7088"/>
        </w:tabs>
        <w:rPr>
          <w:b/>
        </w:rPr>
      </w:pPr>
      <w:r>
        <w:rPr>
          <w:b/>
        </w:rPr>
        <w:t>Signing the form</w:t>
      </w:r>
    </w:p>
    <w:p>
      <w:pPr>
        <w:pStyle w:val="yTable"/>
        <w:tabs>
          <w:tab w:val="right" w:leader="dot" w:pos="7088"/>
        </w:tabs>
      </w:pPr>
      <w:r>
        <w:t>Do not sign this form until the tenancy has ended and Part E has been completed.</w:t>
      </w:r>
    </w:p>
    <w:p>
      <w:pPr>
        <w:pStyle w:val="yTable"/>
        <w:tabs>
          <w:tab w:val="right" w:leader="dot" w:pos="7088"/>
        </w:tabs>
      </w:pPr>
      <w:r>
        <w:t>If you are a tenant do not sign this form unless you agree that the amount of the security bond should be disposed of in accordance with Part E as completed.</w:t>
      </w:r>
    </w:p>
    <w:p>
      <w:pPr>
        <w:pStyle w:val="yTable"/>
        <w:tabs>
          <w:tab w:val="right" w:leader="dot" w:pos="7088"/>
        </w:tabs>
      </w:pPr>
      <w:r>
        <w:t>If you cannot agree on the amounts payable you may need to make an application to the court for a determination on how the security bond is to be disposed of.</w:t>
      </w:r>
    </w:p>
    <w:p>
      <w:pPr>
        <w:pStyle w:val="yTable"/>
        <w:tabs>
          <w:tab w:val="right" w:leader="dot" w:pos="7088"/>
        </w:tabs>
      </w:pPr>
      <w:r>
        <w:t>All parties to the residential tenancy agreement are required to sign this form.</w:t>
      </w:r>
    </w:p>
    <w:p>
      <w:pPr>
        <w:pStyle w:val="yTable"/>
        <w:tabs>
          <w:tab w:val="right" w:leader="dot" w:pos="7088"/>
        </w:tabs>
        <w:spacing w:before="160"/>
        <w:rPr>
          <w:b/>
        </w:rPr>
      </w:pPr>
      <w:r>
        <w:rPr>
          <w:b/>
        </w:rPr>
        <w:t>Changes to the form</w:t>
      </w:r>
    </w:p>
    <w:p>
      <w:pPr>
        <w:pStyle w:val="yTable"/>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jc w:val="center"/>
        <w:rPr>
          <w:b/>
        </w:rPr>
      </w:pPr>
      <w:r>
        <w:rPr>
          <w:b/>
        </w:rPr>
        <w:t>SEEK ADVICE IMMEDIATELY IF YOU NEED MORE INFORMATION</w:t>
      </w:r>
    </w:p>
    <w:p>
      <w:pPr>
        <w:pStyle w:val="yFootnotesection"/>
      </w:pPr>
      <w:r>
        <w:tab/>
        <w:t>[Form 4 inserted in Gazette 25 Jun 1996 p. 2915-17.]</w:t>
      </w:r>
    </w:p>
    <w:p>
      <w:pPr>
        <w:pStyle w:val="CentredBaseLine"/>
        <w:jc w:val="center"/>
      </w:pPr>
      <w:r>
        <w:object w:dxaOrig="1830" w:dyaOrig="285">
          <v:shape id="_x0000_i1031" type="#_x0000_t75" style="width:91.4pt;height:14.55pt" o:ole="" fillcolor="window">
            <v:imagedata r:id="rId26" o:title=""/>
          </v:shape>
          <o:OLEObject Type="Embed" ProgID="PBrush" ShapeID="_x0000_i1031" DrawAspect="Content" ObjectID="_1511705151" r:id="rId33"/>
        </w:object>
      </w:r>
    </w:p>
    <w:p>
      <w:pPr>
        <w:pStyle w:val="yHeading4"/>
        <w:outlineLvl w:val="9"/>
      </w:pPr>
      <w:bookmarkStart w:id="130" w:name="_Toc102877292"/>
      <w:bookmarkStart w:id="131" w:name="_Toc131829648"/>
      <w:bookmarkStart w:id="132" w:name="_Toc131829705"/>
      <w:r>
        <w:t>FORM 5</w:t>
      </w:r>
      <w:bookmarkEnd w:id="130"/>
      <w:bookmarkEnd w:id="131"/>
      <w:bookmarkEnd w:id="132"/>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pPr>
            <w:r>
              <w:rPr>
                <w:b/>
                <w:bCs/>
                <w:sz w:val="20"/>
              </w:rPr>
              <w:t>MAGISTRATES COURT</w:t>
            </w:r>
          </w:p>
          <w:p>
            <w:pPr>
              <w:pStyle w:val="yTable"/>
              <w:rPr>
                <w:b/>
                <w:bCs/>
              </w:rPr>
            </w:pPr>
            <w:r>
              <w:t xml:space="preserve">………. </w:t>
            </w:r>
            <w:r>
              <w:rPr>
                <w:b/>
                <w:bCs/>
              </w:rPr>
              <w:t>REGISTRY</w:t>
            </w:r>
          </w:p>
          <w:p>
            <w:pPr>
              <w:pStyle w:val="yTable"/>
            </w:pPr>
            <w:r>
              <w:t>Ph:</w:t>
            </w:r>
          </w:p>
          <w:p>
            <w:pPr>
              <w:pStyle w:val="yTable"/>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i/>
                <w:sz w:val="20"/>
              </w:rPr>
              <w:t>Residential Tenancies Act 1987</w:t>
            </w:r>
          </w:p>
          <w:p>
            <w:pPr>
              <w:pStyle w:val="yTable"/>
              <w:jc w:val="center"/>
              <w:rPr>
                <w:b/>
                <w:bCs/>
              </w:rPr>
            </w:pPr>
            <w:r>
              <w:rPr>
                <w:b/>
                <w:bCs/>
              </w:rPr>
              <w:t>Schedule 1 clause 8(3) and (4)</w:t>
            </w:r>
          </w:p>
          <w:p>
            <w:pPr>
              <w:pStyle w:val="yTable"/>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pPr>
            <w:r>
              <w:rPr>
                <w:sz w:val="20"/>
              </w:rPr>
              <w:t>Case number:</w:t>
            </w:r>
          </w:p>
          <w:p>
            <w:pPr>
              <w:pStyle w:val="yTable"/>
            </w:pPr>
          </w:p>
          <w:p>
            <w:pPr>
              <w:pStyle w:val="yTable"/>
            </w:pPr>
            <w:r>
              <w:t>Date lodged:</w:t>
            </w:r>
          </w:p>
        </w:tc>
      </w:tr>
    </w:tbl>
    <w:p>
      <w:pPr>
        <w:pStyle w:val="yTable"/>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APPLICANT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Borders>
              <w:top w:val="single" w:sz="4" w:space="0" w:color="auto"/>
            </w:tcBorders>
          </w:tcPr>
          <w:p>
            <w:pPr>
              <w:pStyle w:val="zytable"/>
              <w:keepNext/>
              <w:keepLines/>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pPr>
      <w:r>
        <w:tab/>
        <w:t>[Form 5 inserted in Gazette 29 Apr 2005 p. 1775-6.]</w:t>
      </w:r>
    </w:p>
    <w:p>
      <w:pPr>
        <w:pStyle w:val="yFootnotesection"/>
      </w:pPr>
      <w:r>
        <w:tab/>
        <w:t>[Schedule 4 amended in Gazette 25 Jun 1996 p. 2911</w:t>
      </w:r>
      <w:r>
        <w:noBreakHyphen/>
        <w:t>17; 24 Dec 2004 p. 6152</w:t>
      </w:r>
      <w:r>
        <w:noBreakHyphen/>
        <w:t>3; 29 Apr 2005 p. 1775-6.]</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33" w:name="_Toc91570171"/>
      <w:bookmarkStart w:id="134" w:name="_Toc91580313"/>
      <w:bookmarkStart w:id="135" w:name="_Toc101595497"/>
      <w:bookmarkStart w:id="136" w:name="_Toc102877293"/>
      <w:bookmarkStart w:id="137" w:name="_Toc131829649"/>
      <w:bookmarkStart w:id="138" w:name="_Toc131829706"/>
      <w:r>
        <w:t>Notes</w:t>
      </w:r>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9" w:name="_Toc131829650"/>
      <w:bookmarkStart w:id="140" w:name="_Toc131829707"/>
      <w:r>
        <w:rPr>
          <w:snapToGrid w:val="0"/>
        </w:rPr>
        <w:t>Compilation table</w:t>
      </w:r>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keepNext/>
              <w:spacing w:after="40"/>
              <w:rPr>
                <w:sz w:val="19"/>
              </w:rPr>
            </w:pPr>
            <w:r>
              <w:rPr>
                <w:i/>
                <w:sz w:val="19"/>
              </w:rPr>
              <w:t>Residential Tenancies Amendment Regulations (No. 4) 1991</w:t>
            </w:r>
          </w:p>
        </w:tc>
        <w:tc>
          <w:tcPr>
            <w:tcW w:w="1276" w:type="dxa"/>
          </w:tcPr>
          <w:p>
            <w:pPr>
              <w:pStyle w:val="nTable"/>
              <w:keepNext/>
              <w:spacing w:after="40"/>
              <w:rPr>
                <w:sz w:val="19"/>
              </w:rPr>
            </w:pPr>
            <w:r>
              <w:rPr>
                <w:sz w:val="19"/>
              </w:rPr>
              <w:t>13 Dec 1991 p. 6153</w:t>
            </w:r>
          </w:p>
        </w:tc>
        <w:tc>
          <w:tcPr>
            <w:tcW w:w="2693" w:type="dxa"/>
          </w:tcPr>
          <w:p>
            <w:pPr>
              <w:pStyle w:val="nTable"/>
              <w:keepNext/>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Residential Tenancies Amendment Regulations 2005</w:t>
            </w:r>
          </w:p>
        </w:tc>
        <w:tc>
          <w:tcPr>
            <w:tcW w:w="1276" w:type="dxa"/>
          </w:tcPr>
          <w:p>
            <w:pPr>
              <w:pStyle w:val="nTable"/>
              <w:spacing w:after="40"/>
              <w:rPr>
                <w:sz w:val="19"/>
              </w:rPr>
            </w:pPr>
            <w:r>
              <w:rPr>
                <w:sz w:val="19"/>
              </w:rPr>
              <w:t>29 Apr 2005</w:t>
            </w:r>
            <w:r>
              <w:rPr>
                <w:sz w:val="19"/>
              </w:rPr>
              <w:br/>
              <w:t>p. 1771-6</w:t>
            </w:r>
          </w:p>
        </w:tc>
        <w:tc>
          <w:tcPr>
            <w:tcW w:w="2693" w:type="dxa"/>
          </w:tcPr>
          <w:p>
            <w:pPr>
              <w:pStyle w:val="nTable"/>
              <w:spacing w:after="40"/>
              <w:rPr>
                <w:sz w:val="19"/>
              </w:rPr>
            </w:pPr>
            <w:r>
              <w:rPr>
                <w:sz w:val="19"/>
              </w:rPr>
              <w:t>1 May 2005 (see r. 2 and Gazette 31 Dec 2004 p. 7128)</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84</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Footnote no longer applicable.</w:t>
      </w:r>
    </w:p>
    <w:p>
      <w:pPr>
        <w:pStyle w:val="nSubsection"/>
      </w:pPr>
      <w:r>
        <w:rPr>
          <w:vertAlign w:val="superscript"/>
        </w:rPr>
        <w:t>4</w:t>
      </w:r>
      <w:r>
        <w:tab/>
        <w:t xml:space="preserve">Under the </w:t>
      </w:r>
      <w:r>
        <w:rPr>
          <w:i/>
        </w:rPr>
        <w:t>Public Transport Authority Act 2003</w:t>
      </w:r>
      <w:r>
        <w:t xml:space="preserve"> the Western Australian Government Railways Commission is succeeded by the Public Transport Authority of Western Australia.</w:t>
      </w:r>
    </w:p>
    <w:p>
      <w:pPr>
        <w:pStyle w:val="nSubsection"/>
      </w:pPr>
      <w:r>
        <w:rPr>
          <w:vertAlign w:val="superscript"/>
        </w:rPr>
        <w:t>5</w:t>
      </w:r>
      <w:r>
        <w:tab/>
        <w:t>Now see Commissioner of Main Roads.</w:t>
      </w:r>
    </w:p>
    <w:p>
      <w:pPr>
        <w:pStyle w:val="nSubsection"/>
      </w:pPr>
      <w:r>
        <w:rPr>
          <w:vertAlign w:val="superscript"/>
        </w:rPr>
        <w:t>6</w:t>
      </w:r>
      <w:r>
        <w:tab/>
        <w:t>Now see the Western Australian Meat Industry Authority.</w:t>
      </w:r>
    </w:p>
    <w:p>
      <w:pPr>
        <w:pStyle w:val="nSubsection"/>
      </w:pPr>
      <w:r>
        <w:rPr>
          <w:vertAlign w:val="superscript"/>
        </w:rPr>
        <w:t>7</w:t>
      </w:r>
      <w:r>
        <w:tab/>
        <w:t xml:space="preserve">Under the </w:t>
      </w:r>
      <w:r>
        <w:rPr>
          <w:i/>
        </w:rPr>
        <w:t>Alteration of Statutory Designations Order (No. 3) 2001</w:t>
      </w:r>
      <w:r>
        <w:t xml:space="preserve"> a reference to the Ministry of Sport and Recreation is to be read and construed as a reference to the Department of Sport and Recreation.</w:t>
      </w:r>
    </w:p>
    <w:p>
      <w:pPr>
        <w:pStyle w:val="nSubsection"/>
      </w:pPr>
      <w:r>
        <w:rPr>
          <w:vertAlign w:val="superscript"/>
        </w:rPr>
        <w:t>8</w:t>
      </w:r>
      <w:r>
        <w:tab/>
        <w:t xml:space="preserve">Under the </w:t>
      </w:r>
      <w:r>
        <w:rPr>
          <w:i/>
        </w:rPr>
        <w:t>Alteration of Statutory Designations Order (No. 3) 2001</w:t>
      </w:r>
      <w:r>
        <w:t xml:space="preserve"> a reference to the Health Department of Western Australia is to be read and construed as a reference to the Department of Health.</w:t>
      </w:r>
    </w:p>
    <w:p>
      <w:pPr>
        <w:pStyle w:val="nSubsection"/>
      </w:pPr>
      <w:r>
        <w:rPr>
          <w:vertAlign w:val="superscript"/>
        </w:rPr>
        <w:t>9</w:t>
      </w:r>
      <w:r>
        <w:tab/>
        <w:t xml:space="preserve">Under the </w:t>
      </w:r>
      <w:r>
        <w:rPr>
          <w:i/>
        </w:rPr>
        <w:t>Alteration of Statutory Designations Order (No. 3) 2001</w:t>
      </w:r>
      <w:r>
        <w:t xml:space="preserve"> a reference to the Crown Law Department is to be read and construed as a reference to the Department of Justice.</w:t>
      </w:r>
    </w:p>
    <w:p>
      <w:pPr>
        <w:pStyle w:val="nSubsection"/>
      </w:pPr>
      <w:r>
        <w:rPr>
          <w:vertAlign w:val="superscript"/>
        </w:rPr>
        <w:t>10</w:t>
      </w:r>
      <w:r>
        <w:tab/>
        <w:t xml:space="preserve">Under the </w:t>
      </w:r>
      <w:r>
        <w:rPr>
          <w:i/>
        </w:rPr>
        <w:t>Alteration of Statutory Designations Order (No. 2) 2001</w:t>
      </w:r>
      <w:r>
        <w:t xml:space="preserve"> a reference to the Ministry of Fair Trading is to be read and construed as a reference to the Department of Consumer and Employment Protection.</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3842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6A4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022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3CF3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8A956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521C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F4DF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058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2E7DBA"/>
    <w:lvl w:ilvl="0">
      <w:start w:val="1"/>
      <w:numFmt w:val="decimal"/>
      <w:pStyle w:val="ListNumber"/>
      <w:lvlText w:val="%1."/>
      <w:lvlJc w:val="left"/>
      <w:pPr>
        <w:tabs>
          <w:tab w:val="num" w:pos="360"/>
        </w:tabs>
        <w:ind w:left="360" w:hanging="360"/>
      </w:pPr>
    </w:lvl>
  </w:abstractNum>
  <w:abstractNum w:abstractNumId="9">
    <w:nsid w:val="FFFFFF89"/>
    <w:multiLevelType w:val="singleLevel"/>
    <w:tmpl w:val="32B6E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B07293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A0989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0"/>
  </w:num>
  <w:num w:numId="3">
    <w:abstractNumId w:val="25"/>
  </w:num>
  <w:num w:numId="4">
    <w:abstractNumId w:val="15"/>
  </w:num>
  <w:num w:numId="5">
    <w:abstractNumId w:val="10"/>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25"/>
    <w:docVar w:name="WAFER_20151209112925" w:val="RemoveTrackChanges"/>
    <w:docVar w:name="WAFER_20151209112925_GUID" w:val="38b4fe95-0832-488b-91a3-edc8eb80af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11289</Words>
  <Characters>63110</Characters>
  <Application>Microsoft Office Word</Application>
  <DocSecurity>0</DocSecurity>
  <Lines>1660</Lines>
  <Paragraphs>1062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1989 - 02-d0-04</dc:title>
  <dc:subject/>
  <dc:creator/>
  <cp:keywords/>
  <dc:description/>
  <cp:lastModifiedBy>svcMRProcess</cp:lastModifiedBy>
  <cp:revision>4</cp:revision>
  <cp:lastPrinted>2003-10-02T00:04:00Z</cp:lastPrinted>
  <dcterms:created xsi:type="dcterms:W3CDTF">2015-12-15T09:19:00Z</dcterms:created>
  <dcterms:modified xsi:type="dcterms:W3CDTF">2015-12-15T09:19:00Z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4744</vt:i4>
  </property>
  <property fmtid="{D5CDD505-2E9C-101B-9397-08002B2CF9AE}" pid="6" name="AsAtDate">
    <vt:lpwstr>01 Apr 2006</vt:lpwstr>
  </property>
  <property fmtid="{D5CDD505-2E9C-101B-9397-08002B2CF9AE}" pid="7" name="Suffix">
    <vt:lpwstr>02-d0-04</vt:lpwstr>
  </property>
</Properties>
</file>