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Offshore Minerals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_Toc11940962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_Toc11940963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_Toc11940964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_Toc11940966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_Toc11940968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_Toc11940969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_Toc11940971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_Toc11940972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_Toc11940973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_Toc11940974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_Toc11940976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_Toc11940977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_Toc11940978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_Toc11940979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_Toc11940981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_Toc11940982 \h </w:instrText>
      </w:r>
      <w:r>
        <w:fldChar w:fldCharType="separate"/>
      </w:r>
      <w:r>
        <w:t>9</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_Toc11940983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_Toc11940984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_Toc11940985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_Toc11940986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_Toc11940990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465774428"/>
      <w:bookmarkStart w:id="4" w:name="_Toc466281937"/>
      <w:bookmarkStart w:id="5" w:name="_Toc469996889"/>
      <w:bookmarkStart w:id="6" w:name="_Toc486412411"/>
      <w:bookmarkStart w:id="7" w:name="_Toc517873330"/>
      <w:bookmarkStart w:id="8" w:name="_Toc11751431"/>
      <w:bookmarkStart w:id="9" w:name="_Toc11751463"/>
      <w:bookmarkStart w:id="10" w:name="_Toc11940923"/>
      <w:bookmarkStart w:id="11" w:name="_Toc119409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1940962"/>
      <w:r>
        <w:rPr>
          <w:rStyle w:val="CharSectno"/>
        </w:rPr>
        <w:t>1</w:t>
      </w:r>
      <w:r>
        <w:t>.</w:t>
      </w:r>
      <w:r>
        <w:tab/>
        <w:t>Citation</w:t>
      </w:r>
      <w:bookmarkEnd w:id="12"/>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14" w:name="_Toc11940963"/>
      <w:r>
        <w:rPr>
          <w:rStyle w:val="CharSectno"/>
        </w:rPr>
        <w:t>2</w:t>
      </w:r>
      <w:r>
        <w:rPr>
          <w:spacing w:val="-2"/>
        </w:rPr>
        <w:t>.</w:t>
      </w:r>
      <w:r>
        <w:rPr>
          <w:spacing w:val="-2"/>
        </w:rPr>
        <w:tab/>
        <w:t>Commencement</w:t>
      </w:r>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15" w:name="_Toc11940964"/>
      <w:r>
        <w:rPr>
          <w:rStyle w:val="CharSectno"/>
        </w:rPr>
        <w:t>3</w:t>
      </w:r>
      <w:r>
        <w:t>.</w:t>
      </w:r>
      <w:r>
        <w:tab/>
        <w:t>Term used: section</w:t>
      </w:r>
      <w:bookmarkEnd w:id="15"/>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6" w:name="_Toc465774432"/>
      <w:bookmarkStart w:id="17" w:name="_Toc466281941"/>
      <w:bookmarkStart w:id="18" w:name="_Toc469996893"/>
      <w:bookmarkStart w:id="19" w:name="_Toc486412415"/>
      <w:bookmarkStart w:id="20" w:name="_Toc517873334"/>
      <w:bookmarkStart w:id="21" w:name="_Toc11751435"/>
      <w:bookmarkStart w:id="22" w:name="_Toc11751467"/>
      <w:bookmarkStart w:id="23" w:name="_Toc11940927"/>
      <w:bookmarkStart w:id="24" w:name="_Toc11940965"/>
      <w:r>
        <w:rPr>
          <w:rStyle w:val="CharPartNo"/>
        </w:rPr>
        <w:t>Part 2</w:t>
      </w:r>
      <w:r>
        <w:rPr>
          <w:rStyle w:val="CharDivNo"/>
        </w:rPr>
        <w:t> </w:t>
      </w:r>
      <w:r>
        <w:t>—</w:t>
      </w:r>
      <w:r>
        <w:rPr>
          <w:rStyle w:val="CharDivText"/>
        </w:rPr>
        <w:t> </w:t>
      </w:r>
      <w:r>
        <w:rPr>
          <w:rStyle w:val="CharPartText"/>
        </w:rPr>
        <w:t>Prescribed Australian datum</w:t>
      </w:r>
      <w:bookmarkEnd w:id="16"/>
      <w:bookmarkEnd w:id="17"/>
      <w:bookmarkEnd w:id="18"/>
      <w:bookmarkEnd w:id="19"/>
      <w:bookmarkEnd w:id="20"/>
      <w:bookmarkEnd w:id="21"/>
      <w:bookmarkEnd w:id="22"/>
      <w:bookmarkEnd w:id="23"/>
      <w:bookmarkEnd w:id="24"/>
    </w:p>
    <w:p>
      <w:pPr>
        <w:pStyle w:val="Heading5"/>
      </w:pPr>
      <w:bookmarkStart w:id="25" w:name="_Toc11940966"/>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25"/>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26" w:name="_Toc465774434"/>
      <w:bookmarkStart w:id="27" w:name="_Toc466281943"/>
      <w:bookmarkStart w:id="28" w:name="_Toc469996895"/>
      <w:bookmarkStart w:id="29" w:name="_Toc486412417"/>
      <w:bookmarkStart w:id="30" w:name="_Toc517873336"/>
      <w:bookmarkStart w:id="31" w:name="_Toc11751437"/>
      <w:bookmarkStart w:id="32" w:name="_Toc11751469"/>
      <w:bookmarkStart w:id="33" w:name="_Toc11940929"/>
      <w:bookmarkStart w:id="34" w:name="_Toc11940967"/>
      <w:r>
        <w:rPr>
          <w:rStyle w:val="CharPartNo"/>
        </w:rPr>
        <w:t>Part 3</w:t>
      </w:r>
      <w:r>
        <w:rPr>
          <w:rStyle w:val="CharDivNo"/>
        </w:rPr>
        <w:t> </w:t>
      </w:r>
      <w:r>
        <w:t>—</w:t>
      </w:r>
      <w:r>
        <w:rPr>
          <w:rStyle w:val="CharDivText"/>
        </w:rPr>
        <w:t> </w:t>
      </w:r>
      <w:r>
        <w:rPr>
          <w:rStyle w:val="CharPartText"/>
        </w:rPr>
        <w:t>Ballot procedures</w:t>
      </w:r>
      <w:bookmarkEnd w:id="26"/>
      <w:bookmarkEnd w:id="27"/>
      <w:bookmarkEnd w:id="28"/>
      <w:bookmarkEnd w:id="29"/>
      <w:bookmarkEnd w:id="30"/>
      <w:bookmarkEnd w:id="31"/>
      <w:bookmarkEnd w:id="32"/>
      <w:bookmarkEnd w:id="33"/>
      <w:bookmarkEnd w:id="34"/>
    </w:p>
    <w:p>
      <w:pPr>
        <w:pStyle w:val="Heading5"/>
      </w:pPr>
      <w:bookmarkStart w:id="35" w:name="_Toc11940968"/>
      <w:r>
        <w:rPr>
          <w:rStyle w:val="CharSectno"/>
        </w:rPr>
        <w:t>5</w:t>
      </w:r>
      <w:r>
        <w:t>.</w:t>
      </w:r>
      <w:r>
        <w:tab/>
        <w:t>Multiple applications: time of lodgment</w:t>
      </w:r>
      <w:bookmarkEnd w:id="35"/>
    </w:p>
    <w:p>
      <w:pPr>
        <w:pStyle w:val="Subsection"/>
      </w:pPr>
      <w:r>
        <w:tab/>
      </w:r>
      <w:r>
        <w:tab/>
        <w:t>For the purposes of sections 58(2)(b) and 203(2)(b), the time of 30 minutes is prescribed.</w:t>
      </w:r>
    </w:p>
    <w:p>
      <w:pPr>
        <w:pStyle w:val="Heading5"/>
      </w:pPr>
      <w:bookmarkStart w:id="36" w:name="_Toc11940969"/>
      <w:r>
        <w:rPr>
          <w:rStyle w:val="CharSectno"/>
        </w:rPr>
        <w:t>6</w:t>
      </w:r>
      <w:r>
        <w:t>.</w:t>
      </w:r>
      <w:r>
        <w:tab/>
        <w:t>Multiple applications: drawing of lots</w:t>
      </w:r>
      <w:bookmarkEnd w:id="36"/>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37" w:name="_Toc465774437"/>
      <w:bookmarkStart w:id="38" w:name="_Toc466281946"/>
      <w:bookmarkStart w:id="39" w:name="_Toc469996898"/>
      <w:bookmarkStart w:id="40" w:name="_Toc486412420"/>
      <w:bookmarkStart w:id="41" w:name="_Toc517873339"/>
      <w:bookmarkStart w:id="42" w:name="_Toc11751440"/>
      <w:bookmarkStart w:id="43" w:name="_Toc11751472"/>
      <w:bookmarkStart w:id="44" w:name="_Toc11940932"/>
      <w:bookmarkStart w:id="45" w:name="_Toc11940970"/>
      <w:r>
        <w:rPr>
          <w:rStyle w:val="CharPartNo"/>
        </w:rPr>
        <w:t>Part 4</w:t>
      </w:r>
      <w:r>
        <w:rPr>
          <w:rStyle w:val="CharDivNo"/>
        </w:rPr>
        <w:t> </w:t>
      </w:r>
      <w:r>
        <w:t>—</w:t>
      </w:r>
      <w:r>
        <w:rPr>
          <w:rStyle w:val="CharDivText"/>
        </w:rPr>
        <w:t> </w:t>
      </w:r>
      <w:r>
        <w:rPr>
          <w:rStyle w:val="CharPartText"/>
        </w:rPr>
        <w:t>Records and samples</w:t>
      </w:r>
      <w:bookmarkEnd w:id="37"/>
      <w:bookmarkEnd w:id="38"/>
      <w:bookmarkEnd w:id="39"/>
      <w:bookmarkEnd w:id="40"/>
      <w:bookmarkEnd w:id="41"/>
      <w:bookmarkEnd w:id="42"/>
      <w:bookmarkEnd w:id="43"/>
      <w:bookmarkEnd w:id="44"/>
      <w:bookmarkEnd w:id="45"/>
    </w:p>
    <w:p>
      <w:pPr>
        <w:pStyle w:val="Heading5"/>
      </w:pPr>
      <w:bookmarkStart w:id="46" w:name="_Toc11940971"/>
      <w:r>
        <w:rPr>
          <w:rStyle w:val="CharSectno"/>
        </w:rPr>
        <w:t>7</w:t>
      </w:r>
      <w:r>
        <w:t>.</w:t>
      </w:r>
      <w:r>
        <w:tab/>
        <w:t>Terms used</w:t>
      </w:r>
      <w:bookmarkEnd w:id="46"/>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47" w:name="_Toc11940972"/>
      <w:r>
        <w:rPr>
          <w:rStyle w:val="CharSectno"/>
        </w:rPr>
        <w:t>8</w:t>
      </w:r>
      <w:r>
        <w:t>.</w:t>
      </w:r>
      <w:r>
        <w:tab/>
        <w:t>Records</w:t>
      </w:r>
      <w:bookmarkEnd w:id="47"/>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48" w:name="_Toc11940973"/>
      <w:r>
        <w:rPr>
          <w:rStyle w:val="CharSectno"/>
        </w:rPr>
        <w:t>9</w:t>
      </w:r>
      <w:r>
        <w:t>.</w:t>
      </w:r>
      <w:r>
        <w:tab/>
        <w:t>Drill cores</w:t>
      </w:r>
      <w:bookmarkEnd w:id="48"/>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49" w:name="_Toc11940974"/>
      <w:r>
        <w:rPr>
          <w:rStyle w:val="CharSectno"/>
        </w:rPr>
        <w:t>10</w:t>
      </w:r>
      <w:r>
        <w:t>.</w:t>
      </w:r>
      <w:r>
        <w:tab/>
        <w:t>Testing and analysis of samples</w:t>
      </w:r>
      <w:bookmarkEnd w:id="49"/>
    </w:p>
    <w:p>
      <w:pPr>
        <w:pStyle w:val="Subsection"/>
      </w:pPr>
      <w:r>
        <w:tab/>
      </w:r>
      <w:r>
        <w:tab/>
        <w:t>The Minister or an inspector may test or analyse a sample given to the Minister or inspector under section 371.</w:t>
      </w:r>
    </w:p>
    <w:p>
      <w:pPr>
        <w:pStyle w:val="Heading2"/>
      </w:pPr>
      <w:bookmarkStart w:id="50" w:name="_Toc465774442"/>
      <w:bookmarkStart w:id="51" w:name="_Toc466281951"/>
      <w:bookmarkStart w:id="52" w:name="_Toc469996903"/>
      <w:bookmarkStart w:id="53" w:name="_Toc486412425"/>
      <w:bookmarkStart w:id="54" w:name="_Toc517873344"/>
      <w:bookmarkStart w:id="55" w:name="_Toc11751445"/>
      <w:bookmarkStart w:id="56" w:name="_Toc11751477"/>
      <w:bookmarkStart w:id="57" w:name="_Toc11940937"/>
      <w:bookmarkStart w:id="58" w:name="_Toc11940975"/>
      <w:r>
        <w:rPr>
          <w:rStyle w:val="CharPartNo"/>
        </w:rPr>
        <w:t>Part 5</w:t>
      </w:r>
      <w:r>
        <w:rPr>
          <w:rStyle w:val="CharDivNo"/>
        </w:rPr>
        <w:t> </w:t>
      </w:r>
      <w:r>
        <w:t>—</w:t>
      </w:r>
      <w:r>
        <w:rPr>
          <w:rStyle w:val="CharDivText"/>
        </w:rPr>
        <w:t> </w:t>
      </w:r>
      <w:r>
        <w:rPr>
          <w:rStyle w:val="CharPartText"/>
        </w:rPr>
        <w:t>Restoration of environment</w:t>
      </w:r>
      <w:bookmarkEnd w:id="50"/>
      <w:bookmarkEnd w:id="51"/>
      <w:bookmarkEnd w:id="52"/>
      <w:bookmarkEnd w:id="53"/>
      <w:bookmarkEnd w:id="54"/>
      <w:bookmarkEnd w:id="55"/>
      <w:bookmarkEnd w:id="56"/>
      <w:bookmarkEnd w:id="57"/>
      <w:bookmarkEnd w:id="58"/>
    </w:p>
    <w:p>
      <w:pPr>
        <w:pStyle w:val="Heading5"/>
      </w:pPr>
      <w:bookmarkStart w:id="59" w:name="_Toc11940976"/>
      <w:r>
        <w:rPr>
          <w:rStyle w:val="CharSectno"/>
        </w:rPr>
        <w:t>11</w:t>
      </w:r>
      <w:r>
        <w:t>.</w:t>
      </w:r>
      <w:r>
        <w:tab/>
        <w:t>Terms used</w:t>
      </w:r>
      <w:bookmarkEnd w:id="5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60" w:name="_Toc11940977"/>
      <w:r>
        <w:rPr>
          <w:rStyle w:val="CharSectno"/>
        </w:rPr>
        <w:t>12</w:t>
      </w:r>
      <w:r>
        <w:t>.</w:t>
      </w:r>
      <w:r>
        <w:tab/>
        <w:t>Removal of unused mining property</w:t>
      </w:r>
      <w:bookmarkEnd w:id="6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61" w:name="_Toc11940978"/>
      <w:r>
        <w:rPr>
          <w:rStyle w:val="CharSectno"/>
        </w:rPr>
        <w:t>13</w:t>
      </w:r>
      <w:r>
        <w:t>.</w:t>
      </w:r>
      <w:r>
        <w:tab/>
        <w:t>Disposal of unused mining property</w:t>
      </w:r>
      <w:bookmarkEnd w:id="6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62" w:name="_Toc11940979"/>
      <w:r>
        <w:rPr>
          <w:rStyle w:val="CharSectno"/>
        </w:rPr>
        <w:t>14</w:t>
      </w:r>
      <w:r>
        <w:t>.</w:t>
      </w:r>
      <w:r>
        <w:tab/>
        <w:t>Direction to rehabilitate mining area</w:t>
      </w:r>
      <w:bookmarkEnd w:id="6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63" w:name="_Toc465774447"/>
      <w:bookmarkStart w:id="64" w:name="_Toc466281956"/>
      <w:bookmarkStart w:id="65" w:name="_Toc469996908"/>
      <w:bookmarkStart w:id="66" w:name="_Toc486412430"/>
      <w:bookmarkStart w:id="67" w:name="_Toc517873349"/>
      <w:bookmarkStart w:id="68" w:name="_Toc11751450"/>
      <w:bookmarkStart w:id="69" w:name="_Toc11751482"/>
      <w:bookmarkStart w:id="70" w:name="_Toc11940942"/>
      <w:bookmarkStart w:id="71" w:name="_Toc11940980"/>
      <w:r>
        <w:rPr>
          <w:rStyle w:val="CharPartNo"/>
        </w:rPr>
        <w:t>Part 6</w:t>
      </w:r>
      <w:r>
        <w:rPr>
          <w:rStyle w:val="CharDivNo"/>
        </w:rPr>
        <w:t> </w:t>
      </w:r>
      <w:r>
        <w:t>—</w:t>
      </w:r>
      <w:r>
        <w:rPr>
          <w:rStyle w:val="CharDivText"/>
        </w:rPr>
        <w:t> </w:t>
      </w:r>
      <w:r>
        <w:rPr>
          <w:rStyle w:val="CharPartText"/>
        </w:rPr>
        <w:t>Miscellaneous</w:t>
      </w:r>
      <w:bookmarkEnd w:id="63"/>
      <w:bookmarkEnd w:id="64"/>
      <w:bookmarkEnd w:id="65"/>
      <w:bookmarkEnd w:id="66"/>
      <w:bookmarkEnd w:id="67"/>
      <w:bookmarkEnd w:id="68"/>
      <w:bookmarkEnd w:id="69"/>
      <w:bookmarkEnd w:id="70"/>
      <w:bookmarkEnd w:id="71"/>
    </w:p>
    <w:p>
      <w:pPr>
        <w:pStyle w:val="Heading5"/>
      </w:pPr>
      <w:bookmarkStart w:id="72" w:name="_Toc11940981"/>
      <w:r>
        <w:rPr>
          <w:rStyle w:val="CharSectno"/>
        </w:rPr>
        <w:t>15</w:t>
      </w:r>
      <w:r>
        <w:t>.</w:t>
      </w:r>
      <w:r>
        <w:tab/>
        <w:t>Maps</w:t>
      </w:r>
      <w:bookmarkEnd w:id="72"/>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73" w:name="_Toc11940982"/>
      <w:r>
        <w:rPr>
          <w:rStyle w:val="CharSectno"/>
        </w:rPr>
        <w:t>16</w:t>
      </w:r>
      <w:r>
        <w:t>.</w:t>
      </w:r>
      <w:r>
        <w:tab/>
        <w:t>Notice of caveat</w:t>
      </w:r>
      <w:bookmarkEnd w:id="73"/>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74" w:name="_Toc11940983"/>
      <w:r>
        <w:rPr>
          <w:rStyle w:val="CharSectno"/>
        </w:rPr>
        <w:t>17</w:t>
      </w:r>
      <w:r>
        <w:t>.</w:t>
      </w:r>
      <w:r>
        <w:tab/>
        <w:t>Copies of documents</w:t>
      </w:r>
      <w:bookmarkEnd w:id="74"/>
    </w:p>
    <w:p>
      <w:pPr>
        <w:pStyle w:val="Subsection"/>
      </w:pPr>
      <w:r>
        <w:tab/>
      </w:r>
      <w:r>
        <w:tab/>
        <w:t>The Minister or an inspector may take a copy of a document produced to the Minister or inspector under section 370.</w:t>
      </w:r>
    </w:p>
    <w:p>
      <w:pPr>
        <w:pStyle w:val="Heading5"/>
      </w:pPr>
      <w:bookmarkStart w:id="75" w:name="_Toc11940984"/>
      <w:r>
        <w:rPr>
          <w:rStyle w:val="CharSectno"/>
        </w:rPr>
        <w:t>18</w:t>
      </w:r>
      <w:r>
        <w:t>.</w:t>
      </w:r>
      <w:r>
        <w:tab/>
        <w:t>Discharge of security</w:t>
      </w:r>
      <w:bookmarkEnd w:id="75"/>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76" w:name="_Toc11940985"/>
      <w:r>
        <w:rPr>
          <w:rStyle w:val="CharSectno"/>
        </w:rPr>
        <w:t>19</w:t>
      </w:r>
      <w:r>
        <w:t>.</w:t>
      </w:r>
      <w:r>
        <w:tab/>
        <w:t>Licence fees (s. 425(2))</w:t>
      </w:r>
      <w:bookmarkEnd w:id="76"/>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77" w:name="_Toc11940986"/>
      <w:r>
        <w:rPr>
          <w:rStyle w:val="CharSectno"/>
        </w:rPr>
        <w:t>20</w:t>
      </w:r>
      <w:r>
        <w:t>.</w:t>
      </w:r>
      <w:r>
        <w:tab/>
        <w:t>Other fees</w:t>
      </w:r>
      <w:bookmarkEnd w:id="77"/>
    </w:p>
    <w:p>
      <w:pPr>
        <w:pStyle w:val="Subsection"/>
      </w:pPr>
      <w:r>
        <w:tab/>
      </w:r>
      <w:r>
        <w:tab/>
        <w:t>The fees specified in Schedule 2 are the fees prescribed in respect of the matters specified in that Schedule.</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78" w:name="_Toc465774454"/>
      <w:bookmarkStart w:id="79" w:name="_Toc466281963"/>
      <w:bookmarkStart w:id="80" w:name="_Toc469996915"/>
      <w:bookmarkStart w:id="81" w:name="_Toc486412437"/>
      <w:bookmarkStart w:id="82" w:name="_Toc517873356"/>
      <w:bookmarkStart w:id="83" w:name="_Toc11751457"/>
      <w:bookmarkStart w:id="84" w:name="_Toc11751489"/>
      <w:bookmarkStart w:id="85" w:name="_Toc11940949"/>
      <w:bookmarkStart w:id="86" w:name="_Toc11940987"/>
      <w:r>
        <w:rPr>
          <w:rStyle w:val="CharSchNo"/>
        </w:rPr>
        <w:t>Schedule 1</w:t>
      </w:r>
      <w:r>
        <w:rPr>
          <w:rStyle w:val="CharSDivNo"/>
        </w:rPr>
        <w:t> </w:t>
      </w:r>
      <w:r>
        <w:t>—</w:t>
      </w:r>
      <w:r>
        <w:rPr>
          <w:rStyle w:val="CharSDivText"/>
        </w:rPr>
        <w:t> </w:t>
      </w:r>
      <w:r>
        <w:rPr>
          <w:rStyle w:val="CharSchText"/>
        </w:rPr>
        <w:t>Australian Fiducial Network geodetic stations</w:t>
      </w:r>
      <w:bookmarkEnd w:id="78"/>
      <w:bookmarkEnd w:id="79"/>
      <w:bookmarkEnd w:id="80"/>
      <w:bookmarkEnd w:id="81"/>
      <w:bookmarkEnd w:id="82"/>
      <w:bookmarkEnd w:id="83"/>
      <w:bookmarkEnd w:id="84"/>
      <w:bookmarkEnd w:id="85"/>
      <w:bookmarkEnd w:id="86"/>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87" w:name="_Toc11940950"/>
      <w:bookmarkStart w:id="88" w:name="_Toc11940988"/>
      <w:bookmarkStart w:id="89" w:name="_Toc465774455"/>
      <w:bookmarkStart w:id="90" w:name="_Toc466281964"/>
      <w:bookmarkStart w:id="91" w:name="_Toc469996916"/>
      <w:bookmarkStart w:id="92" w:name="_Toc486412438"/>
      <w:bookmarkStart w:id="93" w:name="_Toc517873357"/>
      <w:bookmarkStart w:id="94" w:name="_Toc11751458"/>
      <w:bookmarkStart w:id="95" w:name="_Toc11751490"/>
      <w:r>
        <w:rPr>
          <w:rStyle w:val="CharSchNo"/>
        </w:rPr>
        <w:t>Schedule 2</w:t>
      </w:r>
      <w:r>
        <w:rPr>
          <w:rStyle w:val="CharSDivNo"/>
        </w:rPr>
        <w:t> </w:t>
      </w:r>
      <w:r>
        <w:t>—</w:t>
      </w:r>
      <w:r>
        <w:rPr>
          <w:rStyle w:val="CharSDivText"/>
        </w:rPr>
        <w:t> </w:t>
      </w:r>
      <w:r>
        <w:rPr>
          <w:rStyle w:val="CharSchText"/>
        </w:rPr>
        <w:t>Fees</w:t>
      </w:r>
      <w:bookmarkEnd w:id="87"/>
      <w:bookmarkEnd w:id="88"/>
    </w:p>
    <w:p>
      <w:pPr>
        <w:pStyle w:val="yShoulderClause"/>
      </w:pPr>
      <w:r>
        <w:t>[r. 20]</w:t>
      </w:r>
    </w:p>
    <w:p>
      <w:pPr>
        <w:pStyle w:val="yFootnoteheading"/>
        <w:spacing w:after="120"/>
      </w:pPr>
      <w:r>
        <w:tab/>
        <w:t>[Heading inserted: Gazette 18 Jun 2019 p. 2049.]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pPr>
            <w:r>
              <w:rPr>
                <w:b/>
              </w:rPr>
              <w:t>Description</w:t>
            </w:r>
          </w:p>
        </w:tc>
        <w:tc>
          <w:tcPr>
            <w:tcW w:w="1134" w:type="dxa"/>
            <w:vAlign w:val="center"/>
          </w:tcPr>
          <w:p>
            <w:pPr>
              <w:pStyle w:val="yTableNAm"/>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pPr>
            <w:r>
              <w:t>(a)</w:t>
            </w:r>
            <w:r>
              <w:tab/>
              <w:t>standard block licence application (s. 56(1))</w:t>
            </w:r>
          </w:p>
          <w:p>
            <w:pPr>
              <w:pStyle w:val="yTableNAm"/>
            </w:pPr>
            <w:r>
              <w:t>(b)</w:t>
            </w:r>
            <w:r>
              <w:tab/>
              <w:t>tender block licence application (s. 78(1))</w:t>
            </w:r>
          </w:p>
          <w:p>
            <w:pPr>
              <w:pStyle w:val="yTableNAm"/>
            </w:pPr>
            <w:r>
              <w:t>(c)</w:t>
            </w:r>
            <w:r>
              <w:tab/>
              <w:t>renewal application (s. 106(1))</w:t>
            </w:r>
          </w:p>
        </w:tc>
        <w:tc>
          <w:tcPr>
            <w:tcW w:w="1134" w:type="dxa"/>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pPr>
            <w:r>
              <w:t>(a)</w:t>
            </w:r>
            <w:r>
              <w:tab/>
              <w:t>licence application (s. 139(1))</w:t>
            </w:r>
          </w:p>
          <w:p>
            <w:pPr>
              <w:pStyle w:val="yTableNAm"/>
            </w:pPr>
            <w:r>
              <w:t>(b)</w:t>
            </w:r>
            <w:r>
              <w:tab/>
              <w:t>renewal application (s. 163(1))</w:t>
            </w:r>
          </w:p>
        </w:tc>
        <w:tc>
          <w:tcPr>
            <w:tcW w:w="1134" w:type="dxa"/>
            <w:vAlign w:val="center"/>
          </w:tcPr>
          <w:p>
            <w:pPr>
              <w:pStyle w:val="yTableNAm"/>
              <w:jc w:val="right"/>
            </w:pPr>
          </w:p>
          <w:p>
            <w:pPr>
              <w:pStyle w:val="yTableNAm"/>
              <w:jc w:val="right"/>
            </w:pPr>
            <w:r>
              <w:t>3 000.00</w:t>
            </w:r>
          </w:p>
          <w:p>
            <w:pPr>
              <w:pStyle w:val="yTableNAm"/>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pPr>
            <w:r>
              <w:t>(a)</w:t>
            </w:r>
            <w:r>
              <w:tab/>
              <w:t>standard block licence application (s. 201(1))</w:t>
            </w:r>
          </w:p>
          <w:p>
            <w:pPr>
              <w:pStyle w:val="yTableNAm"/>
            </w:pPr>
            <w:r>
              <w:t>(b)</w:t>
            </w:r>
            <w:r>
              <w:tab/>
              <w:t>tender block licence application (s. 222(1))</w:t>
            </w:r>
          </w:p>
          <w:p>
            <w:pPr>
              <w:pStyle w:val="yTableNAm"/>
            </w:pPr>
            <w:r>
              <w:t>(c)</w:t>
            </w:r>
            <w:r>
              <w:tab/>
              <w:t>renewal application (s. 240(1))</w:t>
            </w:r>
          </w:p>
        </w:tc>
        <w:tc>
          <w:tcPr>
            <w:tcW w:w="1134" w:type="dxa"/>
            <w:vAlign w:val="center"/>
          </w:tcPr>
          <w:p>
            <w:pPr>
              <w:pStyle w:val="yTableNAm"/>
              <w:jc w:val="right"/>
            </w:pPr>
          </w:p>
          <w:p>
            <w:pPr>
              <w:pStyle w:val="yTableNAm"/>
              <w:jc w:val="right"/>
            </w:pPr>
            <w:r>
              <w:t>3 000.00</w:t>
            </w:r>
          </w:p>
          <w:p>
            <w:pPr>
              <w:pStyle w:val="yTableNAm"/>
              <w:jc w:val="right"/>
            </w:pPr>
            <w:r>
              <w:t>3 000.00</w:t>
            </w:r>
          </w:p>
          <w:p>
            <w:pPr>
              <w:pStyle w:val="yTableNAm"/>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pPr>
            <w:r>
              <w:t>(a)</w:t>
            </w:r>
            <w:r>
              <w:tab/>
              <w:t>licence application (s. 272(1))</w:t>
            </w:r>
          </w:p>
          <w:p>
            <w:pPr>
              <w:pStyle w:val="yTableNAm"/>
            </w:pPr>
            <w:r>
              <w:t>(b)</w:t>
            </w:r>
            <w:r>
              <w:tab/>
              <w:t>renewal application (s. 292(1))</w:t>
            </w:r>
          </w:p>
        </w:tc>
        <w:tc>
          <w:tcPr>
            <w:tcW w:w="1134" w:type="dxa"/>
            <w:vAlign w:val="center"/>
          </w:tcPr>
          <w:p>
            <w:pPr>
              <w:pStyle w:val="yTableNAm"/>
              <w:jc w:val="right"/>
            </w:pPr>
          </w:p>
          <w:p>
            <w:pPr>
              <w:pStyle w:val="yTableNAm"/>
              <w:jc w:val="right"/>
            </w:pPr>
            <w:r>
              <w:t>3 000.00</w:t>
            </w:r>
          </w:p>
          <w:p>
            <w:pPr>
              <w:pStyle w:val="yTableNAm"/>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vAlign w:val="center"/>
          </w:tcPr>
          <w:p>
            <w:pPr>
              <w:pStyle w:val="yTableNAm"/>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vAlign w:val="center"/>
          </w:tcPr>
          <w:p>
            <w:pPr>
              <w:pStyle w:val="yTableNAm"/>
              <w:jc w:val="right"/>
            </w:pPr>
            <w:r>
              <w:rPr>
                <w:szCs w:val="22"/>
              </w:rPr>
              <w:t>25.00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vAlign w:val="center"/>
          </w:tcPr>
          <w:p>
            <w:pPr>
              <w:pStyle w:val="TableAm"/>
              <w:jc w:val="right"/>
              <w:rPr>
                <w:sz w:val="22"/>
                <w:szCs w:val="22"/>
              </w:rPr>
            </w:pPr>
            <w:r>
              <w:rPr>
                <w:sz w:val="22"/>
                <w:szCs w:val="22"/>
              </w:rPr>
              <w:t>63.00</w:t>
            </w:r>
          </w:p>
        </w:tc>
      </w:tr>
      <w:tr>
        <w:tc>
          <w:tcPr>
            <w:tcW w:w="709" w:type="dxa"/>
          </w:tcPr>
          <w:p>
            <w:pPr>
              <w:pStyle w:val="yTableNAm"/>
            </w:pPr>
            <w:r>
              <w:t>8.</w:t>
            </w:r>
          </w:p>
        </w:tc>
        <w:tc>
          <w:tcPr>
            <w:tcW w:w="5103" w:type="dxa"/>
          </w:tcPr>
          <w:p>
            <w:pPr>
              <w:pStyle w:val="yTableNAm"/>
            </w:pPr>
            <w:r>
              <w:t>Registration of other dealing (s. 339(1)(d))</w:t>
            </w:r>
          </w:p>
        </w:tc>
        <w:tc>
          <w:tcPr>
            <w:tcW w:w="1134" w:type="dxa"/>
            <w:vAlign w:val="center"/>
          </w:tcPr>
          <w:p>
            <w:pPr>
              <w:pStyle w:val="TableAm"/>
              <w:jc w:val="right"/>
              <w:rPr>
                <w:sz w:val="22"/>
                <w:szCs w:val="22"/>
              </w:rPr>
            </w:pPr>
            <w:r>
              <w:rPr>
                <w:sz w:val="22"/>
                <w:szCs w:val="22"/>
              </w:rPr>
              <w:t>156.00</w:t>
            </w:r>
          </w:p>
        </w:tc>
      </w:tr>
      <w:tr>
        <w:tc>
          <w:tcPr>
            <w:tcW w:w="709" w:type="dxa"/>
          </w:tcPr>
          <w:p>
            <w:pPr>
              <w:pStyle w:val="yTableNAm"/>
            </w:pPr>
            <w:r>
              <w:t>9.</w:t>
            </w:r>
          </w:p>
        </w:tc>
        <w:tc>
          <w:tcPr>
            <w:tcW w:w="5103" w:type="dxa"/>
          </w:tcPr>
          <w:p>
            <w:pPr>
              <w:pStyle w:val="yTableNAm"/>
            </w:pPr>
            <w:r>
              <w:t>Devolution of licence (s. 340(1)(d))</w:t>
            </w:r>
          </w:p>
        </w:tc>
        <w:tc>
          <w:tcPr>
            <w:tcW w:w="1134" w:type="dxa"/>
            <w:vAlign w:val="center"/>
          </w:tcPr>
          <w:p>
            <w:pPr>
              <w:pStyle w:val="TableAm"/>
              <w:jc w:val="right"/>
              <w:rPr>
                <w:sz w:val="22"/>
                <w:szCs w:val="22"/>
              </w:rPr>
            </w:pPr>
            <w:r>
              <w:rPr>
                <w:sz w:val="22"/>
                <w:szCs w:val="22"/>
              </w:rPr>
              <w:t>156.00</w:t>
            </w:r>
          </w:p>
        </w:tc>
      </w:tr>
      <w:tr>
        <w:tc>
          <w:tcPr>
            <w:tcW w:w="709" w:type="dxa"/>
          </w:tcPr>
          <w:p>
            <w:pPr>
              <w:pStyle w:val="yTableNAm"/>
            </w:pPr>
            <w:r>
              <w:t>10.</w:t>
            </w:r>
          </w:p>
        </w:tc>
        <w:tc>
          <w:tcPr>
            <w:tcW w:w="5103" w:type="dxa"/>
          </w:tcPr>
          <w:p>
            <w:pPr>
              <w:pStyle w:val="yTableNAm"/>
            </w:pPr>
            <w:r>
              <w:t>Caveat (s. 344)</w:t>
            </w:r>
          </w:p>
        </w:tc>
        <w:tc>
          <w:tcPr>
            <w:tcW w:w="1134" w:type="dxa"/>
            <w:vAlign w:val="center"/>
          </w:tcPr>
          <w:p>
            <w:pPr>
              <w:pStyle w:val="TableAm"/>
              <w:jc w:val="right"/>
              <w:rPr>
                <w:sz w:val="22"/>
                <w:szCs w:val="22"/>
              </w:rPr>
            </w:pPr>
            <w:r>
              <w:rPr>
                <w:sz w:val="22"/>
                <w:szCs w:val="22"/>
              </w:rPr>
              <w:t>156.00</w:t>
            </w:r>
          </w:p>
        </w:tc>
      </w:tr>
      <w:tr>
        <w:tc>
          <w:tcPr>
            <w:tcW w:w="709" w:type="dxa"/>
          </w:tcPr>
          <w:p>
            <w:pPr>
              <w:pStyle w:val="yTableNAm"/>
            </w:pPr>
            <w:r>
              <w:t>11.</w:t>
            </w:r>
          </w:p>
        </w:tc>
        <w:tc>
          <w:tcPr>
            <w:tcW w:w="5103" w:type="dxa"/>
          </w:tcPr>
          <w:p>
            <w:pPr>
              <w:pStyle w:val="yTableNAm"/>
            </w:pPr>
            <w:r>
              <w:t>Certified copy of or extract from register (s. 357(4)) (per page)</w:t>
            </w:r>
          </w:p>
        </w:tc>
        <w:tc>
          <w:tcPr>
            <w:tcW w:w="1134" w:type="dxa"/>
            <w:vAlign w:val="center"/>
          </w:tcPr>
          <w:p>
            <w:pPr>
              <w:pStyle w:val="yTableNAm"/>
              <w:jc w:val="right"/>
            </w:pPr>
            <w:r>
              <w:rPr>
                <w:szCs w:val="22"/>
              </w:rPr>
              <w:t>6.30</w:t>
            </w:r>
          </w:p>
        </w:tc>
      </w:tr>
      <w:tr>
        <w:tc>
          <w:tcPr>
            <w:tcW w:w="709" w:type="dxa"/>
          </w:tcPr>
          <w:p>
            <w:pPr>
              <w:pStyle w:val="yTableNAm"/>
            </w:pPr>
            <w:r>
              <w:t>12.</w:t>
            </w:r>
          </w:p>
        </w:tc>
        <w:tc>
          <w:tcPr>
            <w:tcW w:w="5103" w:type="dxa"/>
          </w:tcPr>
          <w:p>
            <w:pPr>
              <w:pStyle w:val="yTableNAm"/>
            </w:pPr>
            <w:r>
              <w:t>Certified copy of document (s. 358(1)) (per page)</w:t>
            </w:r>
          </w:p>
        </w:tc>
        <w:tc>
          <w:tcPr>
            <w:tcW w:w="1134" w:type="dxa"/>
            <w:vAlign w:val="center"/>
          </w:tcPr>
          <w:p>
            <w:pPr>
              <w:pStyle w:val="yTableNAm"/>
              <w:jc w:val="right"/>
            </w:pPr>
            <w:r>
              <w:rPr>
                <w:szCs w:val="22"/>
              </w:rPr>
              <w:t>6.30</w:t>
            </w:r>
          </w:p>
        </w:tc>
      </w:tr>
      <w:tr>
        <w:tc>
          <w:tcPr>
            <w:tcW w:w="709" w:type="dxa"/>
          </w:tcPr>
          <w:p>
            <w:pPr>
              <w:pStyle w:val="yTableNAm"/>
            </w:pPr>
            <w:r>
              <w:t>13.</w:t>
            </w:r>
          </w:p>
        </w:tc>
        <w:tc>
          <w:tcPr>
            <w:tcW w:w="5103" w:type="dxa"/>
          </w:tcPr>
          <w:p>
            <w:pPr>
              <w:pStyle w:val="yTableNAm"/>
            </w:pPr>
            <w:r>
              <w:t>Certificate (s. 359(1))</w:t>
            </w:r>
          </w:p>
        </w:tc>
        <w:tc>
          <w:tcPr>
            <w:tcW w:w="1134" w:type="dxa"/>
            <w:vAlign w:val="center"/>
          </w:tcPr>
          <w:p>
            <w:pPr>
              <w:pStyle w:val="yTableNAm"/>
              <w:jc w:val="right"/>
            </w:pPr>
            <w:r>
              <w:rPr>
                <w:szCs w:val="22"/>
              </w:rPr>
              <w:t>63.00</w:t>
            </w:r>
          </w:p>
        </w:tc>
      </w:tr>
      <w:tr>
        <w:tc>
          <w:tcPr>
            <w:tcW w:w="709" w:type="dxa"/>
          </w:tcPr>
          <w:p>
            <w:pPr>
              <w:pStyle w:val="yTableNAm"/>
            </w:pPr>
            <w:r>
              <w:t>14.</w:t>
            </w:r>
          </w:p>
        </w:tc>
        <w:tc>
          <w:tcPr>
            <w:tcW w:w="5103" w:type="dxa"/>
          </w:tcPr>
          <w:p>
            <w:pPr>
              <w:pStyle w:val="yTableNAm"/>
            </w:pPr>
            <w:r>
              <w:t>Approval of transfer application (s. 363(6))</w:t>
            </w:r>
          </w:p>
        </w:tc>
        <w:tc>
          <w:tcPr>
            <w:tcW w:w="1134" w:type="dxa"/>
            <w:vAlign w:val="center"/>
          </w:tcPr>
          <w:p>
            <w:pPr>
              <w:pStyle w:val="yTableNAm"/>
              <w:jc w:val="right"/>
            </w:pPr>
            <w:r>
              <w:rPr>
                <w:szCs w:val="22"/>
              </w:rPr>
              <w:t>156.00</w:t>
            </w:r>
          </w:p>
        </w:tc>
      </w:tr>
    </w:tbl>
    <w:p>
      <w:pPr>
        <w:pStyle w:val="yFootnotesection"/>
      </w:pPr>
      <w:r>
        <w:tab/>
        <w:t>[Schedule 2 inserted: Gazette 18 Jun 2019 p. 2049.]</w:t>
      </w:r>
    </w:p>
    <w:bookmarkEnd w:id="89"/>
    <w:bookmarkEnd w:id="90"/>
    <w:bookmarkEnd w:id="91"/>
    <w:bookmarkEnd w:id="92"/>
    <w:bookmarkEnd w:id="93"/>
    <w:bookmarkEnd w:id="94"/>
    <w:bookmarkEnd w:id="95"/>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97" w:name="_Toc465774456"/>
      <w:bookmarkStart w:id="98" w:name="_Toc466281965"/>
      <w:bookmarkStart w:id="99" w:name="_Toc469996917"/>
      <w:bookmarkStart w:id="100" w:name="_Toc486412439"/>
      <w:bookmarkStart w:id="101" w:name="_Toc517873358"/>
      <w:bookmarkStart w:id="102" w:name="_Toc11751459"/>
      <w:bookmarkStart w:id="103" w:name="_Toc11751491"/>
      <w:bookmarkStart w:id="104" w:name="_Toc11940951"/>
      <w:bookmarkStart w:id="105" w:name="_Toc11940989"/>
      <w:r>
        <w:t>Notes</w:t>
      </w:r>
      <w:bookmarkEnd w:id="97"/>
      <w:bookmarkEnd w:id="98"/>
      <w:bookmarkEnd w:id="99"/>
      <w:bookmarkEnd w:id="100"/>
      <w:bookmarkEnd w:id="101"/>
      <w:bookmarkEnd w:id="102"/>
      <w:bookmarkEnd w:id="103"/>
      <w:bookmarkEnd w:id="104"/>
      <w:bookmarkEnd w:id="105"/>
    </w:p>
    <w:p>
      <w:pPr>
        <w:pStyle w:val="nSubsection"/>
      </w:pPr>
      <w:r>
        <w:rPr>
          <w:vertAlign w:val="superscript"/>
        </w:rPr>
        <w:t>1</w:t>
      </w:r>
      <w:r>
        <w:tab/>
        <w:t xml:space="preserve">This is a compilation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106" w:name="_Toc11940990"/>
      <w:r>
        <w:t>Compilation table</w:t>
      </w:r>
      <w:bookmarkEnd w:id="10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9"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9"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9"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9"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9</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b/>
                <w:i/>
              </w:rPr>
            </w:pPr>
            <w:r>
              <w:rPr>
                <w:i/>
              </w:rPr>
              <w:t>Mines and Petroleum Regulations Amendment (Fees and Charges) Regulations 2018</w:t>
            </w:r>
            <w:r>
              <w:t xml:space="preserve"> Pt. 9</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c>
          <w:tcPr>
            <w:tcW w:w="3119" w:type="dxa"/>
            <w:tcBorders>
              <w:top w:val="nil"/>
              <w:bottom w:val="single" w:sz="4" w:space="0" w:color="auto"/>
            </w:tcBorders>
          </w:tcPr>
          <w:p>
            <w:pPr>
              <w:pStyle w:val="nTable"/>
              <w:keepNext/>
              <w:spacing w:after="40"/>
              <w:rPr>
                <w:i/>
              </w:rPr>
            </w:pPr>
            <w:r>
              <w:rPr>
                <w:i/>
              </w:rPr>
              <w:t>Mines and Petroleum Regulations Amendment (Fees and Charges) Regulations 2019</w:t>
            </w:r>
            <w:r>
              <w:t xml:space="preserve"> Pt. 8</w:t>
            </w:r>
          </w:p>
        </w:tc>
        <w:tc>
          <w:tcPr>
            <w:tcW w:w="1276" w:type="dxa"/>
            <w:tcBorders>
              <w:top w:val="nil"/>
              <w:bottom w:val="single" w:sz="4" w:space="0" w:color="auto"/>
            </w:tcBorders>
          </w:tcPr>
          <w:p>
            <w:pPr>
              <w:pStyle w:val="nTable"/>
              <w:keepNext/>
              <w:spacing w:after="40"/>
            </w:pPr>
            <w:r>
              <w:t>18 Jun 2019 p. 2040</w:t>
            </w:r>
            <w:r>
              <w:noBreakHyphen/>
              <w:t>56</w:t>
            </w:r>
          </w:p>
        </w:tc>
        <w:tc>
          <w:tcPr>
            <w:tcW w:w="2693" w:type="dxa"/>
            <w:tcBorders>
              <w:top w:val="nil"/>
              <w:bottom w:val="single" w:sz="4" w:space="0" w:color="auto"/>
            </w:tcBorders>
          </w:tcPr>
          <w:p>
            <w:pPr>
              <w:pStyle w:val="nTable"/>
              <w:keepNext/>
              <w:spacing w:after="40"/>
              <w:rPr>
                <w:rFonts w:ascii="Times" w:hAnsi="Times"/>
                <w:bCs/>
                <w:snapToGrid w:val="0"/>
                <w:spacing w:val="-2"/>
              </w:rPr>
            </w:pPr>
            <w:r>
              <w:t>1 Jul 2019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8" w:name="_Toc465774458"/>
      <w:bookmarkStart w:id="109" w:name="_Toc466281967"/>
      <w:bookmarkStart w:id="110" w:name="_Toc469996919"/>
      <w:bookmarkStart w:id="111" w:name="_Toc486412441"/>
      <w:bookmarkStart w:id="112" w:name="_Toc517873360"/>
      <w:bookmarkStart w:id="113" w:name="_Toc11751462"/>
      <w:bookmarkStart w:id="114" w:name="_Toc11751494"/>
      <w:bookmarkStart w:id="115" w:name="_Toc11940953"/>
      <w:bookmarkStart w:id="116" w:name="_Toc11940991"/>
      <w:r>
        <w:rPr>
          <w:sz w:val="28"/>
        </w:rPr>
        <w:t>Defined terms</w:t>
      </w:r>
      <w:bookmarkEnd w:id="108"/>
      <w:bookmarkEnd w:id="109"/>
      <w:bookmarkEnd w:id="110"/>
      <w:bookmarkEnd w:id="111"/>
      <w:bookmarkEnd w:id="112"/>
      <w:bookmarkEnd w:id="113"/>
      <w:bookmarkEnd w:id="114"/>
      <w:bookmarkEnd w:id="115"/>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2854</Words>
  <Characters>13930</Characters>
  <Application>Microsoft Office Word</Application>
  <DocSecurity>0</DocSecurity>
  <Lines>535</Lines>
  <Paragraphs>419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2010 - 01-e0-00</dc:title>
  <dc:subject/>
  <dc:creator/>
  <cp:keywords/>
  <dc:description/>
  <cp:lastModifiedBy>svcMRProcess</cp:lastModifiedBy>
  <cp:revision>4</cp:revision>
  <cp:lastPrinted>2017-02-13T07:38:00Z</cp:lastPrinted>
  <dcterms:created xsi:type="dcterms:W3CDTF">2019-06-28T06:49:00Z</dcterms:created>
  <dcterms:modified xsi:type="dcterms:W3CDTF">2019-06-28T06:49:00Z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ReprintedAsAt">
    <vt:filetime>2017-02-09T16:00:00Z</vt:filetime>
  </property>
  <property fmtid="{D5CDD505-2E9C-101B-9397-08002B2CF9AE}" pid="6" name="ReprintNo">
    <vt:lpwstr>1</vt:lpwstr>
  </property>
  <property fmtid="{D5CDD505-2E9C-101B-9397-08002B2CF9AE}" pid="7" name="AsAtDate">
    <vt:lpwstr>01 Jul 2019</vt:lpwstr>
  </property>
  <property fmtid="{D5CDD505-2E9C-101B-9397-08002B2CF9AE}" pid="8" name="Suffix">
    <vt:lpwstr>01-e0-00</vt:lpwstr>
  </property>
  <property fmtid="{D5CDD505-2E9C-101B-9397-08002B2CF9AE}" pid="9" name="CommencementDate">
    <vt:lpwstr>20190701</vt:lpwstr>
  </property>
</Properties>
</file>