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Jetties Act 1926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Jetties Regulations 1940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Jetties Regulations 1940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1A</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_Toc12881214 \h </w:instrText>
      </w:r>
      <w:r>
        <w:fldChar w:fldCharType="separate"/>
      </w:r>
      <w:r>
        <w:t>1</w:t>
      </w:r>
      <w:r>
        <w:fldChar w:fldCharType="end"/>
      </w:r>
    </w:p>
    <w:p>
      <w:pPr>
        <w:pStyle w:val="TOC8"/>
        <w:rPr>
          <w:rFonts w:asciiTheme="minorHAnsi" w:eastAsiaTheme="minorEastAsia" w:hAnsiTheme="minorHAnsi" w:cstheme="minorBidi"/>
          <w:szCs w:val="22"/>
        </w:rPr>
      </w:pPr>
      <w:r>
        <w:t>2.</w:t>
      </w:r>
      <w:r>
        <w:tab/>
        <w:t>Liability for dues and charges</w:t>
      </w:r>
      <w:r>
        <w:tab/>
      </w:r>
      <w:r>
        <w:fldChar w:fldCharType="begin"/>
      </w:r>
      <w:r>
        <w:instrText xml:space="preserve"> PAGEREF _Toc12881215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_Toc12881216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 — Regulations applying to jetties controlled by the Department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3A</w:t>
      </w:r>
      <w:r>
        <w:rPr>
          <w:snapToGrid w:val="0"/>
        </w:rPr>
        <w:t>.</w:t>
      </w:r>
      <w:r>
        <w:rPr>
          <w:snapToGrid w:val="0"/>
        </w:rPr>
        <w:tab/>
        <w:t>Application</w:t>
      </w:r>
      <w:r>
        <w:tab/>
      </w:r>
      <w:r>
        <w:fldChar w:fldCharType="begin"/>
      </w:r>
      <w:r>
        <w:instrText xml:space="preserve"> PAGEREF _Toc12881219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Arrival and movement of vessels</w:t>
      </w:r>
    </w:p>
    <w:p>
      <w:pPr>
        <w:pStyle w:val="TOC8"/>
        <w:rPr>
          <w:rFonts w:asciiTheme="minorHAnsi" w:eastAsiaTheme="minorEastAsia" w:hAnsiTheme="minorHAnsi" w:cstheme="minorBidi"/>
          <w:szCs w:val="22"/>
        </w:rPr>
      </w:pPr>
      <w:r>
        <w:t>4</w:t>
      </w:r>
      <w:r>
        <w:rPr>
          <w:snapToGrid w:val="0"/>
        </w:rPr>
        <w:t>.</w:t>
      </w:r>
      <w:r>
        <w:rPr>
          <w:snapToGrid w:val="0"/>
        </w:rPr>
        <w:tab/>
        <w:t>Master or agent to report arrival</w:t>
      </w:r>
      <w:r>
        <w:tab/>
      </w:r>
      <w:r>
        <w:fldChar w:fldCharType="begin"/>
      </w:r>
      <w:r>
        <w:instrText xml:space="preserve"> PAGEREF _Toc12881221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Vessels to change berths</w:t>
      </w:r>
      <w:r>
        <w:tab/>
      </w:r>
      <w:r>
        <w:fldChar w:fldCharType="begin"/>
      </w:r>
      <w:r>
        <w:instrText xml:space="preserve"> PAGEREF _Toc12881222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Berthing dues</w:t>
      </w:r>
    </w:p>
    <w:p>
      <w:pPr>
        <w:pStyle w:val="TOC8"/>
        <w:rPr>
          <w:rFonts w:asciiTheme="minorHAnsi" w:eastAsiaTheme="minorEastAsia" w:hAnsiTheme="minorHAnsi" w:cstheme="minorBidi"/>
          <w:szCs w:val="22"/>
        </w:rPr>
      </w:pPr>
      <w:r>
        <w:t>6.</w:t>
      </w:r>
      <w:r>
        <w:tab/>
        <w:t>Berthing dues</w:t>
      </w:r>
      <w:r>
        <w:tab/>
      </w:r>
      <w:r>
        <w:fldChar w:fldCharType="begin"/>
      </w:r>
      <w:r>
        <w:instrText xml:space="preserve"> PAGEREF _Toc12881224 \h </w:instrText>
      </w:r>
      <w:r>
        <w:fldChar w:fldCharType="separate"/>
      </w:r>
      <w:r>
        <w:t>6</w:t>
      </w:r>
      <w:r>
        <w:fldChar w:fldCharType="end"/>
      </w:r>
    </w:p>
    <w:p>
      <w:pPr>
        <w:pStyle w:val="TOC8"/>
        <w:rPr>
          <w:rFonts w:asciiTheme="minorHAnsi" w:eastAsiaTheme="minorEastAsia" w:hAnsiTheme="minorHAnsi" w:cstheme="minorBidi"/>
          <w:szCs w:val="22"/>
        </w:rPr>
      </w:pPr>
      <w:r>
        <w:t>6A.</w:t>
      </w:r>
      <w:r>
        <w:tab/>
        <w:t>Requirement to pay berthing dues</w:t>
      </w:r>
      <w:r>
        <w:tab/>
      </w:r>
      <w:r>
        <w:fldChar w:fldCharType="begin"/>
      </w:r>
      <w:r>
        <w:instrText xml:space="preserve"> PAGEREF _Toc12881225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Computation of berthing dues</w:t>
      </w:r>
      <w:r>
        <w:tab/>
      </w:r>
      <w:r>
        <w:fldChar w:fldCharType="begin"/>
      </w:r>
      <w:r>
        <w:instrText xml:space="preserve"> PAGEREF _Toc12881226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3A — Manifests</w:t>
      </w:r>
    </w:p>
    <w:p>
      <w:pPr>
        <w:pStyle w:val="TOC8"/>
        <w:rPr>
          <w:rFonts w:asciiTheme="minorHAnsi" w:eastAsiaTheme="minorEastAsia" w:hAnsiTheme="minorHAnsi" w:cstheme="minorBidi"/>
          <w:szCs w:val="22"/>
        </w:rPr>
      </w:pPr>
      <w:r>
        <w:t>8</w:t>
      </w:r>
      <w:r>
        <w:rPr>
          <w:snapToGrid w:val="0"/>
        </w:rPr>
        <w:t>.</w:t>
      </w:r>
      <w:r>
        <w:rPr>
          <w:snapToGrid w:val="0"/>
        </w:rPr>
        <w:tab/>
        <w:t>Inwards manifests</w:t>
      </w:r>
      <w:r>
        <w:tab/>
      </w:r>
      <w:r>
        <w:fldChar w:fldCharType="begin"/>
      </w:r>
      <w:r>
        <w:instrText xml:space="preserve"> PAGEREF _Toc12881228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Outwards manifests</w:t>
      </w:r>
      <w:r>
        <w:tab/>
      </w:r>
      <w:r>
        <w:fldChar w:fldCharType="begin"/>
      </w:r>
      <w:r>
        <w:instrText xml:space="preserve"> PAGEREF _Toc12881229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Wharfage dues, handling and haulage charges</w:t>
      </w:r>
    </w:p>
    <w:p>
      <w:pPr>
        <w:pStyle w:val="TOC8"/>
        <w:rPr>
          <w:rFonts w:asciiTheme="minorHAnsi" w:eastAsiaTheme="minorEastAsia" w:hAnsiTheme="minorHAnsi" w:cstheme="minorBidi"/>
          <w:szCs w:val="22"/>
        </w:rPr>
      </w:pPr>
      <w:r>
        <w:t>10A</w:t>
      </w:r>
      <w:r>
        <w:rPr>
          <w:snapToGrid w:val="0"/>
        </w:rPr>
        <w:t>.</w:t>
      </w:r>
      <w:r>
        <w:rPr>
          <w:snapToGrid w:val="0"/>
        </w:rPr>
        <w:tab/>
        <w:t>Payment of dues and charges</w:t>
      </w:r>
      <w:r>
        <w:tab/>
      </w:r>
      <w:r>
        <w:fldChar w:fldCharType="begin"/>
      </w:r>
      <w:r>
        <w:instrText xml:space="preserve"> PAGEREF _Toc12881231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Charges for transhipment cargo</w:t>
      </w:r>
      <w:r>
        <w:tab/>
      </w:r>
      <w:r>
        <w:fldChar w:fldCharType="begin"/>
      </w:r>
      <w:r>
        <w:instrText xml:space="preserve"> PAGEREF _Toc12881232 \h </w:instrText>
      </w:r>
      <w:r>
        <w:fldChar w:fldCharType="separate"/>
      </w:r>
      <w:r>
        <w:t>9</w:t>
      </w:r>
      <w:r>
        <w:fldChar w:fldCharType="end"/>
      </w:r>
    </w:p>
    <w:p>
      <w:pPr>
        <w:pStyle w:val="TOC8"/>
        <w:rPr>
          <w:rFonts w:asciiTheme="minorHAnsi" w:eastAsiaTheme="minorEastAsia" w:hAnsiTheme="minorHAnsi" w:cstheme="minorBidi"/>
          <w:szCs w:val="22"/>
        </w:rPr>
      </w:pPr>
      <w:r>
        <w:t>11B</w:t>
      </w:r>
      <w:r>
        <w:rPr>
          <w:snapToGrid w:val="0"/>
        </w:rPr>
        <w:t>.</w:t>
      </w:r>
      <w:r>
        <w:rPr>
          <w:snapToGrid w:val="0"/>
        </w:rPr>
        <w:tab/>
        <w:t>Charges on vessels’ stores, including fuel oil</w:t>
      </w:r>
      <w:r>
        <w:tab/>
      </w:r>
      <w:r>
        <w:fldChar w:fldCharType="begin"/>
      </w:r>
      <w:r>
        <w:instrText xml:space="preserve"> PAGEREF _Toc12881233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Charges to be paid before delivery of cargo</w:t>
      </w:r>
      <w:r>
        <w:tab/>
      </w:r>
      <w:r>
        <w:fldChar w:fldCharType="begin"/>
      </w:r>
      <w:r>
        <w:instrText xml:space="preserve"> PAGEREF _Toc12881234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13</w:t>
      </w:r>
      <w:r>
        <w:rPr>
          <w:snapToGrid w:val="0"/>
        </w:rPr>
        <w:t>.</w:t>
      </w:r>
      <w:r>
        <w:rPr>
          <w:snapToGrid w:val="0"/>
        </w:rPr>
        <w:tab/>
        <w:t>Extra charges</w:t>
      </w:r>
      <w:r>
        <w:tab/>
      </w:r>
      <w:r>
        <w:fldChar w:fldCharType="begin"/>
      </w:r>
      <w:r>
        <w:instrText xml:space="preserve"> PAGEREF _Toc12881235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Handling of cargo</w:t>
      </w:r>
    </w:p>
    <w:p>
      <w:pPr>
        <w:pStyle w:val="TOC8"/>
        <w:rPr>
          <w:rFonts w:asciiTheme="minorHAnsi" w:eastAsiaTheme="minorEastAsia" w:hAnsiTheme="minorHAnsi" w:cstheme="minorBidi"/>
          <w:szCs w:val="22"/>
        </w:rPr>
      </w:pPr>
      <w:r>
        <w:t>14</w:t>
      </w:r>
      <w:r>
        <w:rPr>
          <w:snapToGrid w:val="0"/>
        </w:rPr>
        <w:t>.</w:t>
      </w:r>
      <w:r>
        <w:rPr>
          <w:snapToGrid w:val="0"/>
        </w:rPr>
        <w:tab/>
        <w:t>Cargo not to be placed on jetties or premises without authority</w:t>
      </w:r>
      <w:r>
        <w:tab/>
      </w:r>
      <w:r>
        <w:fldChar w:fldCharType="begin"/>
      </w:r>
      <w:r>
        <w:instrText xml:space="preserve"> PAGEREF _Toc12881237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Discharging of cargo may be stopped</w:t>
      </w:r>
      <w:r>
        <w:tab/>
      </w:r>
      <w:r>
        <w:fldChar w:fldCharType="begin"/>
      </w:r>
      <w:r>
        <w:instrText xml:space="preserve"> PAGEREF _Toc12881238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Goods not to be shifted without authority</w:t>
      </w:r>
      <w:r>
        <w:tab/>
      </w:r>
      <w:r>
        <w:fldChar w:fldCharType="begin"/>
      </w:r>
      <w:r>
        <w:instrText xml:space="preserve"> PAGEREF _Toc12881239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Bulk cargo not to be deposited without authority</w:t>
      </w:r>
      <w:r>
        <w:tab/>
      </w:r>
      <w:r>
        <w:fldChar w:fldCharType="begin"/>
      </w:r>
      <w:r>
        <w:instrText xml:space="preserve"> PAGEREF _Toc12881240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Outward cargo advice notes</w:t>
      </w:r>
      <w:r>
        <w:tab/>
      </w:r>
      <w:r>
        <w:fldChar w:fldCharType="begin"/>
      </w:r>
      <w:r>
        <w:instrText xml:space="preserve"> PAGEREF _Toc12881241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Outward cargo</w:t>
      </w:r>
      <w:r>
        <w:tab/>
      </w:r>
      <w:r>
        <w:fldChar w:fldCharType="begin"/>
      </w:r>
      <w:r>
        <w:instrText xml:space="preserve"> PAGEREF _Toc12881242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Dangerous cargo not to be shipped without permission</w:t>
      </w:r>
      <w:r>
        <w:tab/>
      </w:r>
      <w:r>
        <w:fldChar w:fldCharType="begin"/>
      </w:r>
      <w:r>
        <w:instrText xml:space="preserve"> PAGEREF _Toc12881243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Dangerous cargo may be refused or examined</w:t>
      </w:r>
      <w:r>
        <w:tab/>
      </w:r>
      <w:r>
        <w:fldChar w:fldCharType="begin"/>
      </w:r>
      <w:r>
        <w:instrText xml:space="preserve"> PAGEREF _Toc12881244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Marking of heavy packages</w:t>
      </w:r>
      <w:r>
        <w:tab/>
      </w:r>
      <w:r>
        <w:fldChar w:fldCharType="begin"/>
      </w:r>
      <w:r>
        <w:instrText xml:space="preserve"> PAGEREF _Toc12881245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False statements</w:t>
      </w:r>
      <w:r>
        <w:tab/>
      </w:r>
      <w:r>
        <w:fldChar w:fldCharType="begin"/>
      </w:r>
      <w:r>
        <w:instrText xml:space="preserve"> PAGEREF _Toc12881246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Receipt, delivery and storage of cargo</w:t>
      </w:r>
    </w:p>
    <w:p>
      <w:pPr>
        <w:pStyle w:val="TOC8"/>
        <w:rPr>
          <w:rFonts w:asciiTheme="minorHAnsi" w:eastAsiaTheme="minorEastAsia" w:hAnsiTheme="minorHAnsi" w:cstheme="minorBidi"/>
          <w:szCs w:val="22"/>
        </w:rPr>
      </w:pPr>
      <w:r>
        <w:t>24</w:t>
      </w:r>
      <w:r>
        <w:rPr>
          <w:snapToGrid w:val="0"/>
        </w:rPr>
        <w:t>.</w:t>
      </w:r>
      <w:r>
        <w:rPr>
          <w:snapToGrid w:val="0"/>
        </w:rPr>
        <w:tab/>
        <w:t>Removal of cargo</w:t>
      </w:r>
      <w:r>
        <w:tab/>
      </w:r>
      <w:r>
        <w:fldChar w:fldCharType="begin"/>
      </w:r>
      <w:r>
        <w:instrText xml:space="preserve"> PAGEREF _Toc12881248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Storage charges</w:t>
      </w:r>
      <w:r>
        <w:tab/>
      </w:r>
      <w:r>
        <w:fldChar w:fldCharType="begin"/>
      </w:r>
      <w:r>
        <w:instrText xml:space="preserve"> PAGEREF _Toc12881249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Department not bound to find storage accommodation</w:t>
      </w:r>
      <w:r>
        <w:tab/>
      </w:r>
      <w:r>
        <w:fldChar w:fldCharType="begin"/>
      </w:r>
      <w:r>
        <w:instrText xml:space="preserve"> PAGEREF _Toc12881250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Goods may be disposed of</w:t>
      </w:r>
      <w:r>
        <w:tab/>
      </w:r>
      <w:r>
        <w:fldChar w:fldCharType="begin"/>
      </w:r>
      <w:r>
        <w:instrText xml:space="preserve"> PAGEREF _Toc12881251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Goods to be checked before delivery</w:t>
      </w:r>
      <w:r>
        <w:tab/>
      </w:r>
      <w:r>
        <w:fldChar w:fldCharType="begin"/>
      </w:r>
      <w:r>
        <w:instrText xml:space="preserve"> PAGEREF _Toc12881252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Delay in delivery</w:t>
      </w:r>
      <w:r>
        <w:tab/>
      </w:r>
      <w:r>
        <w:fldChar w:fldCharType="begin"/>
      </w:r>
      <w:r>
        <w:instrText xml:space="preserve"> PAGEREF _Toc12881253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Wrong delivery</w:t>
      </w:r>
      <w:r>
        <w:tab/>
      </w:r>
      <w:r>
        <w:fldChar w:fldCharType="begin"/>
      </w:r>
      <w:r>
        <w:instrText xml:space="preserve"> PAGEREF _Toc12881254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Responsibility of Department</w:t>
      </w:r>
    </w:p>
    <w:p>
      <w:pPr>
        <w:pStyle w:val="TOC8"/>
        <w:rPr>
          <w:rFonts w:asciiTheme="minorHAnsi" w:eastAsiaTheme="minorEastAsia" w:hAnsiTheme="minorHAnsi" w:cstheme="minorBidi"/>
          <w:szCs w:val="22"/>
        </w:rPr>
      </w:pPr>
      <w:r>
        <w:t>31</w:t>
      </w:r>
      <w:r>
        <w:rPr>
          <w:snapToGrid w:val="0"/>
        </w:rPr>
        <w:t>.</w:t>
      </w:r>
      <w:r>
        <w:rPr>
          <w:snapToGrid w:val="0"/>
        </w:rPr>
        <w:tab/>
        <w:t>Custody of cargo</w:t>
      </w:r>
      <w:r>
        <w:tab/>
      </w:r>
      <w:r>
        <w:fldChar w:fldCharType="begin"/>
      </w:r>
      <w:r>
        <w:instrText xml:space="preserve"> PAGEREF _Toc12881256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Goods without receipts</w:t>
      </w:r>
      <w:r>
        <w:tab/>
      </w:r>
      <w:r>
        <w:fldChar w:fldCharType="begin"/>
      </w:r>
      <w:r>
        <w:instrText xml:space="preserve"> PAGEREF _Toc12881257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Goods stacked on jetties</w:t>
      </w:r>
      <w:r>
        <w:tab/>
      </w:r>
      <w:r>
        <w:fldChar w:fldCharType="begin"/>
      </w:r>
      <w:r>
        <w:instrText xml:space="preserve"> PAGEREF _Toc12881258 \h </w:instrText>
      </w:r>
      <w:r>
        <w:fldChar w:fldCharType="separate"/>
      </w:r>
      <w:r>
        <w:t>19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Cargo damaged by fire etc.</w:t>
      </w:r>
      <w:r>
        <w:tab/>
      </w:r>
      <w:r>
        <w:fldChar w:fldCharType="begin"/>
      </w:r>
      <w:r>
        <w:instrText xml:space="preserve"> PAGEREF _Toc12881259 \h </w:instrText>
      </w:r>
      <w:r>
        <w:fldChar w:fldCharType="separate"/>
      </w:r>
      <w:r>
        <w:t>19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Goods insufficiently packed</w:t>
      </w:r>
      <w:r>
        <w:tab/>
      </w:r>
      <w:r>
        <w:fldChar w:fldCharType="begin"/>
      </w:r>
      <w:r>
        <w:instrText xml:space="preserve"> PAGEREF _Toc12881260 \h </w:instrText>
      </w:r>
      <w:r>
        <w:fldChar w:fldCharType="separate"/>
      </w:r>
      <w:r>
        <w:t>19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Claims in respect of cargo</w:t>
      </w:r>
      <w:r>
        <w:tab/>
      </w:r>
      <w:r>
        <w:fldChar w:fldCharType="begin"/>
      </w:r>
      <w:r>
        <w:instrText xml:space="preserve"> PAGEREF _Toc12881261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Working hours</w:t>
      </w:r>
    </w:p>
    <w:p>
      <w:pPr>
        <w:pStyle w:val="TOC8"/>
        <w:rPr>
          <w:rFonts w:asciiTheme="minorHAnsi" w:eastAsiaTheme="minorEastAsia" w:hAnsiTheme="minorHAnsi" w:cstheme="minorBidi"/>
          <w:szCs w:val="22"/>
        </w:rPr>
      </w:pPr>
      <w:r>
        <w:t>37</w:t>
      </w:r>
      <w:r>
        <w:rPr>
          <w:snapToGrid w:val="0"/>
        </w:rPr>
        <w:t>.</w:t>
      </w:r>
      <w:r>
        <w:rPr>
          <w:snapToGrid w:val="0"/>
        </w:rPr>
        <w:tab/>
        <w:t>Ordinary time</w:t>
      </w:r>
      <w:r>
        <w:tab/>
      </w:r>
      <w:r>
        <w:fldChar w:fldCharType="begin"/>
      </w:r>
      <w:r>
        <w:instrText xml:space="preserve"> PAGEREF _Toc12881263 \h </w:instrText>
      </w:r>
      <w:r>
        <w:fldChar w:fldCharType="separate"/>
      </w:r>
      <w:r>
        <w:t>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Overtime</w:t>
      </w:r>
      <w:r>
        <w:tab/>
      </w:r>
      <w:r>
        <w:fldChar w:fldCharType="begin"/>
      </w:r>
      <w:r>
        <w:instrText xml:space="preserve"> PAGEREF _Toc12881264 \h </w:instrText>
      </w:r>
      <w:r>
        <w:fldChar w:fldCharType="separate"/>
      </w:r>
      <w:r>
        <w:t>20</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Wages incurred through ships’ delays to be paid for</w:t>
      </w:r>
      <w:r>
        <w:tab/>
      </w:r>
      <w:r>
        <w:fldChar w:fldCharType="begin"/>
      </w:r>
      <w:r>
        <w:instrText xml:space="preserve"> PAGEREF _Toc12881265 \h </w:instrText>
      </w:r>
      <w:r>
        <w:fldChar w:fldCharType="separate"/>
      </w:r>
      <w:r>
        <w:t>20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Master to give notice of desire to work</w:t>
      </w:r>
      <w:r>
        <w:tab/>
      </w:r>
      <w:r>
        <w:fldChar w:fldCharType="begin"/>
      </w:r>
      <w:r>
        <w:instrText xml:space="preserve"> PAGEREF _Toc12881266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Livestock or vehicles on jetties or premises</w:t>
      </w:r>
    </w:p>
    <w:p>
      <w:pPr>
        <w:pStyle w:val="TOC8"/>
        <w:rPr>
          <w:rFonts w:asciiTheme="minorHAnsi" w:eastAsiaTheme="minorEastAsia" w:hAnsiTheme="minorHAnsi" w:cstheme="minorBidi"/>
          <w:szCs w:val="22"/>
        </w:rPr>
      </w:pPr>
      <w:r>
        <w:t>40</w:t>
      </w:r>
      <w:r>
        <w:rPr>
          <w:snapToGrid w:val="0"/>
        </w:rPr>
        <w:t>.</w:t>
      </w:r>
      <w:r>
        <w:rPr>
          <w:snapToGrid w:val="0"/>
        </w:rPr>
        <w:tab/>
        <w:t>Livestock on jetties or premises</w:t>
      </w:r>
      <w:r>
        <w:tab/>
      </w:r>
      <w:r>
        <w:fldChar w:fldCharType="begin"/>
      </w:r>
      <w:r>
        <w:instrText xml:space="preserve"> PAGEREF _Toc12881268 \h </w:instrText>
      </w:r>
      <w:r>
        <w:fldChar w:fldCharType="separate"/>
      </w:r>
      <w:r>
        <w:t>21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Riding vehicles etc. on jetties or premises</w:t>
      </w:r>
      <w:r>
        <w:tab/>
      </w:r>
      <w:r>
        <w:fldChar w:fldCharType="begin"/>
      </w:r>
      <w:r>
        <w:instrText xml:space="preserve"> PAGEREF _Toc12881269 \h </w:instrText>
      </w:r>
      <w:r>
        <w:fldChar w:fldCharType="separate"/>
      </w:r>
      <w:r>
        <w:t>21</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Vehicles not to be parked on jetties</w:t>
      </w:r>
      <w:r>
        <w:tab/>
      </w:r>
      <w:r>
        <w:fldChar w:fldCharType="begin"/>
      </w:r>
      <w:r>
        <w:instrText xml:space="preserve"> PAGEREF _Toc12881270 \h </w:instrText>
      </w:r>
      <w:r>
        <w:fldChar w:fldCharType="separate"/>
      </w:r>
      <w:r>
        <w:t>21</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Department not responsible for vehicles on jetties</w:t>
      </w:r>
      <w:r>
        <w:tab/>
      </w:r>
      <w:r>
        <w:fldChar w:fldCharType="begin"/>
      </w:r>
      <w:r>
        <w:instrText xml:space="preserve"> PAGEREF _Toc12881271 \h </w:instrText>
      </w:r>
      <w:r>
        <w:fldChar w:fldCharType="separate"/>
      </w:r>
      <w:r>
        <w:t>22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Drivers of vehicles to obey instructions</w:t>
      </w:r>
      <w:r>
        <w:tab/>
      </w:r>
      <w:r>
        <w:fldChar w:fldCharType="begin"/>
      </w:r>
      <w:r>
        <w:instrText xml:space="preserve"> PAGEREF _Toc12881272 \h </w:instrText>
      </w:r>
      <w:r>
        <w:fldChar w:fldCharType="separate"/>
      </w:r>
      <w:r>
        <w:t>22</w:t>
      </w:r>
      <w:r>
        <w:fldChar w:fldCharType="end"/>
      </w:r>
    </w:p>
    <w:p>
      <w:pPr>
        <w:pStyle w:val="TOC8"/>
        <w:rPr>
          <w:rFonts w:asciiTheme="minorHAnsi" w:eastAsiaTheme="minorEastAsia" w:hAnsiTheme="minorHAnsi" w:cstheme="minorBidi"/>
          <w:szCs w:val="22"/>
        </w:rPr>
      </w:pPr>
      <w:r>
        <w:t>42A.</w:t>
      </w:r>
      <w:r>
        <w:tab/>
        <w:t>Charges for vehicular use of jetty</w:t>
      </w:r>
      <w:r>
        <w:tab/>
      </w:r>
      <w:r>
        <w:fldChar w:fldCharType="begin"/>
      </w:r>
      <w:r>
        <w:instrText xml:space="preserve"> PAGEREF _Toc12881273 \h </w:instrText>
      </w:r>
      <w:r>
        <w:fldChar w:fldCharType="separate"/>
      </w:r>
      <w:r>
        <w:t>22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Persons not to be on jetties when livestock is being handled</w:t>
      </w:r>
      <w:r>
        <w:tab/>
      </w:r>
      <w:r>
        <w:fldChar w:fldCharType="begin"/>
      </w:r>
      <w:r>
        <w:instrText xml:space="preserve"> PAGEREF _Toc12881274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Miscellaneous</w:t>
      </w:r>
    </w:p>
    <w:p>
      <w:pPr>
        <w:pStyle w:val="TOC8"/>
        <w:rPr>
          <w:rFonts w:asciiTheme="minorHAnsi" w:eastAsiaTheme="minorEastAsia" w:hAnsiTheme="minorHAnsi" w:cstheme="minorBidi"/>
          <w:szCs w:val="22"/>
        </w:rPr>
      </w:pPr>
      <w:r>
        <w:t>44</w:t>
      </w:r>
      <w:r>
        <w:rPr>
          <w:snapToGrid w:val="0"/>
        </w:rPr>
        <w:t>.</w:t>
      </w:r>
      <w:r>
        <w:rPr>
          <w:snapToGrid w:val="0"/>
        </w:rPr>
        <w:tab/>
        <w:t>Bill posting, defacement and obscenity</w:t>
      </w:r>
      <w:r>
        <w:tab/>
      </w:r>
      <w:r>
        <w:fldChar w:fldCharType="begin"/>
      </w:r>
      <w:r>
        <w:instrText xml:space="preserve"> PAGEREF _Toc12881276 \h </w:instrText>
      </w:r>
      <w:r>
        <w:fldChar w:fldCharType="separate"/>
      </w:r>
      <w:r>
        <w:t>23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Disorderly persons</w:t>
      </w:r>
      <w:r>
        <w:tab/>
      </w:r>
      <w:r>
        <w:fldChar w:fldCharType="begin"/>
      </w:r>
      <w:r>
        <w:instrText xml:space="preserve"> PAGEREF _Toc12881277 \h </w:instrText>
      </w:r>
      <w:r>
        <w:fldChar w:fldCharType="separate"/>
      </w:r>
      <w:r>
        <w:t>23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Fires not to be lit</w:t>
      </w:r>
      <w:r>
        <w:tab/>
      </w:r>
      <w:r>
        <w:fldChar w:fldCharType="begin"/>
      </w:r>
      <w:r>
        <w:instrText xml:space="preserve"> PAGEREF _Toc12881278 \h </w:instrText>
      </w:r>
      <w:r>
        <w:fldChar w:fldCharType="separate"/>
      </w:r>
      <w:r>
        <w:t>24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Gates to be shut</w:t>
      </w:r>
      <w:r>
        <w:tab/>
      </w:r>
      <w:r>
        <w:fldChar w:fldCharType="begin"/>
      </w:r>
      <w:r>
        <w:instrText xml:space="preserve"> PAGEREF _Toc12881279 \h </w:instrText>
      </w:r>
      <w:r>
        <w:fldChar w:fldCharType="separate"/>
      </w:r>
      <w:r>
        <w:t>24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Interference with lights</w:t>
      </w:r>
      <w:r>
        <w:tab/>
      </w:r>
      <w:r>
        <w:fldChar w:fldCharType="begin"/>
      </w:r>
      <w:r>
        <w:instrText xml:space="preserve"> PAGEREF _Toc12881280 \h </w:instrText>
      </w:r>
      <w:r>
        <w:fldChar w:fldCharType="separate"/>
      </w:r>
      <w:r>
        <w:t>24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Interference with or damaging property</w:t>
      </w:r>
      <w:r>
        <w:tab/>
      </w:r>
      <w:r>
        <w:fldChar w:fldCharType="begin"/>
      </w:r>
      <w:r>
        <w:instrText xml:space="preserve"> PAGEREF _Toc12881281 \h </w:instrText>
      </w:r>
      <w:r>
        <w:fldChar w:fldCharType="separate"/>
      </w:r>
      <w:r>
        <w:t>24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Lost property</w:t>
      </w:r>
      <w:r>
        <w:tab/>
      </w:r>
      <w:r>
        <w:fldChar w:fldCharType="begin"/>
      </w:r>
      <w:r>
        <w:instrText xml:space="preserve"> PAGEREF _Toc12881282 \h </w:instrText>
      </w:r>
      <w:r>
        <w:fldChar w:fldCharType="separate"/>
      </w:r>
      <w:r>
        <w:t>25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Obstruction of officers, or premises</w:t>
      </w:r>
      <w:r>
        <w:tab/>
      </w:r>
      <w:r>
        <w:fldChar w:fldCharType="begin"/>
      </w:r>
      <w:r>
        <w:instrText xml:space="preserve"> PAGEREF _Toc12881283 \h </w:instrText>
      </w:r>
      <w:r>
        <w:fldChar w:fldCharType="separate"/>
      </w:r>
      <w:r>
        <w:t>25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Obstruction of or damage to jetties or premises</w:t>
      </w:r>
      <w:r>
        <w:tab/>
      </w:r>
      <w:r>
        <w:fldChar w:fldCharType="begin"/>
      </w:r>
      <w:r>
        <w:instrText xml:space="preserve"> PAGEREF _Toc12881284 \h </w:instrText>
      </w:r>
      <w:r>
        <w:fldChar w:fldCharType="separate"/>
      </w:r>
      <w:r>
        <w:t>26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Rubbish etc. not to be thrown</w:t>
      </w:r>
      <w:r>
        <w:tab/>
      </w:r>
      <w:r>
        <w:fldChar w:fldCharType="begin"/>
      </w:r>
      <w:r>
        <w:instrText xml:space="preserve"> PAGEREF _Toc12881285 \h </w:instrText>
      </w:r>
      <w:r>
        <w:fldChar w:fldCharType="separate"/>
      </w:r>
      <w:r>
        <w:t>26</w:t>
      </w:r>
      <w:r>
        <w:fldChar w:fldCharType="end"/>
      </w:r>
    </w:p>
    <w:p>
      <w:pPr>
        <w:pStyle w:val="TOC8"/>
        <w:rPr>
          <w:rFonts w:asciiTheme="minorHAnsi" w:eastAsiaTheme="minorEastAsia" w:hAnsiTheme="minorHAnsi" w:cstheme="minorBidi"/>
          <w:szCs w:val="22"/>
        </w:rPr>
      </w:pPr>
      <w:r>
        <w:t>53A.</w:t>
      </w:r>
      <w:r>
        <w:tab/>
        <w:t>Charges for rubbish removal</w:t>
      </w:r>
      <w:r>
        <w:tab/>
      </w:r>
      <w:r>
        <w:fldChar w:fldCharType="begin"/>
      </w:r>
      <w:r>
        <w:instrText xml:space="preserve"> PAGEREF _Toc12881286 \h </w:instrText>
      </w:r>
      <w:r>
        <w:fldChar w:fldCharType="separate"/>
      </w:r>
      <w:r>
        <w:t>27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Sale of articles prohibited</w:t>
      </w:r>
      <w:r>
        <w:tab/>
      </w:r>
      <w:r>
        <w:fldChar w:fldCharType="begin"/>
      </w:r>
      <w:r>
        <w:instrText xml:space="preserve"> PAGEREF _Toc12881287 \h </w:instrText>
      </w:r>
      <w:r>
        <w:fldChar w:fldCharType="separate"/>
      </w:r>
      <w:r>
        <w:t>27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Smoking and loitering</w:t>
      </w:r>
      <w:r>
        <w:tab/>
      </w:r>
      <w:r>
        <w:fldChar w:fldCharType="begin"/>
      </w:r>
      <w:r>
        <w:instrText xml:space="preserve"> PAGEREF _Toc12881288 \h </w:instrText>
      </w:r>
      <w:r>
        <w:fldChar w:fldCharType="separate"/>
      </w:r>
      <w:r>
        <w:t>27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Trespassing</w:t>
      </w:r>
      <w:r>
        <w:tab/>
      </w:r>
      <w:r>
        <w:fldChar w:fldCharType="begin"/>
      </w:r>
      <w:r>
        <w:instrText xml:space="preserve"> PAGEREF _Toc12881289 \h </w:instrText>
      </w:r>
      <w:r>
        <w:fldChar w:fldCharType="separate"/>
      </w:r>
      <w:r>
        <w:t>27</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Conditions for construction and installation of pipelines</w:t>
      </w:r>
      <w:r>
        <w:tab/>
      </w:r>
      <w:r>
        <w:fldChar w:fldCharType="begin"/>
      </w:r>
      <w:r>
        <w:instrText xml:space="preserve"> PAGEREF _Toc12881290 \h </w:instrText>
      </w:r>
      <w:r>
        <w:fldChar w:fldCharType="separate"/>
      </w:r>
      <w:r>
        <w:t>28</w:t>
      </w:r>
      <w:r>
        <w:fldChar w:fldCharType="end"/>
      </w:r>
    </w:p>
    <w:p>
      <w:pPr>
        <w:pStyle w:val="TOC8"/>
        <w:rPr>
          <w:rFonts w:asciiTheme="minorHAnsi" w:eastAsiaTheme="minorEastAsia" w:hAnsiTheme="minorHAnsi" w:cstheme="minorBidi"/>
          <w:szCs w:val="22"/>
        </w:rPr>
      </w:pPr>
      <w:r>
        <w:t>67B</w:t>
      </w:r>
      <w:r>
        <w:rPr>
          <w:snapToGrid w:val="0"/>
        </w:rPr>
        <w:t>.</w:t>
      </w:r>
      <w:r>
        <w:rPr>
          <w:snapToGrid w:val="0"/>
        </w:rPr>
        <w:tab/>
        <w:t>Maintenance and operation of pipelines</w:t>
      </w:r>
      <w:r>
        <w:tab/>
      </w:r>
      <w:r>
        <w:fldChar w:fldCharType="begin"/>
      </w:r>
      <w:r>
        <w:instrText xml:space="preserve"> PAGEREF _Toc12881291 \h </w:instrText>
      </w:r>
      <w:r>
        <w:fldChar w:fldCharType="separate"/>
      </w:r>
      <w:r>
        <w:t>31</w:t>
      </w:r>
      <w:r>
        <w:fldChar w:fldCharType="end"/>
      </w:r>
    </w:p>
    <w:p>
      <w:pPr>
        <w:pStyle w:val="TOC8"/>
        <w:rPr>
          <w:rFonts w:asciiTheme="minorHAnsi" w:eastAsiaTheme="minorEastAsia" w:hAnsiTheme="minorHAnsi" w:cstheme="minorBidi"/>
          <w:szCs w:val="22"/>
        </w:rPr>
      </w:pPr>
      <w:r>
        <w:t>67D</w:t>
      </w:r>
      <w:r>
        <w:rPr>
          <w:snapToGrid w:val="0"/>
        </w:rPr>
        <w:t>.</w:t>
      </w:r>
      <w:r>
        <w:rPr>
          <w:snapToGrid w:val="0"/>
        </w:rPr>
        <w:tab/>
        <w:t>Penalty for failure to remove or amend pipeline</w:t>
      </w:r>
      <w:r>
        <w:tab/>
      </w:r>
      <w:r>
        <w:fldChar w:fldCharType="begin"/>
      </w:r>
      <w:r>
        <w:instrText xml:space="preserve"> PAGEREF _Toc12881292 \h </w:instrText>
      </w:r>
      <w:r>
        <w:fldChar w:fldCharType="separate"/>
      </w:r>
      <w:r>
        <w:t>37</w:t>
      </w:r>
      <w:r>
        <w:fldChar w:fldCharType="end"/>
      </w:r>
    </w:p>
    <w:p>
      <w:pPr>
        <w:pStyle w:val="TOC8"/>
        <w:rPr>
          <w:rFonts w:asciiTheme="minorHAnsi" w:eastAsiaTheme="minorEastAsia" w:hAnsiTheme="minorHAnsi" w:cstheme="minorBidi"/>
          <w:szCs w:val="22"/>
        </w:rPr>
      </w:pPr>
      <w:r>
        <w:t>67DA.</w:t>
      </w:r>
      <w:r>
        <w:tab/>
        <w:t>Fuelling vessels at service jetties limited</w:t>
      </w:r>
      <w:r>
        <w:tab/>
      </w:r>
      <w:r>
        <w:fldChar w:fldCharType="begin"/>
      </w:r>
      <w:r>
        <w:instrText xml:space="preserve"> PAGEREF _Toc12881293 \h </w:instrText>
      </w:r>
      <w:r>
        <w:fldChar w:fldCharType="separate"/>
      </w:r>
      <w:r>
        <w:t>37</w:t>
      </w:r>
      <w:r>
        <w:fldChar w:fldCharType="end"/>
      </w:r>
    </w:p>
    <w:p>
      <w:pPr>
        <w:pStyle w:val="TOC8"/>
        <w:rPr>
          <w:rFonts w:asciiTheme="minorHAnsi" w:eastAsiaTheme="minorEastAsia" w:hAnsiTheme="minorHAnsi" w:cstheme="minorBidi"/>
          <w:szCs w:val="22"/>
        </w:rPr>
      </w:pPr>
      <w:r>
        <w:t>67DB.</w:t>
      </w:r>
      <w:r>
        <w:tab/>
        <w:t>Waiving charges in emergencies</w:t>
      </w:r>
      <w:r>
        <w:tab/>
      </w:r>
      <w:r>
        <w:fldChar w:fldCharType="begin"/>
      </w:r>
      <w:r>
        <w:instrText xml:space="preserve"> PAGEREF _Toc12881294 \h </w:instrText>
      </w:r>
      <w:r>
        <w:fldChar w:fldCharType="separate"/>
      </w:r>
      <w:r>
        <w:t>37</w:t>
      </w:r>
      <w:r>
        <w:fldChar w:fldCharType="end"/>
      </w:r>
    </w:p>
    <w:p>
      <w:pPr>
        <w:pStyle w:val="TOC8"/>
        <w:rPr>
          <w:rFonts w:asciiTheme="minorHAnsi" w:eastAsiaTheme="minorEastAsia" w:hAnsiTheme="minorHAnsi" w:cstheme="minorBidi"/>
          <w:szCs w:val="22"/>
        </w:rPr>
      </w:pPr>
      <w:r>
        <w:t>67DC.</w:t>
      </w:r>
      <w:r>
        <w:tab/>
        <w:t>Controlling short term access to service jetty</w:t>
      </w:r>
      <w:r>
        <w:tab/>
      </w:r>
      <w:r>
        <w:fldChar w:fldCharType="begin"/>
      </w:r>
      <w:r>
        <w:instrText xml:space="preserve"> PAGEREF _Toc12881295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2 — Regulations applying to jetties within the Port of Perth</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67E</w:t>
      </w:r>
      <w:r>
        <w:rPr>
          <w:snapToGrid w:val="0"/>
        </w:rPr>
        <w:t>.</w:t>
      </w:r>
      <w:r>
        <w:rPr>
          <w:snapToGrid w:val="0"/>
        </w:rPr>
        <w:tab/>
        <w:t>Application</w:t>
      </w:r>
      <w:r>
        <w:tab/>
      </w:r>
      <w:r>
        <w:fldChar w:fldCharType="begin"/>
      </w:r>
      <w:r>
        <w:instrText xml:space="preserve"> PAGEREF _Toc12881298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Management and use of jetties</w:t>
      </w:r>
    </w:p>
    <w:p>
      <w:pPr>
        <w:pStyle w:val="TOC8"/>
        <w:rPr>
          <w:rFonts w:asciiTheme="minorHAnsi" w:eastAsiaTheme="minorEastAsia" w:hAnsiTheme="minorHAnsi" w:cstheme="minorBidi"/>
          <w:szCs w:val="22"/>
        </w:rPr>
      </w:pPr>
      <w:r>
        <w:t>68</w:t>
      </w:r>
      <w:r>
        <w:rPr>
          <w:snapToGrid w:val="0"/>
        </w:rPr>
        <w:t>.</w:t>
      </w:r>
      <w:r>
        <w:rPr>
          <w:snapToGrid w:val="0"/>
        </w:rPr>
        <w:tab/>
        <w:t>Control of jetties</w:t>
      </w:r>
      <w:r>
        <w:tab/>
      </w:r>
      <w:r>
        <w:fldChar w:fldCharType="begin"/>
      </w:r>
      <w:r>
        <w:instrText xml:space="preserve"> PAGEREF _Toc12881300 \h </w:instrText>
      </w:r>
      <w:r>
        <w:fldChar w:fldCharType="separate"/>
      </w:r>
      <w:r>
        <w:t>39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Use of jetties</w:t>
      </w:r>
      <w:r>
        <w:tab/>
      </w:r>
      <w:r>
        <w:fldChar w:fldCharType="begin"/>
      </w:r>
      <w:r>
        <w:instrText xml:space="preserve"> PAGEREF _Toc12881301 \h </w:instrText>
      </w:r>
      <w:r>
        <w:fldChar w:fldCharType="separate"/>
      </w:r>
      <w:r>
        <w:t>39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Jetties may be closed</w:t>
      </w:r>
      <w:r>
        <w:tab/>
      </w:r>
      <w:r>
        <w:fldChar w:fldCharType="begin"/>
      </w:r>
      <w:r>
        <w:instrText xml:space="preserve"> PAGEREF _Toc12881302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Mooring and berthing of vessels</w:t>
      </w:r>
    </w:p>
    <w:p>
      <w:pPr>
        <w:pStyle w:val="TOC8"/>
        <w:rPr>
          <w:rFonts w:asciiTheme="minorHAnsi" w:eastAsiaTheme="minorEastAsia" w:hAnsiTheme="minorHAnsi" w:cstheme="minorBidi"/>
          <w:szCs w:val="22"/>
        </w:rPr>
      </w:pPr>
      <w:r>
        <w:t>71</w:t>
      </w:r>
      <w:r>
        <w:rPr>
          <w:snapToGrid w:val="0"/>
        </w:rPr>
        <w:t>.</w:t>
      </w:r>
      <w:r>
        <w:rPr>
          <w:snapToGrid w:val="0"/>
        </w:rPr>
        <w:tab/>
        <w:t>Permit required to moor etc. alongside jetty or buoy</w:t>
      </w:r>
      <w:r>
        <w:tab/>
      </w:r>
      <w:r>
        <w:fldChar w:fldCharType="begin"/>
      </w:r>
      <w:r>
        <w:instrText xml:space="preserve"> PAGEREF _Toc12881304 \h </w:instrText>
      </w:r>
      <w:r>
        <w:fldChar w:fldCharType="separate"/>
      </w:r>
      <w:r>
        <w:t>40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Duration of, and charges for, permits</w:t>
      </w:r>
      <w:r>
        <w:tab/>
      </w:r>
      <w:r>
        <w:fldChar w:fldCharType="begin"/>
      </w:r>
      <w:r>
        <w:instrText xml:space="preserve"> PAGEREF _Toc12881305 \h </w:instrText>
      </w:r>
      <w:r>
        <w:fldChar w:fldCharType="separate"/>
      </w:r>
      <w:r>
        <w:t>40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Permit for exclusive use of berth</w:t>
      </w:r>
      <w:r>
        <w:tab/>
      </w:r>
      <w:r>
        <w:fldChar w:fldCharType="begin"/>
      </w:r>
      <w:r>
        <w:instrText xml:space="preserve"> PAGEREF _Toc12881306 \h </w:instrText>
      </w:r>
      <w:r>
        <w:fldChar w:fldCharType="separate"/>
      </w:r>
      <w:r>
        <w:t>42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Manner of mooring vessels</w:t>
      </w:r>
      <w:r>
        <w:tab/>
      </w:r>
      <w:r>
        <w:fldChar w:fldCharType="begin"/>
      </w:r>
      <w:r>
        <w:instrText xml:space="preserve"> PAGEREF _Toc12881307 \h </w:instrText>
      </w:r>
      <w:r>
        <w:fldChar w:fldCharType="separate"/>
      </w:r>
      <w:r>
        <w:t>43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Vessels not to remain at jetties longer than necessary</w:t>
      </w:r>
      <w:r>
        <w:tab/>
      </w:r>
      <w:r>
        <w:fldChar w:fldCharType="begin"/>
      </w:r>
      <w:r>
        <w:instrText xml:space="preserve"> PAGEREF _Toc12881308 \h </w:instrText>
      </w:r>
      <w:r>
        <w:fldChar w:fldCharType="separate"/>
      </w:r>
      <w:r>
        <w:t>43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Mooring of rafts and boathouses</w:t>
      </w:r>
      <w:r>
        <w:tab/>
      </w:r>
      <w:r>
        <w:fldChar w:fldCharType="begin"/>
      </w:r>
      <w:r>
        <w:instrText xml:space="preserve"> PAGEREF _Toc12881309 \h </w:instrText>
      </w:r>
      <w:r>
        <w:fldChar w:fldCharType="separate"/>
      </w:r>
      <w:r>
        <w:t>43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Vessels to be in charge of competent person</w:t>
      </w:r>
      <w:r>
        <w:tab/>
      </w:r>
      <w:r>
        <w:fldChar w:fldCharType="begin"/>
      </w:r>
      <w:r>
        <w:instrText xml:space="preserve"> PAGEREF _Toc12881310 \h </w:instrText>
      </w:r>
      <w:r>
        <w:fldChar w:fldCharType="separate"/>
      </w:r>
      <w:r>
        <w:t>44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Approaching jetties after sunset</w:t>
      </w:r>
      <w:r>
        <w:tab/>
      </w:r>
      <w:r>
        <w:fldChar w:fldCharType="begin"/>
      </w:r>
      <w:r>
        <w:instrText xml:space="preserve"> PAGEREF _Toc12881311 \h </w:instrText>
      </w:r>
      <w:r>
        <w:fldChar w:fldCharType="separate"/>
      </w:r>
      <w:r>
        <w:t>44</w:t>
      </w:r>
      <w:r>
        <w:fldChar w:fldCharType="end"/>
      </w:r>
    </w:p>
    <w:p>
      <w:pPr>
        <w:pStyle w:val="TOC8"/>
        <w:rPr>
          <w:rFonts w:asciiTheme="minorHAnsi" w:eastAsiaTheme="minorEastAsia" w:hAnsiTheme="minorHAnsi" w:cstheme="minorBidi"/>
          <w:szCs w:val="22"/>
        </w:rPr>
      </w:pPr>
      <w:r>
        <w:t>78A.</w:t>
      </w:r>
      <w:r>
        <w:tab/>
        <w:t>Charges for sullage removal</w:t>
      </w:r>
      <w:r>
        <w:tab/>
      </w:r>
      <w:r>
        <w:fldChar w:fldCharType="begin"/>
      </w:r>
      <w:r>
        <w:instrText xml:space="preserve"> PAGEREF _Toc12881312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Loading or discharging cargo</w:t>
      </w:r>
    </w:p>
    <w:p>
      <w:pPr>
        <w:pStyle w:val="TOC8"/>
        <w:rPr>
          <w:rFonts w:asciiTheme="minorHAnsi" w:eastAsiaTheme="minorEastAsia" w:hAnsiTheme="minorHAnsi" w:cstheme="minorBidi"/>
          <w:szCs w:val="22"/>
        </w:rPr>
      </w:pPr>
      <w:r>
        <w:t>80</w:t>
      </w:r>
      <w:r>
        <w:rPr>
          <w:snapToGrid w:val="0"/>
        </w:rPr>
        <w:t>.</w:t>
      </w:r>
      <w:r>
        <w:rPr>
          <w:snapToGrid w:val="0"/>
        </w:rPr>
        <w:tab/>
        <w:t>Vessels loading or discharging</w:t>
      </w:r>
      <w:r>
        <w:tab/>
      </w:r>
      <w:r>
        <w:fldChar w:fldCharType="begin"/>
      </w:r>
      <w:r>
        <w:instrText xml:space="preserve"> PAGEREF _Toc12881314 \h </w:instrText>
      </w:r>
      <w:r>
        <w:fldChar w:fldCharType="separate"/>
      </w:r>
      <w:r>
        <w:t>44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Cargo to be removed</w:t>
      </w:r>
      <w:r>
        <w:tab/>
      </w:r>
      <w:r>
        <w:fldChar w:fldCharType="begin"/>
      </w:r>
      <w:r>
        <w:instrText xml:space="preserve"> PAGEREF _Toc12881315 \h </w:instrText>
      </w:r>
      <w:r>
        <w:fldChar w:fldCharType="separate"/>
      </w:r>
      <w:r>
        <w:t>45</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Cargo not to remain on jetties overnight</w:t>
      </w:r>
      <w:r>
        <w:tab/>
      </w:r>
      <w:r>
        <w:fldChar w:fldCharType="begin"/>
      </w:r>
      <w:r>
        <w:instrText xml:space="preserve"> PAGEREF _Toc12881316 \h </w:instrText>
      </w:r>
      <w:r>
        <w:fldChar w:fldCharType="separate"/>
      </w:r>
      <w:r>
        <w:t>45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Explosives not to be handled without permission</w:t>
      </w:r>
      <w:r>
        <w:tab/>
      </w:r>
      <w:r>
        <w:fldChar w:fldCharType="begin"/>
      </w:r>
      <w:r>
        <w:instrText xml:space="preserve"> PAGEREF _Toc12881317 \h </w:instrText>
      </w:r>
      <w:r>
        <w:fldChar w:fldCharType="separate"/>
      </w:r>
      <w:r>
        <w:t>46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Manner of handling cargo</w:t>
      </w:r>
      <w:r>
        <w:tab/>
      </w:r>
      <w:r>
        <w:fldChar w:fldCharType="begin"/>
      </w:r>
      <w:r>
        <w:instrText xml:space="preserve"> PAGEREF _Toc12881318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Navigation of vessels</w:t>
      </w:r>
    </w:p>
    <w:p>
      <w:pPr>
        <w:pStyle w:val="TOC8"/>
        <w:rPr>
          <w:rFonts w:asciiTheme="minorHAnsi" w:eastAsiaTheme="minorEastAsia" w:hAnsiTheme="minorHAnsi" w:cstheme="minorBidi"/>
          <w:szCs w:val="22"/>
        </w:rPr>
      </w:pPr>
      <w:r>
        <w:t>85</w:t>
      </w:r>
      <w:r>
        <w:rPr>
          <w:snapToGrid w:val="0"/>
        </w:rPr>
        <w:t>.</w:t>
      </w:r>
      <w:r>
        <w:rPr>
          <w:snapToGrid w:val="0"/>
        </w:rPr>
        <w:tab/>
        <w:t>Power vessels approaching jetties</w:t>
      </w:r>
      <w:r>
        <w:tab/>
      </w:r>
      <w:r>
        <w:fldChar w:fldCharType="begin"/>
      </w:r>
      <w:r>
        <w:instrText xml:space="preserve"> PAGEREF _Toc12881320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86</w:t>
      </w:r>
      <w:r>
        <w:rPr>
          <w:snapToGrid w:val="0"/>
        </w:rPr>
        <w:t>.</w:t>
      </w:r>
      <w:r>
        <w:rPr>
          <w:snapToGrid w:val="0"/>
        </w:rPr>
        <w:tab/>
        <w:t>Bathing from jetties</w:t>
      </w:r>
      <w:r>
        <w:tab/>
      </w:r>
      <w:r>
        <w:fldChar w:fldCharType="begin"/>
      </w:r>
      <w:r>
        <w:instrText xml:space="preserve"> PAGEREF _Toc12881322 \h </w:instrText>
      </w:r>
      <w:r>
        <w:fldChar w:fldCharType="separate"/>
      </w:r>
      <w:r>
        <w:t>47</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Damage to jetties</w:t>
      </w:r>
      <w:r>
        <w:tab/>
      </w:r>
      <w:r>
        <w:fldChar w:fldCharType="begin"/>
      </w:r>
      <w:r>
        <w:instrText xml:space="preserve"> PAGEREF _Toc12881323 \h </w:instrText>
      </w:r>
      <w:r>
        <w:fldChar w:fldCharType="separate"/>
      </w:r>
      <w:r>
        <w:t>47</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Fishing from certain places prohibited</w:t>
      </w:r>
      <w:r>
        <w:tab/>
      </w:r>
      <w:r>
        <w:fldChar w:fldCharType="begin"/>
      </w:r>
      <w:r>
        <w:instrText xml:space="preserve"> PAGEREF _Toc12881324 \h </w:instrText>
      </w:r>
      <w:r>
        <w:fldChar w:fldCharType="separate"/>
      </w:r>
      <w:r>
        <w:t>47</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Fishing nets on jetties</w:t>
      </w:r>
      <w:r>
        <w:tab/>
      </w:r>
      <w:r>
        <w:fldChar w:fldCharType="begin"/>
      </w:r>
      <w:r>
        <w:instrText xml:space="preserve"> PAGEREF _Toc12881325 \h </w:instrText>
      </w:r>
      <w:r>
        <w:fldChar w:fldCharType="separate"/>
      </w:r>
      <w:r>
        <w:t>47</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Gangways to be provided</w:t>
      </w:r>
      <w:r>
        <w:tab/>
      </w:r>
      <w:r>
        <w:fldChar w:fldCharType="begin"/>
      </w:r>
      <w:r>
        <w:instrText xml:space="preserve"> PAGEREF _Toc12881326 \h </w:instrText>
      </w:r>
      <w:r>
        <w:fldChar w:fldCharType="separate"/>
      </w:r>
      <w:r>
        <w:t>48</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Interference with jetties or approaches</w:t>
      </w:r>
      <w:r>
        <w:tab/>
      </w:r>
      <w:r>
        <w:fldChar w:fldCharType="begin"/>
      </w:r>
      <w:r>
        <w:instrText xml:space="preserve"> PAGEREF _Toc12881327 \h </w:instrText>
      </w:r>
      <w:r>
        <w:fldChar w:fldCharType="separate"/>
      </w:r>
      <w:r>
        <w:t>48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Lifebuoys on jetties</w:t>
      </w:r>
      <w:r>
        <w:tab/>
      </w:r>
      <w:r>
        <w:fldChar w:fldCharType="begin"/>
      </w:r>
      <w:r>
        <w:instrText xml:space="preserve"> PAGEREF _Toc12881328 \h </w:instrText>
      </w:r>
      <w:r>
        <w:fldChar w:fldCharType="separate"/>
      </w:r>
      <w:r>
        <w:t>48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Obstruction of jetties or officers</w:t>
      </w:r>
      <w:r>
        <w:tab/>
      </w:r>
      <w:r>
        <w:fldChar w:fldCharType="begin"/>
      </w:r>
      <w:r>
        <w:instrText xml:space="preserve"> PAGEREF _Toc12881329 \h </w:instrText>
      </w:r>
      <w:r>
        <w:fldChar w:fldCharType="separate"/>
      </w:r>
      <w:r>
        <w:t>48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Rubbish not to be thrown in river etc.</w:t>
      </w:r>
      <w:r>
        <w:tab/>
      </w:r>
      <w:r>
        <w:fldChar w:fldCharType="begin"/>
      </w:r>
      <w:r>
        <w:instrText xml:space="preserve"> PAGEREF _Toc12881330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3 — Special provisions applying at particular ports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Use of slipways</w:t>
      </w:r>
    </w:p>
    <w:p>
      <w:pPr>
        <w:pStyle w:val="TOC8"/>
        <w:rPr>
          <w:rFonts w:asciiTheme="minorHAnsi" w:eastAsiaTheme="minorEastAsia" w:hAnsiTheme="minorHAnsi" w:cstheme="minorBidi"/>
          <w:szCs w:val="22"/>
        </w:rPr>
      </w:pPr>
      <w:r>
        <w:t>95.</w:t>
      </w:r>
      <w:r>
        <w:tab/>
        <w:t>Management and control of departmental slipways</w:t>
      </w:r>
      <w:r>
        <w:tab/>
      </w:r>
      <w:r>
        <w:fldChar w:fldCharType="begin"/>
      </w:r>
      <w:r>
        <w:instrText xml:space="preserve"> PAGEREF _Toc12881333 \h </w:instrText>
      </w:r>
      <w:r>
        <w:fldChar w:fldCharType="separate"/>
      </w:r>
      <w:r>
        <w:t>50</w:t>
      </w:r>
      <w:r>
        <w:fldChar w:fldCharType="end"/>
      </w:r>
    </w:p>
    <w:p>
      <w:pPr>
        <w:pStyle w:val="TOC8"/>
        <w:rPr>
          <w:rFonts w:asciiTheme="minorHAnsi" w:eastAsiaTheme="minorEastAsia" w:hAnsiTheme="minorHAnsi" w:cstheme="minorBidi"/>
          <w:szCs w:val="22"/>
        </w:rPr>
      </w:pPr>
      <w:r>
        <w:t>95A.</w:t>
      </w:r>
      <w:r>
        <w:tab/>
        <w:t>Use of slipway</w:t>
      </w:r>
      <w:r>
        <w:tab/>
      </w:r>
      <w:r>
        <w:fldChar w:fldCharType="begin"/>
      </w:r>
      <w:r>
        <w:instrText xml:space="preserve"> PAGEREF _Toc12881334 \h </w:instrText>
      </w:r>
      <w:r>
        <w:fldChar w:fldCharType="separate"/>
      </w:r>
      <w:r>
        <w:t>50</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Charges for use of slipway</w:t>
      </w:r>
      <w:r>
        <w:tab/>
      </w:r>
      <w:r>
        <w:fldChar w:fldCharType="begin"/>
      </w:r>
      <w:r>
        <w:instrText xml:space="preserve"> PAGEREF _Toc12881335 \h </w:instrText>
      </w:r>
      <w:r>
        <w:fldChar w:fldCharType="separate"/>
      </w:r>
      <w:r>
        <w:t>50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Government vessels may take precedence</w:t>
      </w:r>
      <w:r>
        <w:tab/>
      </w:r>
      <w:r>
        <w:fldChar w:fldCharType="begin"/>
      </w:r>
      <w:r>
        <w:instrText xml:space="preserve"> PAGEREF _Toc12881336 \h </w:instrText>
      </w:r>
      <w:r>
        <w:fldChar w:fldCharType="separate"/>
      </w:r>
      <w:r>
        <w:t>51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Vessels may forfeit their turn</w:t>
      </w:r>
      <w:r>
        <w:tab/>
      </w:r>
      <w:r>
        <w:fldChar w:fldCharType="begin"/>
      </w:r>
      <w:r>
        <w:instrText xml:space="preserve"> PAGEREF _Toc12881337 \h </w:instrText>
      </w:r>
      <w:r>
        <w:fldChar w:fldCharType="separate"/>
      </w:r>
      <w:r>
        <w:t>51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Department will not undertake repairs etc.</w:t>
      </w:r>
      <w:r>
        <w:tab/>
      </w:r>
      <w:r>
        <w:fldChar w:fldCharType="begin"/>
      </w:r>
      <w:r>
        <w:instrText xml:space="preserve"> PAGEREF _Toc12881338 \h </w:instrText>
      </w:r>
      <w:r>
        <w:fldChar w:fldCharType="separate"/>
      </w:r>
      <w:r>
        <w:t>51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Department not responsible for damage to vessel when in use of slip</w:t>
      </w:r>
      <w:r>
        <w:tab/>
      </w:r>
      <w:r>
        <w:fldChar w:fldCharType="begin"/>
      </w:r>
      <w:r>
        <w:instrText xml:space="preserve"> PAGEREF _Toc12881339 \h </w:instrText>
      </w:r>
      <w:r>
        <w:fldChar w:fldCharType="separate"/>
      </w:r>
      <w:r>
        <w:t>52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Duties of owner or master using slipway</w:t>
      </w:r>
      <w:r>
        <w:tab/>
      </w:r>
      <w:r>
        <w:fldChar w:fldCharType="begin"/>
      </w:r>
      <w:r>
        <w:instrText xml:space="preserve"> PAGEREF _Toc12881340 \h </w:instrText>
      </w:r>
      <w:r>
        <w:fldChar w:fldCharType="separate"/>
      </w:r>
      <w:r>
        <w:t>52</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Slipping of more than one vessel at a time</w:t>
      </w:r>
      <w:r>
        <w:tab/>
      </w:r>
      <w:r>
        <w:fldChar w:fldCharType="begin"/>
      </w:r>
      <w:r>
        <w:instrText xml:space="preserve"> PAGEREF _Toc12881341 \h </w:instrText>
      </w:r>
      <w:r>
        <w:fldChar w:fldCharType="separate"/>
      </w:r>
      <w:r>
        <w:t>52</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Dispute procedure</w:t>
      </w:r>
      <w:r>
        <w:tab/>
      </w:r>
      <w:r>
        <w:fldChar w:fldCharType="begin"/>
      </w:r>
      <w:r>
        <w:instrText xml:space="preserve"> PAGEREF _Toc12881342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Use of mooring springs</w:t>
      </w:r>
    </w:p>
    <w:p>
      <w:pPr>
        <w:pStyle w:val="TOC8"/>
        <w:rPr>
          <w:rFonts w:asciiTheme="minorHAnsi" w:eastAsiaTheme="minorEastAsia" w:hAnsiTheme="minorHAnsi" w:cstheme="minorBidi"/>
          <w:szCs w:val="22"/>
        </w:rPr>
      </w:pPr>
      <w:r>
        <w:t>105F</w:t>
      </w:r>
      <w:r>
        <w:rPr>
          <w:snapToGrid w:val="0"/>
        </w:rPr>
        <w:t>.</w:t>
      </w:r>
      <w:r>
        <w:rPr>
          <w:snapToGrid w:val="0"/>
        </w:rPr>
        <w:tab/>
        <w:t>Approaching bollard or jetty to which mooring spring or rope fastened</w:t>
      </w:r>
      <w:r>
        <w:tab/>
      </w:r>
      <w:r>
        <w:fldChar w:fldCharType="begin"/>
      </w:r>
      <w:r>
        <w:instrText xml:space="preserve"> PAGEREF _Toc12881344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Use of weighbridges at Wyndham</w:t>
      </w:r>
    </w:p>
    <w:p>
      <w:pPr>
        <w:pStyle w:val="TOC8"/>
        <w:rPr>
          <w:rFonts w:asciiTheme="minorHAnsi" w:eastAsiaTheme="minorEastAsia" w:hAnsiTheme="minorHAnsi" w:cstheme="minorBidi"/>
          <w:szCs w:val="22"/>
        </w:rPr>
      </w:pPr>
      <w:r>
        <w:t>105I</w:t>
      </w:r>
      <w:r>
        <w:rPr>
          <w:snapToGrid w:val="0"/>
        </w:rPr>
        <w:t>.</w:t>
      </w:r>
      <w:r>
        <w:rPr>
          <w:snapToGrid w:val="0"/>
        </w:rPr>
        <w:tab/>
        <w:t>Weighbridge charges</w:t>
      </w:r>
      <w:r>
        <w:tab/>
      </w:r>
      <w:r>
        <w:fldChar w:fldCharType="begin"/>
      </w:r>
      <w:r>
        <w:instrText xml:space="preserve"> PAGEREF _Toc12881346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4 — Breach of regulations and penalties</w:t>
      </w:r>
    </w:p>
    <w:p>
      <w:pPr>
        <w:pStyle w:val="TOC8"/>
        <w:rPr>
          <w:rFonts w:asciiTheme="minorHAnsi" w:eastAsiaTheme="minorEastAsia" w:hAnsiTheme="minorHAnsi" w:cstheme="minorBidi"/>
          <w:szCs w:val="22"/>
        </w:rPr>
      </w:pPr>
      <w:r>
        <w:t>106</w:t>
      </w:r>
      <w:r>
        <w:rPr>
          <w:snapToGrid w:val="0"/>
        </w:rPr>
        <w:t>.</w:t>
      </w:r>
      <w:r>
        <w:rPr>
          <w:snapToGrid w:val="0"/>
        </w:rPr>
        <w:tab/>
        <w:t>Powers of officer of Department</w:t>
      </w:r>
      <w:r>
        <w:tab/>
      </w:r>
      <w:r>
        <w:fldChar w:fldCharType="begin"/>
      </w:r>
      <w:r>
        <w:instrText xml:space="preserve"> PAGEREF _Toc12881348 \h </w:instrText>
      </w:r>
      <w:r>
        <w:fldChar w:fldCharType="separate"/>
      </w:r>
      <w:r>
        <w:t>55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Recovery of expenses incurred by breaches of regulations</w:t>
      </w:r>
      <w:r>
        <w:tab/>
      </w:r>
      <w:r>
        <w:fldChar w:fldCharType="begin"/>
      </w:r>
      <w:r>
        <w:instrText xml:space="preserve"> PAGEREF _Toc12881349 \h </w:instrText>
      </w:r>
      <w:r>
        <w:fldChar w:fldCharType="separate"/>
      </w:r>
      <w:r>
        <w:t>55</w:t>
      </w:r>
      <w:r>
        <w:fldChar w:fldCharType="end"/>
      </w:r>
    </w:p>
    <w:p>
      <w:pPr>
        <w:pStyle w:val="TOC8"/>
        <w:rPr>
          <w:rFonts w:asciiTheme="minorHAnsi" w:eastAsiaTheme="minorEastAsia" w:hAnsiTheme="minorHAnsi" w:cstheme="minorBidi"/>
          <w:szCs w:val="22"/>
        </w:rPr>
      </w:pPr>
      <w:r>
        <w:t>107A</w:t>
      </w:r>
      <w:r>
        <w:rPr>
          <w:snapToGrid w:val="0"/>
        </w:rPr>
        <w:t>.</w:t>
      </w:r>
      <w:r>
        <w:rPr>
          <w:snapToGrid w:val="0"/>
        </w:rPr>
        <w:tab/>
        <w:t>Police have authority to enforce regulations</w:t>
      </w:r>
      <w:r>
        <w:tab/>
      </w:r>
      <w:r>
        <w:fldChar w:fldCharType="begin"/>
      </w:r>
      <w:r>
        <w:instrText xml:space="preserve"> PAGEREF _Toc12881350 \h </w:instrText>
      </w:r>
      <w:r>
        <w:fldChar w:fldCharType="separate"/>
      </w:r>
      <w:r>
        <w:t>55</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Penalty for offences</w:t>
      </w:r>
      <w:r>
        <w:tab/>
      </w:r>
      <w:r>
        <w:fldChar w:fldCharType="begin"/>
      </w:r>
      <w:r>
        <w:instrText xml:space="preserve"> PAGEREF _Toc12881351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Schedule 1 — Dues and charges generally</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Standard rates for this Schedule</w:t>
      </w:r>
      <w:r>
        <w:tab/>
      </w:r>
      <w:r>
        <w:fldChar w:fldCharType="begin"/>
      </w:r>
      <w:r>
        <w:instrText xml:space="preserve"> PAGEREF _Toc12881354 \h </w:instrText>
      </w:r>
      <w:r>
        <w:fldChar w:fldCharType="separate"/>
      </w:r>
      <w:r>
        <w:t>57</w:t>
      </w:r>
      <w:r>
        <w:fldChar w:fldCharType="end"/>
      </w:r>
    </w:p>
    <w:p>
      <w:pPr>
        <w:pStyle w:val="TOC8"/>
        <w:rPr>
          <w:rFonts w:asciiTheme="minorHAnsi" w:eastAsiaTheme="minorEastAsia" w:hAnsiTheme="minorHAnsi" w:cstheme="minorBidi"/>
          <w:szCs w:val="22"/>
        </w:rPr>
      </w:pPr>
      <w:r>
        <w:t>2.</w:t>
      </w:r>
      <w:r>
        <w:tab/>
        <w:t>Transferability of annual payments</w:t>
      </w:r>
      <w:r>
        <w:tab/>
      </w:r>
      <w:r>
        <w:fldChar w:fldCharType="begin"/>
      </w:r>
      <w:r>
        <w:instrText xml:space="preserve"> PAGEREF _Toc12881355 \h </w:instrText>
      </w:r>
      <w:r>
        <w:fldChar w:fldCharType="separate"/>
      </w:r>
      <w:r>
        <w:t>57</w:t>
      </w:r>
      <w:r>
        <w:fldChar w:fldCharType="end"/>
      </w:r>
    </w:p>
    <w:p>
      <w:pPr>
        <w:pStyle w:val="TOC8"/>
        <w:rPr>
          <w:rFonts w:asciiTheme="minorHAnsi" w:eastAsiaTheme="minorEastAsia" w:hAnsiTheme="minorHAnsi" w:cstheme="minorBidi"/>
          <w:szCs w:val="22"/>
        </w:rPr>
      </w:pPr>
      <w:r>
        <w:t>3.</w:t>
      </w:r>
      <w:r>
        <w:tab/>
        <w:t>Service jetty entitlements</w:t>
      </w:r>
      <w:r>
        <w:tab/>
      </w:r>
      <w:r>
        <w:fldChar w:fldCharType="begin"/>
      </w:r>
      <w:r>
        <w:instrText xml:space="preserve"> PAGEREF _Toc12881356 \h </w:instrText>
      </w:r>
      <w:r>
        <w:fldChar w:fldCharType="separate"/>
      </w:r>
      <w:r>
        <w:t>58</w:t>
      </w:r>
      <w:r>
        <w:fldChar w:fldCharType="end"/>
      </w:r>
    </w:p>
    <w:p>
      <w:pPr>
        <w:pStyle w:val="TOC8"/>
        <w:rPr>
          <w:rFonts w:asciiTheme="minorHAnsi" w:eastAsiaTheme="minorEastAsia" w:hAnsiTheme="minorHAnsi" w:cstheme="minorBidi"/>
          <w:szCs w:val="22"/>
        </w:rPr>
      </w:pPr>
      <w:r>
        <w:t>4.</w:t>
      </w:r>
      <w:r>
        <w:tab/>
        <w:t>Active loading and unloading</w:t>
      </w:r>
      <w:r>
        <w:tab/>
      </w:r>
      <w:r>
        <w:fldChar w:fldCharType="begin"/>
      </w:r>
      <w:r>
        <w:instrText xml:space="preserve"> PAGEREF _Toc12881357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 — Dues and charges for specified places</w:t>
      </w:r>
    </w:p>
    <w:p>
      <w:pPr>
        <w:pStyle w:val="TOC8"/>
        <w:rPr>
          <w:rFonts w:asciiTheme="minorHAnsi" w:eastAsiaTheme="minorEastAsia" w:hAnsiTheme="minorHAnsi" w:cstheme="minorBidi"/>
          <w:szCs w:val="22"/>
        </w:rPr>
      </w:pPr>
      <w:r>
        <w:t>5.</w:t>
      </w:r>
      <w:r>
        <w:tab/>
        <w:t>Albany, Albany Waterfront Marina</w:t>
      </w:r>
      <w:r>
        <w:tab/>
      </w:r>
      <w:r>
        <w:fldChar w:fldCharType="begin"/>
      </w:r>
      <w:r>
        <w:instrText xml:space="preserve"> PAGEREF _Toc12881359 \h </w:instrText>
      </w:r>
      <w:r>
        <w:fldChar w:fldCharType="separate"/>
      </w:r>
      <w:r>
        <w:t>58</w:t>
      </w:r>
      <w:r>
        <w:fldChar w:fldCharType="end"/>
      </w:r>
    </w:p>
    <w:p>
      <w:pPr>
        <w:pStyle w:val="TOC8"/>
        <w:rPr>
          <w:rFonts w:asciiTheme="minorHAnsi" w:eastAsiaTheme="minorEastAsia" w:hAnsiTheme="minorHAnsi" w:cstheme="minorBidi"/>
          <w:szCs w:val="22"/>
        </w:rPr>
      </w:pPr>
      <w:r>
        <w:t>6.</w:t>
      </w:r>
      <w:r>
        <w:tab/>
        <w:t>Albany, Emu Point Boat Harbour</w:t>
      </w:r>
      <w:r>
        <w:tab/>
      </w:r>
      <w:r>
        <w:fldChar w:fldCharType="begin"/>
      </w:r>
      <w:r>
        <w:instrText xml:space="preserve"> PAGEREF _Toc12881360 \h </w:instrText>
      </w:r>
      <w:r>
        <w:fldChar w:fldCharType="separate"/>
      </w:r>
      <w:r>
        <w:t>59</w:t>
      </w:r>
      <w:r>
        <w:fldChar w:fldCharType="end"/>
      </w:r>
    </w:p>
    <w:p>
      <w:pPr>
        <w:pStyle w:val="TOC8"/>
        <w:rPr>
          <w:rFonts w:asciiTheme="minorHAnsi" w:eastAsiaTheme="minorEastAsia" w:hAnsiTheme="minorHAnsi" w:cstheme="minorBidi"/>
          <w:szCs w:val="22"/>
        </w:rPr>
      </w:pPr>
      <w:r>
        <w:t>7.</w:t>
      </w:r>
      <w:r>
        <w:tab/>
        <w:t>Augusta Boat Harbour</w:t>
      </w:r>
      <w:r>
        <w:tab/>
      </w:r>
      <w:r>
        <w:fldChar w:fldCharType="begin"/>
      </w:r>
      <w:r>
        <w:instrText xml:space="preserve"> PAGEREF _Toc12881361 \h </w:instrText>
      </w:r>
      <w:r>
        <w:fldChar w:fldCharType="separate"/>
      </w:r>
      <w:r>
        <w:t>60</w:t>
      </w:r>
      <w:r>
        <w:fldChar w:fldCharType="end"/>
      </w:r>
    </w:p>
    <w:p>
      <w:pPr>
        <w:pStyle w:val="TOC8"/>
        <w:rPr>
          <w:rFonts w:asciiTheme="minorHAnsi" w:eastAsiaTheme="minorEastAsia" w:hAnsiTheme="minorHAnsi" w:cstheme="minorBidi"/>
          <w:szCs w:val="22"/>
        </w:rPr>
      </w:pPr>
      <w:r>
        <w:t>8.</w:t>
      </w:r>
      <w:r>
        <w:tab/>
        <w:t>Augusta (Ellis Street) Maritime Facility</w:t>
      </w:r>
      <w:r>
        <w:tab/>
      </w:r>
      <w:r>
        <w:fldChar w:fldCharType="begin"/>
      </w:r>
      <w:r>
        <w:instrText xml:space="preserve"> PAGEREF _Toc12881362 \h </w:instrText>
      </w:r>
      <w:r>
        <w:fldChar w:fldCharType="separate"/>
      </w:r>
      <w:r>
        <w:t>61</w:t>
      </w:r>
      <w:r>
        <w:fldChar w:fldCharType="end"/>
      </w:r>
    </w:p>
    <w:p>
      <w:pPr>
        <w:pStyle w:val="TOC8"/>
        <w:rPr>
          <w:rFonts w:asciiTheme="minorHAnsi" w:eastAsiaTheme="minorEastAsia" w:hAnsiTheme="minorHAnsi" w:cstheme="minorBidi"/>
          <w:szCs w:val="22"/>
        </w:rPr>
      </w:pPr>
      <w:r>
        <w:t>9.</w:t>
      </w:r>
      <w:r>
        <w:tab/>
        <w:t>Bremer Bay</w:t>
      </w:r>
      <w:r>
        <w:tab/>
      </w:r>
      <w:r>
        <w:fldChar w:fldCharType="begin"/>
      </w:r>
      <w:r>
        <w:instrText xml:space="preserve"> PAGEREF _Toc12881363 \h </w:instrText>
      </w:r>
      <w:r>
        <w:fldChar w:fldCharType="separate"/>
      </w:r>
      <w:r>
        <w:t>61</w:t>
      </w:r>
      <w:r>
        <w:fldChar w:fldCharType="end"/>
      </w:r>
    </w:p>
    <w:p>
      <w:pPr>
        <w:pStyle w:val="TOC8"/>
        <w:rPr>
          <w:rFonts w:asciiTheme="minorHAnsi" w:eastAsiaTheme="minorEastAsia" w:hAnsiTheme="minorHAnsi" w:cstheme="minorBidi"/>
          <w:szCs w:val="22"/>
        </w:rPr>
      </w:pPr>
      <w:r>
        <w:t>10.</w:t>
      </w:r>
      <w:r>
        <w:tab/>
        <w:t>Bunbury, Casuarina Boat Harbour</w:t>
      </w:r>
      <w:r>
        <w:tab/>
      </w:r>
      <w:r>
        <w:fldChar w:fldCharType="begin"/>
      </w:r>
      <w:r>
        <w:instrText xml:space="preserve"> PAGEREF _Toc12881364 \h </w:instrText>
      </w:r>
      <w:r>
        <w:fldChar w:fldCharType="separate"/>
      </w:r>
      <w:r>
        <w:t>62</w:t>
      </w:r>
      <w:r>
        <w:fldChar w:fldCharType="end"/>
      </w:r>
    </w:p>
    <w:p>
      <w:pPr>
        <w:pStyle w:val="TOC8"/>
        <w:rPr>
          <w:rFonts w:asciiTheme="minorHAnsi" w:eastAsiaTheme="minorEastAsia" w:hAnsiTheme="minorHAnsi" w:cstheme="minorBidi"/>
          <w:szCs w:val="22"/>
        </w:rPr>
      </w:pPr>
      <w:r>
        <w:t>11.</w:t>
      </w:r>
      <w:r>
        <w:tab/>
        <w:t>Carnarvon Boat Harbour</w:t>
      </w:r>
      <w:r>
        <w:tab/>
      </w:r>
      <w:r>
        <w:fldChar w:fldCharType="begin"/>
      </w:r>
      <w:r>
        <w:instrText xml:space="preserve"> PAGEREF _Toc12881365 \h </w:instrText>
      </w:r>
      <w:r>
        <w:fldChar w:fldCharType="separate"/>
      </w:r>
      <w:r>
        <w:t>63</w:t>
      </w:r>
      <w:r>
        <w:fldChar w:fldCharType="end"/>
      </w:r>
    </w:p>
    <w:p>
      <w:pPr>
        <w:pStyle w:val="TOC8"/>
        <w:rPr>
          <w:rFonts w:asciiTheme="minorHAnsi" w:eastAsiaTheme="minorEastAsia" w:hAnsiTheme="minorHAnsi" w:cstheme="minorBidi"/>
          <w:szCs w:val="22"/>
        </w:rPr>
      </w:pPr>
      <w:r>
        <w:t>12.</w:t>
      </w:r>
      <w:r>
        <w:tab/>
        <w:t>Cervantes</w:t>
      </w:r>
      <w:r>
        <w:tab/>
      </w:r>
      <w:r>
        <w:fldChar w:fldCharType="begin"/>
      </w:r>
      <w:r>
        <w:instrText xml:space="preserve"> PAGEREF _Toc12881366 \h </w:instrText>
      </w:r>
      <w:r>
        <w:fldChar w:fldCharType="separate"/>
      </w:r>
      <w:r>
        <w:t>64</w:t>
      </w:r>
      <w:r>
        <w:fldChar w:fldCharType="end"/>
      </w:r>
    </w:p>
    <w:p>
      <w:pPr>
        <w:pStyle w:val="TOC8"/>
        <w:rPr>
          <w:rFonts w:asciiTheme="minorHAnsi" w:eastAsiaTheme="minorEastAsia" w:hAnsiTheme="minorHAnsi" w:cstheme="minorBidi"/>
          <w:szCs w:val="22"/>
        </w:rPr>
      </w:pPr>
      <w:r>
        <w:t>13.</w:t>
      </w:r>
      <w:r>
        <w:tab/>
        <w:t>Coral Bay Maritime Facility</w:t>
      </w:r>
      <w:r>
        <w:tab/>
      </w:r>
      <w:r>
        <w:fldChar w:fldCharType="begin"/>
      </w:r>
      <w:r>
        <w:instrText xml:space="preserve"> PAGEREF _Toc12881367 \h </w:instrText>
      </w:r>
      <w:r>
        <w:fldChar w:fldCharType="separate"/>
      </w:r>
      <w:r>
        <w:t>64</w:t>
      </w:r>
      <w:r>
        <w:fldChar w:fldCharType="end"/>
      </w:r>
    </w:p>
    <w:p>
      <w:pPr>
        <w:pStyle w:val="TOC8"/>
        <w:rPr>
          <w:rFonts w:asciiTheme="minorHAnsi" w:eastAsiaTheme="minorEastAsia" w:hAnsiTheme="minorHAnsi" w:cstheme="minorBidi"/>
          <w:szCs w:val="22"/>
        </w:rPr>
      </w:pPr>
      <w:r>
        <w:t>14.</w:t>
      </w:r>
      <w:r>
        <w:tab/>
        <w:t>Denham Maritime Facility</w:t>
      </w:r>
      <w:r>
        <w:tab/>
      </w:r>
      <w:r>
        <w:fldChar w:fldCharType="begin"/>
      </w:r>
      <w:r>
        <w:instrText xml:space="preserve"> PAGEREF _Toc12881368 \h </w:instrText>
      </w:r>
      <w:r>
        <w:fldChar w:fldCharType="separate"/>
      </w:r>
      <w:r>
        <w:t>65</w:t>
      </w:r>
      <w:r>
        <w:fldChar w:fldCharType="end"/>
      </w:r>
    </w:p>
    <w:p>
      <w:pPr>
        <w:pStyle w:val="TOC8"/>
        <w:rPr>
          <w:rFonts w:asciiTheme="minorHAnsi" w:eastAsiaTheme="minorEastAsia" w:hAnsiTheme="minorHAnsi" w:cstheme="minorBidi"/>
          <w:szCs w:val="22"/>
        </w:rPr>
      </w:pPr>
      <w:r>
        <w:t>15.</w:t>
      </w:r>
      <w:r>
        <w:tab/>
        <w:t>Esperance, Bandy Creek Boat Harbour</w:t>
      </w:r>
      <w:r>
        <w:tab/>
      </w:r>
      <w:r>
        <w:fldChar w:fldCharType="begin"/>
      </w:r>
      <w:r>
        <w:instrText xml:space="preserve"> PAGEREF _Toc12881369 \h </w:instrText>
      </w:r>
      <w:r>
        <w:fldChar w:fldCharType="separate"/>
      </w:r>
      <w:r>
        <w:t>65</w:t>
      </w:r>
      <w:r>
        <w:fldChar w:fldCharType="end"/>
      </w:r>
    </w:p>
    <w:p>
      <w:pPr>
        <w:pStyle w:val="TOC8"/>
        <w:rPr>
          <w:rFonts w:asciiTheme="minorHAnsi" w:eastAsiaTheme="minorEastAsia" w:hAnsiTheme="minorHAnsi" w:cstheme="minorBidi"/>
          <w:szCs w:val="22"/>
        </w:rPr>
      </w:pPr>
      <w:r>
        <w:t>16.</w:t>
      </w:r>
      <w:r>
        <w:tab/>
        <w:t>Exmouth</w:t>
      </w:r>
      <w:r>
        <w:tab/>
      </w:r>
      <w:r>
        <w:fldChar w:fldCharType="begin"/>
      </w:r>
      <w:r>
        <w:instrText xml:space="preserve"> PAGEREF _Toc12881370 \h </w:instrText>
      </w:r>
      <w:r>
        <w:fldChar w:fldCharType="separate"/>
      </w:r>
      <w:r>
        <w:t>66</w:t>
      </w:r>
      <w:r>
        <w:fldChar w:fldCharType="end"/>
      </w:r>
    </w:p>
    <w:p>
      <w:pPr>
        <w:pStyle w:val="TOC8"/>
        <w:rPr>
          <w:rFonts w:asciiTheme="minorHAnsi" w:eastAsiaTheme="minorEastAsia" w:hAnsiTheme="minorHAnsi" w:cstheme="minorBidi"/>
          <w:szCs w:val="22"/>
        </w:rPr>
      </w:pPr>
      <w:r>
        <w:t>17.</w:t>
      </w:r>
      <w:r>
        <w:tab/>
        <w:t>Fremantle Fishing Boat Harbour</w:t>
      </w:r>
      <w:r>
        <w:tab/>
      </w:r>
      <w:r>
        <w:fldChar w:fldCharType="begin"/>
      </w:r>
      <w:r>
        <w:instrText xml:space="preserve"> PAGEREF _Toc12881371 \h </w:instrText>
      </w:r>
      <w:r>
        <w:fldChar w:fldCharType="separate"/>
      </w:r>
      <w:r>
        <w:t>68</w:t>
      </w:r>
      <w:r>
        <w:fldChar w:fldCharType="end"/>
      </w:r>
    </w:p>
    <w:p>
      <w:pPr>
        <w:pStyle w:val="TOC8"/>
        <w:rPr>
          <w:rFonts w:asciiTheme="minorHAnsi" w:eastAsiaTheme="minorEastAsia" w:hAnsiTheme="minorHAnsi" w:cstheme="minorBidi"/>
          <w:szCs w:val="22"/>
        </w:rPr>
      </w:pPr>
      <w:r>
        <w:t>18.</w:t>
      </w:r>
      <w:r>
        <w:tab/>
        <w:t>Geraldton, Batavia Coast Boat Harbour</w:t>
      </w:r>
      <w:r>
        <w:tab/>
      </w:r>
      <w:r>
        <w:fldChar w:fldCharType="begin"/>
      </w:r>
      <w:r>
        <w:instrText xml:space="preserve"> PAGEREF _Toc12881372 \h </w:instrText>
      </w:r>
      <w:r>
        <w:fldChar w:fldCharType="separate"/>
      </w:r>
      <w:r>
        <w:t>69</w:t>
      </w:r>
      <w:r>
        <w:fldChar w:fldCharType="end"/>
      </w:r>
    </w:p>
    <w:p>
      <w:pPr>
        <w:pStyle w:val="TOC8"/>
        <w:rPr>
          <w:rFonts w:asciiTheme="minorHAnsi" w:eastAsiaTheme="minorEastAsia" w:hAnsiTheme="minorHAnsi" w:cstheme="minorBidi"/>
          <w:szCs w:val="22"/>
        </w:rPr>
      </w:pPr>
      <w:r>
        <w:t>19.</w:t>
      </w:r>
      <w:r>
        <w:tab/>
        <w:t>Green Head</w:t>
      </w:r>
      <w:r>
        <w:tab/>
      </w:r>
      <w:r>
        <w:fldChar w:fldCharType="begin"/>
      </w:r>
      <w:r>
        <w:instrText xml:space="preserve"> PAGEREF _Toc12881373 \h </w:instrText>
      </w:r>
      <w:r>
        <w:fldChar w:fldCharType="separate"/>
      </w:r>
      <w:r>
        <w:t>70</w:t>
      </w:r>
      <w:r>
        <w:fldChar w:fldCharType="end"/>
      </w:r>
    </w:p>
    <w:p>
      <w:pPr>
        <w:pStyle w:val="TOC8"/>
        <w:rPr>
          <w:rFonts w:asciiTheme="minorHAnsi" w:eastAsiaTheme="minorEastAsia" w:hAnsiTheme="minorHAnsi" w:cstheme="minorBidi"/>
          <w:szCs w:val="22"/>
        </w:rPr>
      </w:pPr>
      <w:r>
        <w:t>20.</w:t>
      </w:r>
      <w:r>
        <w:tab/>
        <w:t>Hopetoun</w:t>
      </w:r>
      <w:r>
        <w:tab/>
      </w:r>
      <w:r>
        <w:fldChar w:fldCharType="begin"/>
      </w:r>
      <w:r>
        <w:instrText xml:space="preserve"> PAGEREF _Toc12881374 \h </w:instrText>
      </w:r>
      <w:r>
        <w:fldChar w:fldCharType="separate"/>
      </w:r>
      <w:r>
        <w:t>71</w:t>
      </w:r>
      <w:r>
        <w:fldChar w:fldCharType="end"/>
      </w:r>
    </w:p>
    <w:p>
      <w:pPr>
        <w:pStyle w:val="TOC8"/>
        <w:rPr>
          <w:rFonts w:asciiTheme="minorHAnsi" w:eastAsiaTheme="minorEastAsia" w:hAnsiTheme="minorHAnsi" w:cstheme="minorBidi"/>
          <w:szCs w:val="22"/>
        </w:rPr>
      </w:pPr>
      <w:r>
        <w:t>21.</w:t>
      </w:r>
      <w:r>
        <w:tab/>
        <w:t>Jurien Boat Harbour</w:t>
      </w:r>
      <w:r>
        <w:tab/>
      </w:r>
      <w:r>
        <w:fldChar w:fldCharType="begin"/>
      </w:r>
      <w:r>
        <w:instrText xml:space="preserve"> PAGEREF _Toc12881375 \h </w:instrText>
      </w:r>
      <w:r>
        <w:fldChar w:fldCharType="separate"/>
      </w:r>
      <w:r>
        <w:t>71</w:t>
      </w:r>
      <w:r>
        <w:fldChar w:fldCharType="end"/>
      </w:r>
    </w:p>
    <w:p>
      <w:pPr>
        <w:pStyle w:val="TOC8"/>
        <w:rPr>
          <w:rFonts w:asciiTheme="minorHAnsi" w:eastAsiaTheme="minorEastAsia" w:hAnsiTheme="minorHAnsi" w:cstheme="minorBidi"/>
          <w:szCs w:val="22"/>
        </w:rPr>
      </w:pPr>
      <w:r>
        <w:t>22.</w:t>
      </w:r>
      <w:r>
        <w:tab/>
        <w:t>Kalbarri Boat Harbour</w:t>
      </w:r>
      <w:r>
        <w:tab/>
      </w:r>
      <w:r>
        <w:fldChar w:fldCharType="begin"/>
      </w:r>
      <w:r>
        <w:instrText xml:space="preserve"> PAGEREF _Toc12881376 \h </w:instrText>
      </w:r>
      <w:r>
        <w:fldChar w:fldCharType="separate"/>
      </w:r>
      <w:r>
        <w:t>72</w:t>
      </w:r>
      <w:r>
        <w:fldChar w:fldCharType="end"/>
      </w:r>
    </w:p>
    <w:p>
      <w:pPr>
        <w:pStyle w:val="TOC8"/>
        <w:rPr>
          <w:rFonts w:asciiTheme="minorHAnsi" w:eastAsiaTheme="minorEastAsia" w:hAnsiTheme="minorHAnsi" w:cstheme="minorBidi"/>
          <w:szCs w:val="22"/>
        </w:rPr>
      </w:pPr>
      <w:r>
        <w:t>23.</w:t>
      </w:r>
      <w:r>
        <w:tab/>
        <w:t>Lancelin</w:t>
      </w:r>
      <w:r>
        <w:tab/>
      </w:r>
      <w:r>
        <w:fldChar w:fldCharType="begin"/>
      </w:r>
      <w:r>
        <w:instrText xml:space="preserve"> PAGEREF _Toc12881377 \h </w:instrText>
      </w:r>
      <w:r>
        <w:fldChar w:fldCharType="separate"/>
      </w:r>
      <w:r>
        <w:t>73</w:t>
      </w:r>
      <w:r>
        <w:fldChar w:fldCharType="end"/>
      </w:r>
    </w:p>
    <w:p>
      <w:pPr>
        <w:pStyle w:val="TOC8"/>
        <w:rPr>
          <w:rFonts w:asciiTheme="minorHAnsi" w:eastAsiaTheme="minorEastAsia" w:hAnsiTheme="minorHAnsi" w:cstheme="minorBidi"/>
          <w:szCs w:val="22"/>
        </w:rPr>
      </w:pPr>
      <w:r>
        <w:t>24.</w:t>
      </w:r>
      <w:r>
        <w:tab/>
        <w:t>Leeman</w:t>
      </w:r>
      <w:r>
        <w:tab/>
      </w:r>
      <w:r>
        <w:fldChar w:fldCharType="begin"/>
      </w:r>
      <w:r>
        <w:instrText xml:space="preserve"> PAGEREF _Toc12881378 \h </w:instrText>
      </w:r>
      <w:r>
        <w:fldChar w:fldCharType="separate"/>
      </w:r>
      <w:r>
        <w:t>73</w:t>
      </w:r>
      <w:r>
        <w:fldChar w:fldCharType="end"/>
      </w:r>
    </w:p>
    <w:p>
      <w:pPr>
        <w:pStyle w:val="TOC8"/>
        <w:rPr>
          <w:rFonts w:asciiTheme="minorHAnsi" w:eastAsiaTheme="minorEastAsia" w:hAnsiTheme="minorHAnsi" w:cstheme="minorBidi"/>
          <w:szCs w:val="22"/>
        </w:rPr>
      </w:pPr>
      <w:r>
        <w:t>25.</w:t>
      </w:r>
      <w:r>
        <w:tab/>
        <w:t>Onslow, Beadon Creek Boat Harbour</w:t>
      </w:r>
      <w:r>
        <w:tab/>
      </w:r>
      <w:r>
        <w:fldChar w:fldCharType="begin"/>
      </w:r>
      <w:r>
        <w:instrText xml:space="preserve"> PAGEREF _Toc12881379 \h </w:instrText>
      </w:r>
      <w:r>
        <w:fldChar w:fldCharType="separate"/>
      </w:r>
      <w:r>
        <w:t>74</w:t>
      </w:r>
      <w:r>
        <w:fldChar w:fldCharType="end"/>
      </w:r>
    </w:p>
    <w:p>
      <w:pPr>
        <w:pStyle w:val="TOC8"/>
        <w:rPr>
          <w:rFonts w:asciiTheme="minorHAnsi" w:eastAsiaTheme="minorEastAsia" w:hAnsiTheme="minorHAnsi" w:cstheme="minorBidi"/>
          <w:szCs w:val="22"/>
        </w:rPr>
      </w:pPr>
      <w:r>
        <w:t>26.</w:t>
      </w:r>
      <w:r>
        <w:tab/>
        <w:t>Point Samson, Johns Creek Boat Harbour</w:t>
      </w:r>
      <w:r>
        <w:tab/>
      </w:r>
      <w:r>
        <w:fldChar w:fldCharType="begin"/>
      </w:r>
      <w:r>
        <w:instrText xml:space="preserve"> PAGEREF _Toc12881380 \h </w:instrText>
      </w:r>
      <w:r>
        <w:fldChar w:fldCharType="separate"/>
      </w:r>
      <w:r>
        <w:t>75</w:t>
      </w:r>
      <w:r>
        <w:fldChar w:fldCharType="end"/>
      </w:r>
    </w:p>
    <w:p>
      <w:pPr>
        <w:pStyle w:val="TOC8"/>
        <w:rPr>
          <w:rFonts w:asciiTheme="minorHAnsi" w:eastAsiaTheme="minorEastAsia" w:hAnsiTheme="minorHAnsi" w:cstheme="minorBidi"/>
          <w:szCs w:val="22"/>
        </w:rPr>
      </w:pPr>
      <w:r>
        <w:t>27.</w:t>
      </w:r>
      <w:r>
        <w:tab/>
        <w:t>Port Denison</w:t>
      </w:r>
      <w:r>
        <w:tab/>
      </w:r>
      <w:r>
        <w:fldChar w:fldCharType="begin"/>
      </w:r>
      <w:r>
        <w:instrText xml:space="preserve"> PAGEREF _Toc12881381 \h </w:instrText>
      </w:r>
      <w:r>
        <w:fldChar w:fldCharType="separate"/>
      </w:r>
      <w:r>
        <w:t>77</w:t>
      </w:r>
      <w:r>
        <w:fldChar w:fldCharType="end"/>
      </w:r>
    </w:p>
    <w:p>
      <w:pPr>
        <w:pStyle w:val="TOC8"/>
        <w:rPr>
          <w:rFonts w:asciiTheme="minorHAnsi" w:eastAsiaTheme="minorEastAsia" w:hAnsiTheme="minorHAnsi" w:cstheme="minorBidi"/>
          <w:szCs w:val="22"/>
        </w:rPr>
      </w:pPr>
      <w:r>
        <w:t>28.</w:t>
      </w:r>
      <w:r>
        <w:tab/>
        <w:t>Port Gregory</w:t>
      </w:r>
      <w:r>
        <w:tab/>
      </w:r>
      <w:r>
        <w:fldChar w:fldCharType="begin"/>
      </w:r>
      <w:r>
        <w:instrText xml:space="preserve"> PAGEREF _Toc12881382 \h </w:instrText>
      </w:r>
      <w:r>
        <w:fldChar w:fldCharType="separate"/>
      </w:r>
      <w:r>
        <w:t>78</w:t>
      </w:r>
      <w:r>
        <w:fldChar w:fldCharType="end"/>
      </w:r>
    </w:p>
    <w:p>
      <w:pPr>
        <w:pStyle w:val="TOC8"/>
        <w:rPr>
          <w:rFonts w:asciiTheme="minorHAnsi" w:eastAsiaTheme="minorEastAsia" w:hAnsiTheme="minorHAnsi" w:cstheme="minorBidi"/>
          <w:szCs w:val="22"/>
        </w:rPr>
      </w:pPr>
      <w:r>
        <w:t>29.</w:t>
      </w:r>
      <w:r>
        <w:tab/>
        <w:t>Two Rocks Marina</w:t>
      </w:r>
      <w:r>
        <w:tab/>
      </w:r>
      <w:r>
        <w:fldChar w:fldCharType="begin"/>
      </w:r>
      <w:r>
        <w:instrText xml:space="preserve"> PAGEREF _Toc12881383 \h </w:instrText>
      </w:r>
      <w:r>
        <w:fldChar w:fldCharType="separate"/>
      </w:r>
      <w:r>
        <w:t>78</w:t>
      </w:r>
      <w:r>
        <w:fldChar w:fldCharType="end"/>
      </w:r>
    </w:p>
    <w:p>
      <w:pPr>
        <w:pStyle w:val="TOC8"/>
        <w:rPr>
          <w:rFonts w:asciiTheme="minorHAnsi" w:eastAsiaTheme="minorEastAsia" w:hAnsiTheme="minorHAnsi" w:cstheme="minorBidi"/>
          <w:szCs w:val="22"/>
        </w:rPr>
      </w:pPr>
      <w:r>
        <w:t>30.</w:t>
      </w:r>
      <w:r>
        <w:tab/>
        <w:t>Port of Wyndham</w:t>
      </w:r>
      <w:r>
        <w:tab/>
      </w:r>
      <w:r>
        <w:fldChar w:fldCharType="begin"/>
      </w:r>
      <w:r>
        <w:instrText xml:space="preserve"> PAGEREF _Toc12881384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 — State-wide charges</w:t>
      </w:r>
    </w:p>
    <w:p>
      <w:pPr>
        <w:pStyle w:val="TOC8"/>
        <w:rPr>
          <w:rFonts w:asciiTheme="minorHAnsi" w:eastAsiaTheme="minorEastAsia" w:hAnsiTheme="minorHAnsi" w:cstheme="minorBidi"/>
          <w:szCs w:val="22"/>
        </w:rPr>
      </w:pPr>
      <w:r>
        <w:t>31.</w:t>
      </w:r>
      <w:r>
        <w:tab/>
        <w:t>Wyndham excluded</w:t>
      </w:r>
      <w:r>
        <w:tab/>
      </w:r>
      <w:r>
        <w:fldChar w:fldCharType="begin"/>
      </w:r>
      <w:r>
        <w:instrText xml:space="preserve"> PAGEREF _Toc12881386 \h </w:instrText>
      </w:r>
      <w:r>
        <w:fldChar w:fldCharType="separate"/>
      </w:r>
      <w:r>
        <w:t>83</w:t>
      </w:r>
      <w:r>
        <w:fldChar w:fldCharType="end"/>
      </w:r>
    </w:p>
    <w:p>
      <w:pPr>
        <w:pStyle w:val="TOC8"/>
        <w:rPr>
          <w:rFonts w:asciiTheme="minorHAnsi" w:eastAsiaTheme="minorEastAsia" w:hAnsiTheme="minorHAnsi" w:cstheme="minorBidi"/>
          <w:szCs w:val="22"/>
        </w:rPr>
      </w:pPr>
      <w:r>
        <w:t>32.</w:t>
      </w:r>
      <w:r>
        <w:tab/>
        <w:t>Living on vessel</w:t>
      </w:r>
      <w:r>
        <w:tab/>
      </w:r>
      <w:r>
        <w:fldChar w:fldCharType="begin"/>
      </w:r>
      <w:r>
        <w:instrText xml:space="preserve"> PAGEREF _Toc12881387 \h </w:instrText>
      </w:r>
      <w:r>
        <w:fldChar w:fldCharType="separate"/>
      </w:r>
      <w:r>
        <w:t>83</w:t>
      </w:r>
      <w:r>
        <w:fldChar w:fldCharType="end"/>
      </w:r>
    </w:p>
    <w:p>
      <w:pPr>
        <w:pStyle w:val="TOC8"/>
        <w:rPr>
          <w:rFonts w:asciiTheme="minorHAnsi" w:eastAsiaTheme="minorEastAsia" w:hAnsiTheme="minorHAnsi" w:cstheme="minorBidi"/>
          <w:szCs w:val="22"/>
        </w:rPr>
      </w:pPr>
      <w:r>
        <w:t>33.</w:t>
      </w:r>
      <w:r>
        <w:tab/>
        <w:t>Electricity supply</w:t>
      </w:r>
      <w:r>
        <w:tab/>
      </w:r>
      <w:r>
        <w:fldChar w:fldCharType="begin"/>
      </w:r>
      <w:r>
        <w:instrText xml:space="preserve"> PAGEREF _Toc12881388 \h </w:instrText>
      </w:r>
      <w:r>
        <w:fldChar w:fldCharType="separate"/>
      </w:r>
      <w:r>
        <w:t>84</w:t>
      </w:r>
      <w:r>
        <w:fldChar w:fldCharType="end"/>
      </w:r>
    </w:p>
    <w:p>
      <w:pPr>
        <w:pStyle w:val="TOC8"/>
        <w:rPr>
          <w:rFonts w:asciiTheme="minorHAnsi" w:eastAsiaTheme="minorEastAsia" w:hAnsiTheme="minorHAnsi" w:cstheme="minorBidi"/>
          <w:szCs w:val="22"/>
        </w:rPr>
      </w:pPr>
      <w:r>
        <w:t>34.</w:t>
      </w:r>
      <w:r>
        <w:tab/>
        <w:t>Water supply</w:t>
      </w:r>
      <w:r>
        <w:tab/>
      </w:r>
      <w:r>
        <w:fldChar w:fldCharType="begin"/>
      </w:r>
      <w:r>
        <w:instrText xml:space="preserve"> PAGEREF _Toc12881389 \h </w:instrText>
      </w:r>
      <w:r>
        <w:fldChar w:fldCharType="separate"/>
      </w:r>
      <w:r>
        <w:t>84</w:t>
      </w:r>
      <w:r>
        <w:fldChar w:fldCharType="end"/>
      </w:r>
    </w:p>
    <w:p>
      <w:pPr>
        <w:pStyle w:val="TOC8"/>
        <w:rPr>
          <w:rFonts w:asciiTheme="minorHAnsi" w:eastAsiaTheme="minorEastAsia" w:hAnsiTheme="minorHAnsi" w:cstheme="minorBidi"/>
          <w:szCs w:val="22"/>
        </w:rPr>
      </w:pPr>
      <w:r>
        <w:t>35.</w:t>
      </w:r>
      <w:r>
        <w:tab/>
        <w:t>Rubbish removal</w:t>
      </w:r>
      <w:r>
        <w:tab/>
      </w:r>
      <w:r>
        <w:fldChar w:fldCharType="begin"/>
      </w:r>
      <w:r>
        <w:instrText xml:space="preserve"> PAGEREF _Toc12881390 \h </w:instrText>
      </w:r>
      <w:r>
        <w:fldChar w:fldCharType="separate"/>
      </w:r>
      <w:r>
        <w:t>84</w:t>
      </w:r>
      <w:r>
        <w:fldChar w:fldCharType="end"/>
      </w:r>
    </w:p>
    <w:p>
      <w:pPr>
        <w:pStyle w:val="TOC8"/>
        <w:rPr>
          <w:rFonts w:asciiTheme="minorHAnsi" w:eastAsiaTheme="minorEastAsia" w:hAnsiTheme="minorHAnsi" w:cstheme="minorBidi"/>
          <w:szCs w:val="22"/>
        </w:rPr>
      </w:pPr>
      <w:r>
        <w:t>36.</w:t>
      </w:r>
      <w:r>
        <w:tab/>
        <w:t>Passengers and cargo</w:t>
      </w:r>
      <w:r>
        <w:tab/>
      </w:r>
      <w:r>
        <w:fldChar w:fldCharType="begin"/>
      </w:r>
      <w:r>
        <w:instrText xml:space="preserve"> PAGEREF _Toc12881391 \h </w:instrText>
      </w:r>
      <w:r>
        <w:fldChar w:fldCharType="separate"/>
      </w:r>
      <w:r>
        <w:t>85</w:t>
      </w:r>
      <w:r>
        <w:fldChar w:fldCharType="end"/>
      </w:r>
    </w:p>
    <w:p>
      <w:pPr>
        <w:pStyle w:val="TOC8"/>
        <w:rPr>
          <w:rFonts w:asciiTheme="minorHAnsi" w:eastAsiaTheme="minorEastAsia" w:hAnsiTheme="minorHAnsi" w:cstheme="minorBidi"/>
          <w:szCs w:val="22"/>
        </w:rPr>
      </w:pPr>
      <w:r>
        <w:t>37.</w:t>
      </w:r>
      <w:r>
        <w:tab/>
        <w:t>Floating dinghy pens</w:t>
      </w:r>
      <w:r>
        <w:tab/>
      </w:r>
      <w:r>
        <w:fldChar w:fldCharType="begin"/>
      </w:r>
      <w:r>
        <w:instrText xml:space="preserve"> PAGEREF _Toc12881392 \h </w:instrText>
      </w:r>
      <w:r>
        <w:fldChar w:fldCharType="separate"/>
      </w:r>
      <w:r>
        <w:t>85</w:t>
      </w:r>
      <w:r>
        <w:fldChar w:fldCharType="end"/>
      </w:r>
    </w:p>
    <w:p>
      <w:pPr>
        <w:pStyle w:val="TOC8"/>
        <w:rPr>
          <w:rFonts w:asciiTheme="minorHAnsi" w:eastAsiaTheme="minorEastAsia" w:hAnsiTheme="minorHAnsi" w:cstheme="minorBidi"/>
          <w:szCs w:val="22"/>
        </w:rPr>
      </w:pPr>
      <w:r>
        <w:t>38.</w:t>
      </w:r>
      <w:r>
        <w:tab/>
        <w:t>Use of jetty hardstand or appurtenant area</w:t>
      </w:r>
      <w:r>
        <w:tab/>
      </w:r>
      <w:r>
        <w:fldChar w:fldCharType="begin"/>
      </w:r>
      <w:r>
        <w:instrText xml:space="preserve"> PAGEREF _Toc12881393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Schedule 2 — Fuel oil wharfage</w:t>
      </w:r>
    </w:p>
    <w:p>
      <w:pPr>
        <w:pStyle w:val="TOC8"/>
        <w:rPr>
          <w:rFonts w:asciiTheme="minorHAnsi" w:eastAsiaTheme="minorEastAsia" w:hAnsiTheme="minorHAnsi" w:cstheme="minorBidi"/>
          <w:szCs w:val="22"/>
        </w:rPr>
      </w:pPr>
      <w:r>
        <w:t>1.</w:t>
      </w:r>
      <w:r>
        <w:tab/>
        <w:t>Wharfage for fuel oil</w:t>
      </w:r>
      <w:r>
        <w:tab/>
      </w:r>
      <w:r>
        <w:fldChar w:fldCharType="begin"/>
      </w:r>
      <w:r>
        <w:instrText xml:space="preserve"> PAGEREF _Toc12881395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Schedule 3 — Port of Perth charges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Application of this Schedule</w:t>
      </w:r>
      <w:r>
        <w:tab/>
      </w:r>
      <w:r>
        <w:fldChar w:fldCharType="begin"/>
      </w:r>
      <w:r>
        <w:instrText xml:space="preserve"> PAGEREF _Toc12881398 \h </w:instrText>
      </w:r>
      <w:r>
        <w:fldChar w:fldCharType="separate"/>
      </w:r>
      <w:r>
        <w:t>89</w:t>
      </w:r>
      <w:r>
        <w:fldChar w:fldCharType="end"/>
      </w:r>
    </w:p>
    <w:p>
      <w:pPr>
        <w:pStyle w:val="TOC8"/>
        <w:rPr>
          <w:rFonts w:asciiTheme="minorHAnsi" w:eastAsiaTheme="minorEastAsia" w:hAnsiTheme="minorHAnsi" w:cstheme="minorBidi"/>
          <w:szCs w:val="22"/>
        </w:rPr>
      </w:pPr>
      <w:r>
        <w:t>2.</w:t>
      </w:r>
      <w:r>
        <w:tab/>
        <w:t>Standard rates for this Schedule</w:t>
      </w:r>
      <w:r>
        <w:tab/>
      </w:r>
      <w:r>
        <w:fldChar w:fldCharType="begin"/>
      </w:r>
      <w:r>
        <w:instrText xml:space="preserve"> PAGEREF _Toc12881399 \h </w:instrText>
      </w:r>
      <w:r>
        <w:fldChar w:fldCharType="separate"/>
      </w:r>
      <w:r>
        <w:t>89</w:t>
      </w:r>
      <w:r>
        <w:fldChar w:fldCharType="end"/>
      </w:r>
    </w:p>
    <w:p>
      <w:pPr>
        <w:pStyle w:val="TOC8"/>
        <w:rPr>
          <w:rFonts w:asciiTheme="minorHAnsi" w:eastAsiaTheme="minorEastAsia" w:hAnsiTheme="minorHAnsi" w:cstheme="minorBidi"/>
          <w:szCs w:val="22"/>
        </w:rPr>
      </w:pPr>
      <w:r>
        <w:t>3.</w:t>
      </w:r>
      <w:r>
        <w:tab/>
        <w:t>Transferability of annual payments</w:t>
      </w:r>
      <w:r>
        <w:tab/>
      </w:r>
      <w:r>
        <w:fldChar w:fldCharType="begin"/>
      </w:r>
      <w:r>
        <w:instrText xml:space="preserve"> PAGEREF _Toc12881400 \h </w:instrText>
      </w:r>
      <w:r>
        <w:fldChar w:fldCharType="separate"/>
      </w:r>
      <w:r>
        <w:t>89</w:t>
      </w:r>
      <w:r>
        <w:fldChar w:fldCharType="end"/>
      </w:r>
    </w:p>
    <w:p>
      <w:pPr>
        <w:pStyle w:val="TOC8"/>
        <w:rPr>
          <w:rFonts w:asciiTheme="minorHAnsi" w:eastAsiaTheme="minorEastAsia" w:hAnsiTheme="minorHAnsi" w:cstheme="minorBidi"/>
          <w:szCs w:val="22"/>
        </w:rPr>
      </w:pPr>
      <w:r>
        <w:t>4.</w:t>
      </w:r>
      <w:r>
        <w:tab/>
        <w:t>Service jetty entitlements</w:t>
      </w:r>
      <w:r>
        <w:tab/>
      </w:r>
      <w:r>
        <w:fldChar w:fldCharType="begin"/>
      </w:r>
      <w:r>
        <w:instrText xml:space="preserve"> PAGEREF _Toc12881401 \h </w:instrText>
      </w:r>
      <w:r>
        <w:fldChar w:fldCharType="separate"/>
      </w:r>
      <w:r>
        <w:t>90</w:t>
      </w:r>
      <w:r>
        <w:fldChar w:fldCharType="end"/>
      </w:r>
    </w:p>
    <w:p>
      <w:pPr>
        <w:pStyle w:val="TOC8"/>
        <w:rPr>
          <w:rFonts w:asciiTheme="minorHAnsi" w:eastAsiaTheme="minorEastAsia" w:hAnsiTheme="minorHAnsi" w:cstheme="minorBidi"/>
          <w:szCs w:val="22"/>
        </w:rPr>
      </w:pPr>
      <w:r>
        <w:t>5.</w:t>
      </w:r>
      <w:r>
        <w:tab/>
        <w:t>Active loading and unloading</w:t>
      </w:r>
      <w:r>
        <w:tab/>
      </w:r>
      <w:r>
        <w:fldChar w:fldCharType="begin"/>
      </w:r>
      <w:r>
        <w:instrText xml:space="preserve"> PAGEREF _Toc12881402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2 — Charges for jetties on Swan and Canning Rivers</w:t>
      </w:r>
    </w:p>
    <w:p>
      <w:pPr>
        <w:pStyle w:val="TOC8"/>
        <w:rPr>
          <w:rFonts w:asciiTheme="minorHAnsi" w:eastAsiaTheme="minorEastAsia" w:hAnsiTheme="minorHAnsi" w:cstheme="minorBidi"/>
          <w:szCs w:val="22"/>
        </w:rPr>
      </w:pPr>
      <w:r>
        <w:t>6.</w:t>
      </w:r>
      <w:r>
        <w:tab/>
        <w:t>Barrack Street and Mends Street jetties</w:t>
      </w:r>
      <w:r>
        <w:tab/>
      </w:r>
      <w:r>
        <w:fldChar w:fldCharType="begin"/>
      </w:r>
      <w:r>
        <w:instrText xml:space="preserve"> PAGEREF _Toc12881404 \h </w:instrText>
      </w:r>
      <w:r>
        <w:fldChar w:fldCharType="separate"/>
      </w:r>
      <w:r>
        <w:t>90</w:t>
      </w:r>
      <w:r>
        <w:fldChar w:fldCharType="end"/>
      </w:r>
    </w:p>
    <w:p>
      <w:pPr>
        <w:pStyle w:val="TOC8"/>
        <w:rPr>
          <w:rFonts w:asciiTheme="minorHAnsi" w:eastAsiaTheme="minorEastAsia" w:hAnsiTheme="minorHAnsi" w:cstheme="minorBidi"/>
          <w:szCs w:val="22"/>
        </w:rPr>
      </w:pPr>
      <w:r>
        <w:t>7.</w:t>
      </w:r>
      <w:r>
        <w:tab/>
        <w:t>Other jetties on Swan and Canning Rivers</w:t>
      </w:r>
      <w:r>
        <w:tab/>
      </w:r>
      <w:r>
        <w:fldChar w:fldCharType="begin"/>
      </w:r>
      <w:r>
        <w:instrText xml:space="preserve"> PAGEREF _Toc12881405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Charges for other places</w:t>
      </w:r>
    </w:p>
    <w:p>
      <w:pPr>
        <w:pStyle w:val="TOC8"/>
        <w:rPr>
          <w:rFonts w:asciiTheme="minorHAnsi" w:eastAsiaTheme="minorEastAsia" w:hAnsiTheme="minorHAnsi" w:cstheme="minorBidi"/>
          <w:szCs w:val="22"/>
        </w:rPr>
      </w:pPr>
      <w:r>
        <w:t>8.</w:t>
      </w:r>
      <w:r>
        <w:tab/>
        <w:t>Fremantle, Challenger Boat Harbour</w:t>
      </w:r>
      <w:r>
        <w:tab/>
      </w:r>
      <w:r>
        <w:fldChar w:fldCharType="begin"/>
      </w:r>
      <w:r>
        <w:instrText xml:space="preserve"> PAGEREF _Toc12881407 \h </w:instrText>
      </w:r>
      <w:r>
        <w:fldChar w:fldCharType="separate"/>
      </w:r>
      <w:r>
        <w:t>92</w:t>
      </w:r>
      <w:r>
        <w:fldChar w:fldCharType="end"/>
      </w:r>
    </w:p>
    <w:p>
      <w:pPr>
        <w:pStyle w:val="TOC8"/>
        <w:rPr>
          <w:rFonts w:asciiTheme="minorHAnsi" w:eastAsiaTheme="minorEastAsia" w:hAnsiTheme="minorHAnsi" w:cstheme="minorBidi"/>
          <w:szCs w:val="22"/>
        </w:rPr>
      </w:pPr>
      <w:r>
        <w:t>9.</w:t>
      </w:r>
      <w:r>
        <w:tab/>
        <w:t>Hillarys Boat Harbour</w:t>
      </w:r>
      <w:r>
        <w:tab/>
      </w:r>
      <w:r>
        <w:fldChar w:fldCharType="begin"/>
      </w:r>
      <w:r>
        <w:instrText xml:space="preserve"> PAGEREF _Toc12881408 \h </w:instrText>
      </w:r>
      <w:r>
        <w:fldChar w:fldCharType="separate"/>
      </w:r>
      <w:r>
        <w:t>93</w:t>
      </w:r>
      <w:r>
        <w:fldChar w:fldCharType="end"/>
      </w:r>
    </w:p>
    <w:p>
      <w:pPr>
        <w:pStyle w:val="TOC8"/>
        <w:rPr>
          <w:rFonts w:asciiTheme="minorHAnsi" w:eastAsiaTheme="minorEastAsia" w:hAnsiTheme="minorHAnsi" w:cstheme="minorBidi"/>
          <w:szCs w:val="22"/>
        </w:rPr>
      </w:pPr>
      <w:r>
        <w:t>10.</w:t>
      </w:r>
      <w:r>
        <w:tab/>
        <w:t>Jervoise Bay</w:t>
      </w:r>
      <w:r>
        <w:tab/>
      </w:r>
      <w:r>
        <w:fldChar w:fldCharType="begin"/>
      </w:r>
      <w:r>
        <w:instrText xml:space="preserve"> PAGEREF _Toc12881409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_Toc12881412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120" w:after="600"/>
        <w:rPr>
          <w:snapToGrid w:val="0"/>
        </w:rPr>
      </w:pPr>
      <w:r>
        <w:rPr>
          <w:snapToGrid w:val="0"/>
        </w:rPr>
        <w:t>Jetties Act 1926</w:t>
      </w:r>
    </w:p>
    <w:p>
      <w:pPr>
        <w:pStyle w:val="NameofActReg"/>
        <w:spacing w:before="600" w:after="720"/>
      </w:pPr>
      <w:r>
        <w:t>Jetties Regulations 1940</w:t>
      </w:r>
    </w:p>
    <w:p>
      <w:pPr>
        <w:pStyle w:val="Heading2"/>
        <w:pageBreakBefore w:val="0"/>
        <w:spacing w:before="240"/>
      </w:pPr>
      <w:bookmarkStart w:id="3" w:name="_Toc11752901"/>
      <w:bookmarkStart w:id="4" w:name="_Toc11766517"/>
      <w:bookmarkStart w:id="5" w:name="_Toc11768458"/>
      <w:bookmarkStart w:id="6" w:name="_Toc11828249"/>
      <w:bookmarkStart w:id="7" w:name="_Toc12028015"/>
      <w:bookmarkStart w:id="8" w:name="_Toc12881213"/>
      <w:r>
        <w:rPr>
          <w:rStyle w:val="CharPartNo"/>
        </w:rPr>
        <w:t>Part 1A</w:t>
      </w:r>
      <w:r>
        <w:rPr>
          <w:b w:val="0"/>
        </w:rPr>
        <w:t> </w:t>
      </w:r>
      <w:r>
        <w:t>—</w:t>
      </w:r>
      <w:r>
        <w:rPr>
          <w:b w:val="0"/>
        </w:rPr>
        <w:t> </w:t>
      </w:r>
      <w:r>
        <w:rPr>
          <w:rStyle w:val="CharPartText"/>
        </w:rPr>
        <w:t>Preliminary</w:t>
      </w:r>
      <w:bookmarkEnd w:id="3"/>
      <w:bookmarkEnd w:id="4"/>
      <w:bookmarkEnd w:id="5"/>
      <w:bookmarkEnd w:id="6"/>
      <w:bookmarkEnd w:id="7"/>
      <w:bookmarkEnd w:id="8"/>
    </w:p>
    <w:p>
      <w:pPr>
        <w:pStyle w:val="Footnoteheading"/>
      </w:pPr>
      <w:r>
        <w:tab/>
        <w:t>[Heading inserted: Gazette 25 May 2018 p. 1669.]</w:t>
      </w:r>
    </w:p>
    <w:p>
      <w:pPr>
        <w:pStyle w:val="Heading5"/>
        <w:rPr>
          <w:snapToGrid w:val="0"/>
        </w:rPr>
      </w:pPr>
      <w:bookmarkStart w:id="9" w:name="_Toc12881214"/>
      <w:r>
        <w:rPr>
          <w:rStyle w:val="CharSectno"/>
        </w:rPr>
        <w:t>1</w:t>
      </w:r>
      <w:r>
        <w:rPr>
          <w:snapToGrid w:val="0"/>
        </w:rPr>
        <w:t>.</w:t>
      </w:r>
      <w:r>
        <w:rPr>
          <w:snapToGrid w:val="0"/>
        </w:rPr>
        <w:tab/>
        <w:t>Citation</w:t>
      </w:r>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Gazette 24 Aug 2004 p. 3659.]</w:t>
      </w:r>
    </w:p>
    <w:p>
      <w:pPr>
        <w:pStyle w:val="Heading5"/>
      </w:pPr>
      <w:bookmarkStart w:id="10" w:name="_Toc12881215"/>
      <w:r>
        <w:rPr>
          <w:rStyle w:val="CharSectno"/>
        </w:rPr>
        <w:t>2</w:t>
      </w:r>
      <w:r>
        <w:t>.</w:t>
      </w:r>
      <w:r>
        <w:tab/>
        <w:t>Liability for dues and charges</w:t>
      </w:r>
      <w:bookmarkEnd w:id="10"/>
    </w:p>
    <w:p>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pPr>
        <w:pStyle w:val="Footnotesection"/>
      </w:pPr>
      <w:r>
        <w:tab/>
        <w:t>[Regulation 2 inserted: Gazette 14 Jun 2002 p. 2799; amended: Gazette 25 Jul 2014 p. 2607.]</w:t>
      </w:r>
    </w:p>
    <w:p>
      <w:pPr>
        <w:pStyle w:val="Heading5"/>
        <w:rPr>
          <w:snapToGrid w:val="0"/>
        </w:rPr>
      </w:pPr>
      <w:bookmarkStart w:id="11" w:name="_Toc12881216"/>
      <w:r>
        <w:rPr>
          <w:rStyle w:val="CharSectno"/>
        </w:rPr>
        <w:t>3</w:t>
      </w:r>
      <w:r>
        <w:rPr>
          <w:snapToGrid w:val="0"/>
        </w:rPr>
        <w:t>.</w:t>
      </w:r>
      <w:r>
        <w:rPr>
          <w:snapToGrid w:val="0"/>
        </w:rPr>
        <w:tab/>
        <w:t>Terms used</w:t>
      </w:r>
      <w:bookmarkEnd w:id="11"/>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keepNex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t>
      </w:r>
      <w:smartTag w:uri="urn:schemas-microsoft-com:office:smarttags" w:element="place">
        <w:smartTag w:uri="urn:schemas-microsoft-com:office:smarttags" w:element="State">
          <w:r>
            <w:rPr>
              <w:i/>
            </w:rPr>
            <w:t>Western Australia</w:t>
          </w:r>
        </w:smartTag>
      </w:smartTag>
      <w:r>
        <w:rPr>
          <w:i/>
        </w:rPr>
        <w:t>) Code</w:t>
      </w:r>
      <w:r>
        <w:rPr>
          <w:vertAlign w:val="superscript"/>
        </w:rPr>
        <w:t> 2</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a due or charge under these regulations —</w:t>
      </w:r>
    </w:p>
    <w:p>
      <w:pPr>
        <w:pStyle w:val="Defstart"/>
      </w:pPr>
      <w:r>
        <w:tab/>
      </w:r>
      <w:r>
        <w:rPr>
          <w:rStyle w:val="CharDefText"/>
        </w:rPr>
        <w:t>day</w:t>
      </w:r>
      <w:r>
        <w:t xml:space="preserve"> means a period of 24 hours;</w:t>
      </w:r>
    </w:p>
    <w:p>
      <w:pPr>
        <w:pStyle w:val="Defstart"/>
      </w:pPr>
      <w:r>
        <w:tab/>
      </w:r>
      <w:r>
        <w:rPr>
          <w:rStyle w:val="CharDefText"/>
        </w:rPr>
        <w:t>short term</w:t>
      </w:r>
      <w:r>
        <w:t xml:space="preserve"> means up to one hour in any day;</w:t>
      </w:r>
    </w:p>
    <w:p>
      <w:pPr>
        <w:pStyle w:val="Defstart"/>
      </w:pPr>
      <w:r>
        <w:tab/>
      </w:r>
      <w:r>
        <w:rPr>
          <w:rStyle w:val="CharDefText"/>
        </w:rPr>
        <w:t>week</w:t>
      </w:r>
      <w:r>
        <w:t xml:space="preserve"> means 7 consecutive days.</w:t>
      </w:r>
    </w:p>
    <w:p>
      <w:pPr>
        <w:pStyle w:val="Subsection"/>
      </w:pPr>
      <w:r>
        <w:tab/>
        <w:t>(3)</w:t>
      </w:r>
      <w:r>
        <w:tab/>
        <w:t>For the purposes of calculating a due or charge prescribed in a Schedule —</w:t>
      </w:r>
    </w:p>
    <w:p>
      <w:pPr>
        <w:pStyle w:val="Indenta"/>
      </w:pPr>
      <w:r>
        <w:tab/>
        <w:t>(a)</w:t>
      </w:r>
      <w:r>
        <w:tab/>
        <w:t>an amount payable per day is payable for any part of a day;</w:t>
      </w:r>
    </w:p>
    <w:p>
      <w:pPr>
        <w:pStyle w:val="Indenta"/>
      </w:pPr>
      <w:r>
        <w:tab/>
        <w:t>(b)</w:t>
      </w:r>
      <w:r>
        <w:tab/>
        <w:t>the length of a vessel is its overall length rounded down to the nearest whole metre;</w:t>
      </w:r>
    </w:p>
    <w:p>
      <w:pPr>
        <w:pStyle w:val="Indenta"/>
      </w:pPr>
      <w:r>
        <w:tab/>
        <w:t>(c)</w:t>
      </w:r>
      <w:r>
        <w:tab/>
        <w:t xml:space="preserve">the length of a pen is — </w:t>
      </w:r>
    </w:p>
    <w:p>
      <w:pPr>
        <w:pStyle w:val="Indenti"/>
      </w:pPr>
      <w:r>
        <w:tab/>
        <w:t>(i)</w:t>
      </w:r>
      <w:r>
        <w:tab/>
        <w:t>unless subparagraph (ii) applies, its length as determined by the Department and set out on its website at the time the charge is calculated; or</w:t>
      </w:r>
    </w:p>
    <w:p>
      <w:pPr>
        <w:pStyle w:val="Indenti"/>
      </w:pPr>
      <w:r>
        <w:tab/>
        <w:t>(ii)</w:t>
      </w:r>
      <w:r>
        <w:tab/>
        <w:t>if a vessel is allocated a pen that is longer than it needs to be due to the unavailability of a suitable</w:t>
      </w:r>
      <w:r>
        <w:noBreakHyphen/>
        <w:t>sized pen for the vessel at the place where the vessel is berthed — the length of a suitable</w:t>
      </w:r>
      <w:r>
        <w:noBreakHyphen/>
        <w:t>sized pen.</w:t>
      </w:r>
    </w:p>
    <w:p>
      <w:pPr>
        <w:pStyle w:val="Subsection"/>
        <w:keepLines/>
      </w:pPr>
      <w:r>
        <w:tab/>
        <w:t>(4)</w:t>
      </w:r>
      <w:r>
        <w:tab/>
        <w:t>Subject to subregulation (5A), a reference in a Schedule to calculating a due or charge for a particular period using an annual rate is a reference to calculating the due or charge as follows —</w:t>
      </w:r>
    </w:p>
    <w:p>
      <w:pPr>
        <w:pStyle w:val="Indenta"/>
      </w:pPr>
      <w:r>
        <w:tab/>
        <w:t>(a)</w:t>
      </w:r>
      <w:r>
        <w:tab/>
        <w:t>if the period is 12 months or more, at the annual rate;</w:t>
      </w:r>
    </w:p>
    <w:p>
      <w:pPr>
        <w:pStyle w:val="Indenta"/>
      </w:pPr>
      <w:r>
        <w:tab/>
        <w:t>(b)</w:t>
      </w:r>
      <w:r>
        <w:tab/>
        <w:t>if the period is less than 12 months but is at least 3 months, at a monthly rate that is 9.125% of the annual rate;</w:t>
      </w:r>
    </w:p>
    <w:p>
      <w:pPr>
        <w:pStyle w:val="Indenta"/>
      </w:pPr>
      <w:r>
        <w:tab/>
        <w:t>(c)</w:t>
      </w:r>
      <w:r>
        <w:tab/>
        <w:t>if the period is less than 3 months but is at least one month, at a monthly rate that is 15% of the annual rate;</w:t>
      </w:r>
    </w:p>
    <w:p>
      <w:pPr>
        <w:pStyle w:val="Indenta"/>
      </w:pPr>
      <w:r>
        <w:tab/>
        <w:t>(d)</w:t>
      </w:r>
      <w:r>
        <w:tab/>
        <w:t>if the period is less than one month, at a weekly rate that is 4.5% of the annual rate.</w:t>
      </w:r>
    </w:p>
    <w:p>
      <w:pPr>
        <w:pStyle w:val="Subsection"/>
      </w:pPr>
      <w:r>
        <w:tab/>
        <w:t>(5A)</w:t>
      </w:r>
      <w:r>
        <w:tab/>
        <w:t>Subregulation (4) does not apply when Rate 3 is the rate charged in a Schedule.</w:t>
      </w:r>
    </w:p>
    <w:p>
      <w:pPr>
        <w:pStyle w:val="Subsection"/>
      </w:pPr>
      <w:r>
        <w:tab/>
        <w:t>(5)</w:t>
      </w:r>
      <w:r>
        <w:tab/>
        <w:t xml:space="preserve">A reference in subregulation (4) or a Schedule to calculating a due or charge payable for a particular period at a rate per year, month, week, day or hour (a </w:t>
      </w:r>
      <w:r>
        <w:rPr>
          <w:rStyle w:val="CharDefText"/>
        </w:rPr>
        <w:t>unit</w:t>
      </w:r>
      <w:r>
        <w:t>), is a reference to the due or charge payable for each unit, or part of a unit, in the period.</w:t>
      </w:r>
    </w:p>
    <w:p>
      <w:pPr>
        <w:pStyle w:val="Footnotesection"/>
      </w:pPr>
      <w:r>
        <w:tab/>
        <w:t>[Regulation 3 amended: Gazette 17 Mar 1960 p. 777; 7 May 1993 p. 2361; 27 Jul 2001 p. 3814; 14 Jun 2002 p. 2799</w:t>
      </w:r>
      <w:r>
        <w:noBreakHyphen/>
        <w:t>800; 24 Jun 2005 p. 2815-16; 22 Jun 2007 p. 2908; 8 Feb 2008 p. 315; 13 Jul 2012 p. 3173</w:t>
      </w:r>
      <w:r>
        <w:noBreakHyphen/>
        <w:t>4; 25 Jul 2014 p. 2608</w:t>
      </w:r>
      <w:r>
        <w:noBreakHyphen/>
        <w:t>9; 22 Jul 2015 p. 2951</w:t>
      </w:r>
      <w:r>
        <w:noBreakHyphen/>
        <w:t xml:space="preserve">2; 15 Apr 2016 p. 1173; 25 May 2018 p. 1670; 31 May 2019 p. 1755.] </w:t>
      </w:r>
    </w:p>
    <w:p>
      <w:pPr>
        <w:pStyle w:val="Heading2"/>
      </w:pPr>
      <w:bookmarkStart w:id="12" w:name="_Toc11752905"/>
      <w:bookmarkStart w:id="13" w:name="_Toc11766521"/>
      <w:bookmarkStart w:id="14" w:name="_Toc11768462"/>
      <w:bookmarkStart w:id="15" w:name="_Toc11828253"/>
      <w:bookmarkStart w:id="16" w:name="_Toc12028019"/>
      <w:bookmarkStart w:id="17" w:name="_Toc12881217"/>
      <w:r>
        <w:rPr>
          <w:rStyle w:val="CharPartNo"/>
        </w:rPr>
        <w:t>Part 1</w:t>
      </w:r>
      <w:r>
        <w:t> — </w:t>
      </w:r>
      <w:r>
        <w:rPr>
          <w:rStyle w:val="CharPartText"/>
        </w:rPr>
        <w:t>Regulations applying to jetties controlled by the Department</w:t>
      </w:r>
      <w:bookmarkEnd w:id="12"/>
      <w:bookmarkEnd w:id="13"/>
      <w:bookmarkEnd w:id="14"/>
      <w:bookmarkEnd w:id="15"/>
      <w:bookmarkEnd w:id="16"/>
      <w:bookmarkEnd w:id="17"/>
      <w:r>
        <w:rPr>
          <w:rStyle w:val="CharPartText"/>
        </w:rPr>
        <w:t xml:space="preserve"> </w:t>
      </w:r>
    </w:p>
    <w:p>
      <w:pPr>
        <w:pStyle w:val="Footnoteheading"/>
      </w:pPr>
      <w:r>
        <w:tab/>
        <w:t xml:space="preserve">[Heading inserted: Gazette 19 May 1989 p. 1494.] </w:t>
      </w:r>
    </w:p>
    <w:p>
      <w:pPr>
        <w:pStyle w:val="Heading3"/>
        <w:rPr>
          <w:snapToGrid w:val="0"/>
        </w:rPr>
      </w:pPr>
      <w:bookmarkStart w:id="18" w:name="_Toc11752906"/>
      <w:bookmarkStart w:id="19" w:name="_Toc11766522"/>
      <w:bookmarkStart w:id="20" w:name="_Toc11768463"/>
      <w:bookmarkStart w:id="21" w:name="_Toc11828254"/>
      <w:bookmarkStart w:id="22" w:name="_Toc12028020"/>
      <w:bookmarkStart w:id="23" w:name="_Toc12881218"/>
      <w:r>
        <w:rPr>
          <w:rStyle w:val="CharDivNo"/>
        </w:rPr>
        <w:t>Division 1</w:t>
      </w:r>
      <w:r>
        <w:rPr>
          <w:snapToGrid w:val="0"/>
        </w:rPr>
        <w:t> — </w:t>
      </w:r>
      <w:r>
        <w:rPr>
          <w:rStyle w:val="CharDivText"/>
        </w:rPr>
        <w:t>Application of this Part</w:t>
      </w:r>
      <w:bookmarkEnd w:id="18"/>
      <w:bookmarkEnd w:id="19"/>
      <w:bookmarkEnd w:id="20"/>
      <w:bookmarkEnd w:id="21"/>
      <w:bookmarkEnd w:id="22"/>
      <w:bookmarkEnd w:id="23"/>
      <w:r>
        <w:rPr>
          <w:rStyle w:val="CharDivText"/>
        </w:rPr>
        <w:t xml:space="preserve"> </w:t>
      </w:r>
    </w:p>
    <w:p>
      <w:pPr>
        <w:pStyle w:val="Footnoteheading"/>
      </w:pPr>
      <w:r>
        <w:tab/>
        <w:t xml:space="preserve">[Heading inserted: Gazette 19 May 1989 p. 1494.] </w:t>
      </w:r>
    </w:p>
    <w:p>
      <w:pPr>
        <w:pStyle w:val="Heading5"/>
        <w:rPr>
          <w:snapToGrid w:val="0"/>
        </w:rPr>
      </w:pPr>
      <w:bookmarkStart w:id="24" w:name="_Toc12881219"/>
      <w:r>
        <w:rPr>
          <w:rStyle w:val="CharSectno"/>
        </w:rPr>
        <w:t>3A</w:t>
      </w:r>
      <w:r>
        <w:rPr>
          <w:snapToGrid w:val="0"/>
        </w:rPr>
        <w:t>.</w:t>
      </w:r>
      <w:r>
        <w:rPr>
          <w:snapToGrid w:val="0"/>
        </w:rPr>
        <w:tab/>
        <w:t>Application</w:t>
      </w:r>
      <w:bookmarkEnd w:id="24"/>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Gazette 19 May 1989 p. 1494.] </w:t>
      </w:r>
    </w:p>
    <w:p>
      <w:pPr>
        <w:pStyle w:val="Heading3"/>
        <w:rPr>
          <w:snapToGrid w:val="0"/>
        </w:rPr>
      </w:pPr>
      <w:bookmarkStart w:id="25" w:name="_Toc11752908"/>
      <w:bookmarkStart w:id="26" w:name="_Toc11766524"/>
      <w:bookmarkStart w:id="27" w:name="_Toc11768465"/>
      <w:bookmarkStart w:id="28" w:name="_Toc11828256"/>
      <w:bookmarkStart w:id="29" w:name="_Toc12028022"/>
      <w:bookmarkStart w:id="30" w:name="_Toc12881220"/>
      <w:r>
        <w:rPr>
          <w:rStyle w:val="CharDivNo"/>
        </w:rPr>
        <w:t>Division 2</w:t>
      </w:r>
      <w:r>
        <w:rPr>
          <w:snapToGrid w:val="0"/>
        </w:rPr>
        <w:t> — </w:t>
      </w:r>
      <w:r>
        <w:rPr>
          <w:rStyle w:val="CharDivText"/>
        </w:rPr>
        <w:t>Arrival and movement of vessels</w:t>
      </w:r>
      <w:bookmarkEnd w:id="25"/>
      <w:bookmarkEnd w:id="26"/>
      <w:bookmarkEnd w:id="27"/>
      <w:bookmarkEnd w:id="28"/>
      <w:bookmarkEnd w:id="29"/>
      <w:bookmarkEnd w:id="30"/>
      <w:r>
        <w:rPr>
          <w:rStyle w:val="CharDivText"/>
        </w:rPr>
        <w:t xml:space="preserve"> </w:t>
      </w:r>
    </w:p>
    <w:p>
      <w:pPr>
        <w:pStyle w:val="Footnoteheading"/>
      </w:pPr>
      <w:r>
        <w:tab/>
        <w:t xml:space="preserve">[Heading inserted: Gazette 19 May 1989 p. 1494.] </w:t>
      </w:r>
    </w:p>
    <w:p>
      <w:pPr>
        <w:pStyle w:val="Heading5"/>
        <w:rPr>
          <w:snapToGrid w:val="0"/>
        </w:rPr>
      </w:pPr>
      <w:bookmarkStart w:id="31" w:name="_Toc12881221"/>
      <w:r>
        <w:rPr>
          <w:rStyle w:val="CharSectno"/>
        </w:rPr>
        <w:t>4</w:t>
      </w:r>
      <w:r>
        <w:rPr>
          <w:snapToGrid w:val="0"/>
        </w:rPr>
        <w:t>.</w:t>
      </w:r>
      <w:r>
        <w:rPr>
          <w:snapToGrid w:val="0"/>
        </w:rPr>
        <w:tab/>
        <w:t>Master or agent to report arrival</w:t>
      </w:r>
      <w:bookmarkEnd w:id="31"/>
      <w:r>
        <w:rPr>
          <w:snapToGrid w:val="0"/>
        </w:rPr>
        <w:t xml:space="preserve"> </w:t>
      </w:r>
    </w:p>
    <w:p>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pPr>
        <w:pStyle w:val="Footnotesection"/>
      </w:pPr>
      <w:r>
        <w:tab/>
        <w:t xml:space="preserve">[Regulation 4 amended: Gazette 19 May 1989 p. 1494; 25 Jul 2014 p. 2610.] </w:t>
      </w:r>
    </w:p>
    <w:p>
      <w:pPr>
        <w:pStyle w:val="Heading5"/>
        <w:rPr>
          <w:snapToGrid w:val="0"/>
        </w:rPr>
      </w:pPr>
      <w:bookmarkStart w:id="32" w:name="_Toc12881222"/>
      <w:r>
        <w:rPr>
          <w:rStyle w:val="CharSectno"/>
        </w:rPr>
        <w:t>5</w:t>
      </w:r>
      <w:r>
        <w:rPr>
          <w:snapToGrid w:val="0"/>
        </w:rPr>
        <w:t>.</w:t>
      </w:r>
      <w:r>
        <w:rPr>
          <w:snapToGrid w:val="0"/>
        </w:rPr>
        <w:tab/>
        <w:t>Vessels to change berths</w:t>
      </w:r>
      <w:bookmarkEnd w:id="32"/>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Gazette 19 May 1989 p. 1494.] </w:t>
      </w:r>
    </w:p>
    <w:p>
      <w:pPr>
        <w:pStyle w:val="Heading3"/>
        <w:keepLines/>
        <w:rPr>
          <w:snapToGrid w:val="0"/>
        </w:rPr>
      </w:pPr>
      <w:bookmarkStart w:id="33" w:name="_Toc11752911"/>
      <w:bookmarkStart w:id="34" w:name="_Toc11766527"/>
      <w:bookmarkStart w:id="35" w:name="_Toc11768468"/>
      <w:bookmarkStart w:id="36" w:name="_Toc11828259"/>
      <w:bookmarkStart w:id="37" w:name="_Toc12028025"/>
      <w:bookmarkStart w:id="38" w:name="_Toc12881223"/>
      <w:r>
        <w:rPr>
          <w:rStyle w:val="CharDivNo"/>
        </w:rPr>
        <w:t>Division 3</w:t>
      </w:r>
      <w:r>
        <w:rPr>
          <w:snapToGrid w:val="0"/>
        </w:rPr>
        <w:t> — </w:t>
      </w:r>
      <w:r>
        <w:rPr>
          <w:rStyle w:val="CharDivText"/>
        </w:rPr>
        <w:t>Berthing dues</w:t>
      </w:r>
      <w:bookmarkEnd w:id="33"/>
      <w:bookmarkEnd w:id="34"/>
      <w:bookmarkEnd w:id="35"/>
      <w:bookmarkEnd w:id="36"/>
      <w:bookmarkEnd w:id="37"/>
      <w:bookmarkEnd w:id="38"/>
      <w:r>
        <w:rPr>
          <w:rStyle w:val="CharDivText"/>
        </w:rPr>
        <w:t xml:space="preserve"> </w:t>
      </w:r>
    </w:p>
    <w:p>
      <w:pPr>
        <w:pStyle w:val="Footnoteheading"/>
        <w:keepNext/>
        <w:keepLines/>
      </w:pPr>
      <w:r>
        <w:tab/>
        <w:t xml:space="preserve">[Heading inserted: Gazette 19 May 1989 p. 1494.] </w:t>
      </w:r>
    </w:p>
    <w:p>
      <w:pPr>
        <w:pStyle w:val="Heading5"/>
      </w:pPr>
      <w:bookmarkStart w:id="39" w:name="_Toc12881224"/>
      <w:r>
        <w:rPr>
          <w:rStyle w:val="CharSectno"/>
        </w:rPr>
        <w:t>6</w:t>
      </w:r>
      <w:r>
        <w:t>.</w:t>
      </w:r>
      <w:r>
        <w:tab/>
        <w:t>Berthing dues</w:t>
      </w:r>
      <w:bookmarkEnd w:id="39"/>
    </w:p>
    <w:p>
      <w:pPr>
        <w:pStyle w:val="Subsection"/>
      </w:pPr>
      <w:r>
        <w:tab/>
        <w:t>(1)</w:t>
      </w:r>
      <w:r>
        <w:tab/>
        <w:t>Except as provided in subregulation (2), the berthing dues payable for the use of a pen, alongside berth, pile mooring or other jetty by a vessel at a place specified in Schedule 1 are the berthing dues set out in that Schedule in respect of that place.</w:t>
      </w:r>
    </w:p>
    <w:p>
      <w:pPr>
        <w:pStyle w:val="Subsection"/>
      </w:pPr>
      <w:r>
        <w:tab/>
        <w:t>(2)</w:t>
      </w:r>
      <w:r>
        <w:tab/>
        <w:t xml:space="preserve">The berthing dues payable for the use of a pen by a catamaran at a place specified in Schedule 1 are as follows — </w:t>
      </w:r>
    </w:p>
    <w:p>
      <w:pPr>
        <w:pStyle w:val="Indenta"/>
      </w:pPr>
      <w:r>
        <w:tab/>
        <w:t>(a)</w:t>
      </w:r>
      <w:r>
        <w:tab/>
        <w:t xml:space="preserve">for casual daily use — </w:t>
      </w:r>
    </w:p>
    <w:p>
      <w:pPr>
        <w:pStyle w:val="Indenti"/>
      </w:pPr>
      <w:r>
        <w:tab/>
        <w:t>(i)</w:t>
      </w:r>
      <w:r>
        <w:tab/>
        <w:t>by a commercial vessel — an amount calculated using standard Rate 1 set out in Schedule 1 clause 1;</w:t>
      </w:r>
    </w:p>
    <w:p>
      <w:pPr>
        <w:pStyle w:val="Indenti"/>
      </w:pPr>
      <w:r>
        <w:tab/>
        <w:t>(ii)</w:t>
      </w:r>
      <w:r>
        <w:tab/>
        <w:t>by a recreational vessel — an amount calculated using standard Rate 2 set out in Schedule 1 clause 1;</w:t>
      </w:r>
    </w:p>
    <w:p>
      <w:pPr>
        <w:pStyle w:val="Indenta"/>
      </w:pPr>
      <w:r>
        <w:tab/>
        <w:t>(b)</w:t>
      </w:r>
      <w:r>
        <w:tab/>
        <w:t>for use, other than casual daily use, an amount calculated in accordance with the following formula —</w:t>
      </w:r>
    </w:p>
    <w:p>
      <w:pPr>
        <w:pStyle w:val="Indenta"/>
      </w:pPr>
      <m:oMathPara>
        <m:oMathParaPr>
          <m:jc m:val="left"/>
        </m:oMathParaPr>
        <m:oMath>
          <m:r>
            <m:rPr>
              <m:sty m:val="p"/>
            </m:rPr>
            <w:rPr>
              <w:rFonts w:ascii="Cambria Math" w:hAnsi="Cambria Math"/>
            </w:rPr>
            <m:t>P×1.5</m:t>
          </m:r>
        </m:oMath>
      </m:oMathPara>
    </w:p>
    <w:p>
      <w:pPr>
        <w:pStyle w:val="Indenta"/>
      </w:pPr>
      <w:r>
        <w:tab/>
      </w:r>
      <w:r>
        <w:tab/>
        <w:t xml:space="preserve">where — </w:t>
      </w:r>
    </w:p>
    <w:p>
      <w:pPr>
        <w:pStyle w:val="Indenta"/>
        <w:ind w:left="1985" w:hanging="2127"/>
      </w:pPr>
      <w:r>
        <w:tab/>
      </w:r>
      <w:r>
        <w:tab/>
        <w:t>P</w:t>
      </w:r>
      <w:r>
        <w:tab/>
        <w:t>is the berthing due set out in Schedule 1 that applies to the use, other than casual daily use, at that place of a pen (of the type used by the catamaran) by a vessel of the class to which the catamaran belongs.</w:t>
      </w:r>
    </w:p>
    <w:p>
      <w:pPr>
        <w:pStyle w:val="Ednotesubsection"/>
        <w:spacing w:before="120"/>
      </w:pPr>
      <w:r>
        <w:tab/>
        <w:t>[(3)</w:t>
      </w:r>
      <w:r>
        <w:tab/>
        <w:t>deleted]</w:t>
      </w:r>
    </w:p>
    <w:p>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pPr>
        <w:pStyle w:val="Footnotesection"/>
      </w:pPr>
      <w:r>
        <w:tab/>
        <w:t>[Regulation 6 inserted: Gazette 25 Jul 2014 p. 2610-11; amended: Gazette 22 Jul 2015 p. 2952; 25 May 2018 p. 1670; 31 May 2019 p. 1756.]</w:t>
      </w:r>
    </w:p>
    <w:p>
      <w:pPr>
        <w:pStyle w:val="Heading5"/>
        <w:spacing w:before="240"/>
      </w:pPr>
      <w:bookmarkStart w:id="40" w:name="_Toc12881225"/>
      <w:r>
        <w:rPr>
          <w:rStyle w:val="CharSectno"/>
        </w:rPr>
        <w:t>6A</w:t>
      </w:r>
      <w:r>
        <w:t>.</w:t>
      </w:r>
      <w:r>
        <w:tab/>
        <w:t>Requirement to pay berthing dues</w:t>
      </w:r>
      <w:bookmarkEnd w:id="40"/>
    </w:p>
    <w:p>
      <w:pPr>
        <w:pStyle w:val="Subsection"/>
      </w:pPr>
      <w:r>
        <w:tab/>
        <w:t>(1)</w:t>
      </w:r>
      <w:r>
        <w:tab/>
        <w:t>If an alongside berth at a service jetty is used by a vessel and the berthing dues, as provided for in a Schedule,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alongside berth at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Gazette 7 Dec 2007 p. 5984; amended: Gazette 25 Jul 2014 p. 2611; 22 Jul 2015 p. 2952.]</w:t>
      </w:r>
    </w:p>
    <w:p>
      <w:pPr>
        <w:pStyle w:val="Heading5"/>
        <w:rPr>
          <w:snapToGrid w:val="0"/>
        </w:rPr>
      </w:pPr>
      <w:bookmarkStart w:id="41" w:name="_Toc12881226"/>
      <w:r>
        <w:rPr>
          <w:rStyle w:val="CharSectno"/>
        </w:rPr>
        <w:t>7</w:t>
      </w:r>
      <w:r>
        <w:rPr>
          <w:snapToGrid w:val="0"/>
        </w:rPr>
        <w:t>.</w:t>
      </w:r>
      <w:r>
        <w:rPr>
          <w:snapToGrid w:val="0"/>
        </w:rPr>
        <w:tab/>
        <w:t>Computation of berthing dues</w:t>
      </w:r>
      <w:bookmarkEnd w:id="41"/>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Gazette 15 Jun 1973 p. 2237; amended: Gazette 19 May 1989 p. 1494.] </w:t>
      </w:r>
    </w:p>
    <w:p>
      <w:pPr>
        <w:pStyle w:val="Heading3"/>
      </w:pPr>
      <w:bookmarkStart w:id="42" w:name="_Toc11766531"/>
      <w:bookmarkStart w:id="43" w:name="_Toc11768472"/>
      <w:bookmarkStart w:id="44" w:name="_Toc11828263"/>
      <w:bookmarkStart w:id="45" w:name="_Toc12028029"/>
      <w:bookmarkStart w:id="46" w:name="_Toc12881227"/>
      <w:r>
        <w:rPr>
          <w:rStyle w:val="CharDivNo"/>
        </w:rPr>
        <w:t>Division 3A</w:t>
      </w:r>
      <w:r>
        <w:t> — </w:t>
      </w:r>
      <w:r>
        <w:rPr>
          <w:rStyle w:val="CharDivText"/>
        </w:rPr>
        <w:t>Manifests</w:t>
      </w:r>
      <w:bookmarkEnd w:id="42"/>
      <w:bookmarkEnd w:id="43"/>
      <w:bookmarkEnd w:id="44"/>
      <w:bookmarkEnd w:id="45"/>
      <w:bookmarkEnd w:id="46"/>
    </w:p>
    <w:p>
      <w:pPr>
        <w:pStyle w:val="Footnoteheading"/>
        <w:keepNext/>
        <w:keepLines/>
        <w:rPr>
          <w:snapToGrid w:val="0"/>
        </w:rPr>
      </w:pPr>
      <w:r>
        <w:rPr>
          <w:snapToGrid w:val="0"/>
        </w:rPr>
        <w:tab/>
        <w:t xml:space="preserve">[Heading inserted: Gazette </w:t>
      </w:r>
      <w:r>
        <w:t>31 May 2019 p. 1757</w:t>
      </w:r>
      <w:r>
        <w:rPr>
          <w:snapToGrid w:val="0"/>
        </w:rPr>
        <w:t>.]</w:t>
      </w:r>
    </w:p>
    <w:p>
      <w:pPr>
        <w:pStyle w:val="Heading5"/>
        <w:spacing w:before="240"/>
        <w:rPr>
          <w:snapToGrid w:val="0"/>
        </w:rPr>
      </w:pPr>
      <w:bookmarkStart w:id="47" w:name="_Toc12881228"/>
      <w:r>
        <w:rPr>
          <w:rStyle w:val="CharSectno"/>
        </w:rPr>
        <w:t>8</w:t>
      </w:r>
      <w:r>
        <w:rPr>
          <w:snapToGrid w:val="0"/>
        </w:rPr>
        <w:t>.</w:t>
      </w:r>
      <w:r>
        <w:rPr>
          <w:snapToGrid w:val="0"/>
        </w:rPr>
        <w:tab/>
        <w:t>Inwards manifests</w:t>
      </w:r>
      <w:bookmarkEnd w:id="47"/>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Gazette 19 May 1989 p. 1494.] </w:t>
      </w:r>
    </w:p>
    <w:p>
      <w:pPr>
        <w:pStyle w:val="Heading5"/>
        <w:spacing w:before="240"/>
        <w:rPr>
          <w:snapToGrid w:val="0"/>
        </w:rPr>
      </w:pPr>
      <w:bookmarkStart w:id="48" w:name="_Toc12881229"/>
      <w:r>
        <w:rPr>
          <w:rStyle w:val="CharSectno"/>
        </w:rPr>
        <w:t>9</w:t>
      </w:r>
      <w:r>
        <w:rPr>
          <w:snapToGrid w:val="0"/>
        </w:rPr>
        <w:t>.</w:t>
      </w:r>
      <w:r>
        <w:rPr>
          <w:snapToGrid w:val="0"/>
        </w:rPr>
        <w:tab/>
        <w:t>Outwards manifests</w:t>
      </w:r>
      <w:bookmarkEnd w:id="48"/>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Gazette 19 May 1989 p. 1494.] </w:t>
      </w:r>
    </w:p>
    <w:p>
      <w:pPr>
        <w:pStyle w:val="Heading3"/>
        <w:keepLines/>
        <w:rPr>
          <w:snapToGrid w:val="0"/>
        </w:rPr>
      </w:pPr>
      <w:bookmarkStart w:id="49" w:name="_Toc11752917"/>
      <w:bookmarkStart w:id="50" w:name="_Toc11766534"/>
      <w:bookmarkStart w:id="51" w:name="_Toc11768475"/>
      <w:bookmarkStart w:id="52" w:name="_Toc11828266"/>
      <w:bookmarkStart w:id="53" w:name="_Toc12028032"/>
      <w:bookmarkStart w:id="54" w:name="_Toc12881230"/>
      <w:r>
        <w:rPr>
          <w:rStyle w:val="CharDivNo"/>
        </w:rPr>
        <w:t>Division 4</w:t>
      </w:r>
      <w:r>
        <w:rPr>
          <w:snapToGrid w:val="0"/>
        </w:rPr>
        <w:t> — </w:t>
      </w:r>
      <w:r>
        <w:rPr>
          <w:rStyle w:val="CharDivText"/>
        </w:rPr>
        <w:t>Wharfage dues, handling and haulage charges</w:t>
      </w:r>
      <w:bookmarkEnd w:id="49"/>
      <w:bookmarkEnd w:id="50"/>
      <w:bookmarkEnd w:id="51"/>
      <w:bookmarkEnd w:id="52"/>
      <w:bookmarkEnd w:id="53"/>
      <w:bookmarkEnd w:id="54"/>
      <w:r>
        <w:rPr>
          <w:rStyle w:val="CharDivText"/>
        </w:rPr>
        <w:t xml:space="preserve"> </w:t>
      </w:r>
    </w:p>
    <w:p>
      <w:pPr>
        <w:pStyle w:val="Footnoteheading"/>
        <w:keepNext/>
        <w:keepLines/>
        <w:rPr>
          <w:snapToGrid w:val="0"/>
        </w:rPr>
      </w:pPr>
      <w:r>
        <w:rPr>
          <w:snapToGrid w:val="0"/>
        </w:rPr>
        <w:tab/>
        <w:t xml:space="preserve">[Heading inserted: Gazette 19 May 1989 p. 1494.] </w:t>
      </w:r>
    </w:p>
    <w:p>
      <w:pPr>
        <w:pStyle w:val="Ednotesection"/>
      </w:pPr>
      <w:r>
        <w:t>[</w:t>
      </w:r>
      <w:r>
        <w:rPr>
          <w:b/>
        </w:rPr>
        <w:t>10.</w:t>
      </w:r>
      <w:r>
        <w:tab/>
        <w:t>Disallowed: Gazette 6 Sep 1940 p. 1622.]</w:t>
      </w:r>
    </w:p>
    <w:p>
      <w:pPr>
        <w:pStyle w:val="Heading5"/>
        <w:spacing w:before="180"/>
        <w:rPr>
          <w:snapToGrid w:val="0"/>
        </w:rPr>
      </w:pPr>
      <w:bookmarkStart w:id="55" w:name="_Toc12881231"/>
      <w:r>
        <w:rPr>
          <w:rStyle w:val="CharSectno"/>
        </w:rPr>
        <w:t>10A</w:t>
      </w:r>
      <w:r>
        <w:rPr>
          <w:snapToGrid w:val="0"/>
        </w:rPr>
        <w:t>.</w:t>
      </w:r>
      <w:r>
        <w:rPr>
          <w:snapToGrid w:val="0"/>
        </w:rPr>
        <w:tab/>
        <w:t>Payment of dues and charges</w:t>
      </w:r>
      <w:bookmarkEnd w:id="55"/>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a Schedule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Gazette 12 Jul 1957 p. 2269; amended: Gazette 19 May 1989 p. 1495; 24 Jun 2005 p. 2816; 22 Jul 2015 p. 2953.] </w:t>
      </w:r>
    </w:p>
    <w:p>
      <w:pPr>
        <w:pStyle w:val="Ednotesection"/>
        <w:spacing w:before="180"/>
      </w:pPr>
      <w:r>
        <w:t>[</w:t>
      </w:r>
      <w:r>
        <w:rPr>
          <w:b/>
        </w:rPr>
        <w:t>10B.</w:t>
      </w:r>
      <w:r>
        <w:tab/>
        <w:t xml:space="preserve">Deleted: Gazette 30 Jun 1995 p. 2699.] </w:t>
      </w:r>
    </w:p>
    <w:p>
      <w:pPr>
        <w:pStyle w:val="Ednotesection"/>
        <w:spacing w:before="180"/>
      </w:pPr>
      <w:r>
        <w:t>[</w:t>
      </w:r>
      <w:r>
        <w:rPr>
          <w:b/>
        </w:rPr>
        <w:t>10C.</w:t>
      </w:r>
      <w:r>
        <w:tab/>
        <w:t xml:space="preserve">Deleted: Gazette 24 Nov 1972 p. 4487.] </w:t>
      </w:r>
    </w:p>
    <w:p>
      <w:pPr>
        <w:pStyle w:val="Heading5"/>
        <w:spacing w:before="180"/>
        <w:rPr>
          <w:snapToGrid w:val="0"/>
        </w:rPr>
      </w:pPr>
      <w:bookmarkStart w:id="56" w:name="_Toc12881232"/>
      <w:r>
        <w:rPr>
          <w:rStyle w:val="CharSectno"/>
        </w:rPr>
        <w:t>11</w:t>
      </w:r>
      <w:r>
        <w:rPr>
          <w:snapToGrid w:val="0"/>
        </w:rPr>
        <w:t>.</w:t>
      </w:r>
      <w:r>
        <w:rPr>
          <w:snapToGrid w:val="0"/>
        </w:rPr>
        <w:tab/>
        <w:t>Charges for transhipment cargo</w:t>
      </w:r>
      <w:bookmarkEnd w:id="56"/>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a Schedule;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Gazette 12 Jul 1957 p. 2270; 24 Nov 1972 p. 4487; 15 Jun 1973 p. 2237; 19 May 1989 p. 1495; 29 Jun 1993 p. 3191; 14 Jun 1994 p. 2476; 30 Jun 1995 p. 2699; 24 Jun 2005 p. 2816; 22 Jul 2015 p. 2953.] </w:t>
      </w:r>
    </w:p>
    <w:p>
      <w:pPr>
        <w:pStyle w:val="Ednotesection"/>
      </w:pPr>
      <w:r>
        <w:t>[</w:t>
      </w:r>
      <w:r>
        <w:rPr>
          <w:b/>
        </w:rPr>
        <w:t>11A.</w:t>
      </w:r>
      <w:r>
        <w:rPr>
          <w:b/>
        </w:rPr>
        <w:tab/>
      </w:r>
      <w:r>
        <w:t xml:space="preserve">Deleted: Gazette 24 Nov 1972 p. 4487.] </w:t>
      </w:r>
    </w:p>
    <w:p>
      <w:pPr>
        <w:pStyle w:val="Heading5"/>
        <w:rPr>
          <w:snapToGrid w:val="0"/>
        </w:rPr>
      </w:pPr>
      <w:bookmarkStart w:id="57" w:name="_Toc12881233"/>
      <w:r>
        <w:rPr>
          <w:rStyle w:val="CharSectno"/>
        </w:rPr>
        <w:t>11B</w:t>
      </w:r>
      <w:r>
        <w:rPr>
          <w:snapToGrid w:val="0"/>
        </w:rPr>
        <w:t>.</w:t>
      </w:r>
      <w:r>
        <w:rPr>
          <w:snapToGrid w:val="0"/>
        </w:rPr>
        <w:tab/>
        <w:t>Charges on vessels’ stores, including fuel oil</w:t>
      </w:r>
      <w:bookmarkEnd w:id="57"/>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2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Gazette 17 Mar 1960 p. 778; renumbered as regulation 11B in the reprint published: Gazette 10 Dec 1974 p. 5291</w:t>
      </w:r>
      <w:r>
        <w:noBreakHyphen/>
        <w:t xml:space="preserve">318; amended: Gazette 24 Nov 1972 p. 4487; 15 Jun 1973 p. 2237; 19 May 1989 p. 1495; 30 Jun 1992 p. 2892; 29 Jun 1993 p. 3192; 30 Jun 1995 p. 2699; 20 Jun 2000 p. 3044; 24 Jun 2005 p. 2816-17; 22 Jun 2007 p. 2908; 25 May 2018 p. 1670.] </w:t>
      </w:r>
    </w:p>
    <w:p>
      <w:pPr>
        <w:pStyle w:val="Heading5"/>
        <w:rPr>
          <w:snapToGrid w:val="0"/>
        </w:rPr>
      </w:pPr>
      <w:bookmarkStart w:id="58" w:name="_Toc12881234"/>
      <w:r>
        <w:rPr>
          <w:rStyle w:val="CharSectno"/>
        </w:rPr>
        <w:t>12</w:t>
      </w:r>
      <w:r>
        <w:rPr>
          <w:snapToGrid w:val="0"/>
        </w:rPr>
        <w:t>.</w:t>
      </w:r>
      <w:r>
        <w:rPr>
          <w:snapToGrid w:val="0"/>
        </w:rPr>
        <w:tab/>
        <w:t>Charges to be paid before delivery of cargo</w:t>
      </w:r>
      <w:bookmarkEnd w:id="58"/>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Gazette 19 May 1989 p. 1495.] </w:t>
      </w:r>
    </w:p>
    <w:p>
      <w:pPr>
        <w:pStyle w:val="Heading5"/>
        <w:rPr>
          <w:snapToGrid w:val="0"/>
        </w:rPr>
      </w:pPr>
      <w:bookmarkStart w:id="59" w:name="_Toc12881235"/>
      <w:r>
        <w:rPr>
          <w:rStyle w:val="CharSectno"/>
        </w:rPr>
        <w:t>13</w:t>
      </w:r>
      <w:r>
        <w:rPr>
          <w:snapToGrid w:val="0"/>
        </w:rPr>
        <w:t>.</w:t>
      </w:r>
      <w:r>
        <w:rPr>
          <w:snapToGrid w:val="0"/>
        </w:rPr>
        <w:tab/>
        <w:t>Extra charges</w:t>
      </w:r>
      <w:bookmarkEnd w:id="59"/>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Gazette 15 Jun 1973 p. 2237; 19 May 1989 p. 1495.] </w:t>
      </w:r>
    </w:p>
    <w:p>
      <w:pPr>
        <w:pStyle w:val="Ednotesection"/>
      </w:pPr>
      <w:r>
        <w:t>[</w:t>
      </w:r>
      <w:r>
        <w:rPr>
          <w:b/>
        </w:rPr>
        <w:t>13A.</w:t>
      </w:r>
      <w:r>
        <w:tab/>
        <w:t xml:space="preserve">Deleted: Gazette 30 Jun 1995 p. 2699.] </w:t>
      </w:r>
    </w:p>
    <w:p>
      <w:pPr>
        <w:pStyle w:val="Heading3"/>
        <w:rPr>
          <w:snapToGrid w:val="0"/>
        </w:rPr>
      </w:pPr>
      <w:bookmarkStart w:id="60" w:name="_Toc11752923"/>
      <w:bookmarkStart w:id="61" w:name="_Toc11766540"/>
      <w:bookmarkStart w:id="62" w:name="_Toc11768481"/>
      <w:bookmarkStart w:id="63" w:name="_Toc11828272"/>
      <w:bookmarkStart w:id="64" w:name="_Toc12028038"/>
      <w:bookmarkStart w:id="65" w:name="_Toc12881236"/>
      <w:r>
        <w:rPr>
          <w:rStyle w:val="CharDivNo"/>
        </w:rPr>
        <w:t>Division 5</w:t>
      </w:r>
      <w:r>
        <w:rPr>
          <w:snapToGrid w:val="0"/>
        </w:rPr>
        <w:t> — </w:t>
      </w:r>
      <w:r>
        <w:rPr>
          <w:rStyle w:val="CharDivText"/>
        </w:rPr>
        <w:t>Handling of cargo</w:t>
      </w:r>
      <w:bookmarkEnd w:id="60"/>
      <w:bookmarkEnd w:id="61"/>
      <w:bookmarkEnd w:id="62"/>
      <w:bookmarkEnd w:id="63"/>
      <w:bookmarkEnd w:id="64"/>
      <w:bookmarkEnd w:id="65"/>
      <w:r>
        <w:rPr>
          <w:rStyle w:val="CharDivText"/>
        </w:rPr>
        <w:t xml:space="preserve"> </w:t>
      </w:r>
    </w:p>
    <w:p>
      <w:pPr>
        <w:pStyle w:val="Footnoteheading"/>
        <w:keepNext/>
      </w:pPr>
      <w:r>
        <w:tab/>
        <w:t xml:space="preserve">[Heading inserted: Gazette 19 May 1989 p. 1494.] </w:t>
      </w:r>
    </w:p>
    <w:p>
      <w:pPr>
        <w:pStyle w:val="Heading5"/>
        <w:keepLines w:val="0"/>
        <w:rPr>
          <w:snapToGrid w:val="0"/>
        </w:rPr>
      </w:pPr>
      <w:bookmarkStart w:id="66" w:name="_Toc12881237"/>
      <w:r>
        <w:rPr>
          <w:rStyle w:val="CharSectno"/>
        </w:rPr>
        <w:t>14</w:t>
      </w:r>
      <w:r>
        <w:rPr>
          <w:snapToGrid w:val="0"/>
        </w:rPr>
        <w:t>.</w:t>
      </w:r>
      <w:r>
        <w:rPr>
          <w:snapToGrid w:val="0"/>
        </w:rPr>
        <w:tab/>
        <w:t>Cargo not to be placed on jetties or premises without authority</w:t>
      </w:r>
      <w:bookmarkEnd w:id="66"/>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pPr>
      <w:r>
        <w:tab/>
        <w:t xml:space="preserve">[Regulation 14 amended: Gazette 3 Nov 1950 p. 2461; 19 May 1989 p. 1495.] </w:t>
      </w:r>
    </w:p>
    <w:p>
      <w:pPr>
        <w:pStyle w:val="Heading5"/>
        <w:spacing w:before="180"/>
        <w:rPr>
          <w:snapToGrid w:val="0"/>
        </w:rPr>
      </w:pPr>
      <w:bookmarkStart w:id="67" w:name="_Toc12881238"/>
      <w:r>
        <w:rPr>
          <w:rStyle w:val="CharSectno"/>
        </w:rPr>
        <w:t>15</w:t>
      </w:r>
      <w:r>
        <w:rPr>
          <w:snapToGrid w:val="0"/>
        </w:rPr>
        <w:t>.</w:t>
      </w:r>
      <w:r>
        <w:rPr>
          <w:snapToGrid w:val="0"/>
        </w:rPr>
        <w:tab/>
        <w:t>Discharging of cargo may be stopped</w:t>
      </w:r>
      <w:bookmarkEnd w:id="67"/>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pPr>
      <w:r>
        <w:tab/>
        <w:t xml:space="preserve">[Regulation 15 amended: Gazette 19 May 1989 p. 1495.] </w:t>
      </w:r>
    </w:p>
    <w:p>
      <w:pPr>
        <w:pStyle w:val="Heading5"/>
        <w:keepNext w:val="0"/>
        <w:keepLines w:val="0"/>
        <w:spacing w:before="180"/>
        <w:rPr>
          <w:snapToGrid w:val="0"/>
        </w:rPr>
      </w:pPr>
      <w:bookmarkStart w:id="68" w:name="_Toc12881239"/>
      <w:r>
        <w:rPr>
          <w:rStyle w:val="CharSectno"/>
        </w:rPr>
        <w:t>16</w:t>
      </w:r>
      <w:r>
        <w:rPr>
          <w:snapToGrid w:val="0"/>
        </w:rPr>
        <w:t>.</w:t>
      </w:r>
      <w:r>
        <w:rPr>
          <w:snapToGrid w:val="0"/>
        </w:rPr>
        <w:tab/>
        <w:t>Goods not to be shifted without authority</w:t>
      </w:r>
      <w:bookmarkEnd w:id="68"/>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pPr>
      <w:r>
        <w:tab/>
        <w:t xml:space="preserve">[Regulation 16 amended: Gazette 19 May 1989 p. 1495.] </w:t>
      </w:r>
    </w:p>
    <w:p>
      <w:pPr>
        <w:pStyle w:val="Heading5"/>
        <w:keepLines w:val="0"/>
        <w:spacing w:before="180"/>
        <w:rPr>
          <w:snapToGrid w:val="0"/>
        </w:rPr>
      </w:pPr>
      <w:bookmarkStart w:id="69" w:name="_Toc12881240"/>
      <w:r>
        <w:rPr>
          <w:rStyle w:val="CharSectno"/>
        </w:rPr>
        <w:t>17</w:t>
      </w:r>
      <w:r>
        <w:rPr>
          <w:snapToGrid w:val="0"/>
        </w:rPr>
        <w:t>.</w:t>
      </w:r>
      <w:r>
        <w:rPr>
          <w:snapToGrid w:val="0"/>
        </w:rPr>
        <w:tab/>
        <w:t>Bulk cargo not to be deposited without authority</w:t>
      </w:r>
      <w:bookmarkEnd w:id="69"/>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pPr>
      <w:r>
        <w:tab/>
        <w:t xml:space="preserve">[Regulation 17 amended: Gazette 19 May 1989 p. 1495.] </w:t>
      </w:r>
    </w:p>
    <w:p>
      <w:pPr>
        <w:pStyle w:val="Heading5"/>
        <w:spacing w:before="180"/>
        <w:rPr>
          <w:snapToGrid w:val="0"/>
        </w:rPr>
      </w:pPr>
      <w:bookmarkStart w:id="70" w:name="_Toc12881241"/>
      <w:r>
        <w:rPr>
          <w:rStyle w:val="CharSectno"/>
        </w:rPr>
        <w:t>18</w:t>
      </w:r>
      <w:r>
        <w:rPr>
          <w:snapToGrid w:val="0"/>
        </w:rPr>
        <w:t>.</w:t>
      </w:r>
      <w:r>
        <w:rPr>
          <w:snapToGrid w:val="0"/>
        </w:rPr>
        <w:tab/>
        <w:t>Outward cargo advice notes</w:t>
      </w:r>
      <w:bookmarkEnd w:id="70"/>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Gazette 19 May 1989 p. 1495.] </w:t>
      </w:r>
    </w:p>
    <w:p>
      <w:pPr>
        <w:pStyle w:val="Heading5"/>
        <w:spacing w:before="180"/>
        <w:rPr>
          <w:snapToGrid w:val="0"/>
        </w:rPr>
      </w:pPr>
      <w:bookmarkStart w:id="71" w:name="_Toc12881242"/>
      <w:r>
        <w:rPr>
          <w:rStyle w:val="CharSectno"/>
        </w:rPr>
        <w:t>19</w:t>
      </w:r>
      <w:r>
        <w:rPr>
          <w:snapToGrid w:val="0"/>
        </w:rPr>
        <w:t>.</w:t>
      </w:r>
      <w:r>
        <w:rPr>
          <w:snapToGrid w:val="0"/>
        </w:rPr>
        <w:tab/>
        <w:t>Outward cargo</w:t>
      </w:r>
      <w:bookmarkEnd w:id="71"/>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Gazette 19 Jul 1956 p. 1781; 19 May 1989 p. 1495.] </w:t>
      </w:r>
    </w:p>
    <w:p>
      <w:pPr>
        <w:pStyle w:val="Heading5"/>
        <w:spacing w:before="180"/>
        <w:rPr>
          <w:snapToGrid w:val="0"/>
        </w:rPr>
      </w:pPr>
      <w:bookmarkStart w:id="72" w:name="_Toc12881243"/>
      <w:r>
        <w:rPr>
          <w:rStyle w:val="CharSectno"/>
        </w:rPr>
        <w:t>20</w:t>
      </w:r>
      <w:r>
        <w:rPr>
          <w:snapToGrid w:val="0"/>
        </w:rPr>
        <w:t>.</w:t>
      </w:r>
      <w:r>
        <w:rPr>
          <w:snapToGrid w:val="0"/>
        </w:rPr>
        <w:tab/>
        <w:t>Dangerous cargo not to be shipped without permission</w:t>
      </w:r>
      <w:bookmarkEnd w:id="72"/>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Gazette 19 May 1989 p. 1495.] </w:t>
      </w:r>
    </w:p>
    <w:p>
      <w:pPr>
        <w:pStyle w:val="Heading5"/>
        <w:spacing w:before="180"/>
        <w:rPr>
          <w:snapToGrid w:val="0"/>
        </w:rPr>
      </w:pPr>
      <w:bookmarkStart w:id="73" w:name="_Toc12881244"/>
      <w:r>
        <w:rPr>
          <w:rStyle w:val="CharSectno"/>
        </w:rPr>
        <w:t>21</w:t>
      </w:r>
      <w:r>
        <w:rPr>
          <w:snapToGrid w:val="0"/>
        </w:rPr>
        <w:t>.</w:t>
      </w:r>
      <w:r>
        <w:rPr>
          <w:snapToGrid w:val="0"/>
        </w:rPr>
        <w:tab/>
        <w:t>Dangerous cargo may be refused or examined</w:t>
      </w:r>
      <w:bookmarkEnd w:id="73"/>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pPr>
      <w:r>
        <w:tab/>
        <w:t xml:space="preserve">[Regulation 21 amended: Gazette 19 May 1989 p. 1495.] </w:t>
      </w:r>
    </w:p>
    <w:p>
      <w:pPr>
        <w:pStyle w:val="Heading5"/>
        <w:spacing w:before="180"/>
        <w:rPr>
          <w:snapToGrid w:val="0"/>
        </w:rPr>
      </w:pPr>
      <w:bookmarkStart w:id="74" w:name="_Toc12881245"/>
      <w:r>
        <w:rPr>
          <w:rStyle w:val="CharSectno"/>
        </w:rPr>
        <w:t>22</w:t>
      </w:r>
      <w:r>
        <w:rPr>
          <w:snapToGrid w:val="0"/>
        </w:rPr>
        <w:t>.</w:t>
      </w:r>
      <w:r>
        <w:rPr>
          <w:snapToGrid w:val="0"/>
        </w:rPr>
        <w:tab/>
        <w:t>Marking of heavy packages</w:t>
      </w:r>
      <w:bookmarkEnd w:id="74"/>
      <w:r>
        <w:rPr>
          <w:snapToGrid w:val="0"/>
        </w:rPr>
        <w:t xml:space="preserve"> </w:t>
      </w:r>
    </w:p>
    <w:p>
      <w:pPr>
        <w:pStyle w:val="Subsection"/>
        <w:spacing w:before="120"/>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(c)</w:t>
      </w:r>
      <w:r>
        <w:rPr>
          <w:snapToGrid w:val="0"/>
        </w:rPr>
        <w:tab/>
        <w:t>Provided that — </w:t>
      </w:r>
    </w:p>
    <w:p>
      <w:pPr>
        <w:pStyle w:val="Indenta"/>
        <w:spacing w:before="6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spacing w:before="60"/>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spacing w:before="80"/>
        <w:ind w:left="890" w:hanging="890"/>
      </w:pPr>
      <w:r>
        <w:tab/>
        <w:t xml:space="preserve">[Regulation 22 amended: Gazette 15 Jun 1973 p. 2237; 19 May 1989 p. 1495.] </w:t>
      </w:r>
    </w:p>
    <w:p>
      <w:pPr>
        <w:pStyle w:val="Heading5"/>
        <w:rPr>
          <w:snapToGrid w:val="0"/>
        </w:rPr>
      </w:pPr>
      <w:bookmarkStart w:id="75" w:name="_Toc12881246"/>
      <w:r>
        <w:rPr>
          <w:rStyle w:val="CharSectno"/>
        </w:rPr>
        <w:t>23</w:t>
      </w:r>
      <w:r>
        <w:rPr>
          <w:snapToGrid w:val="0"/>
        </w:rPr>
        <w:t>.</w:t>
      </w:r>
      <w:r>
        <w:rPr>
          <w:snapToGrid w:val="0"/>
        </w:rPr>
        <w:tab/>
        <w:t>False statements</w:t>
      </w:r>
      <w:bookmarkEnd w:id="75"/>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Gazette 19 May 1989 p. 1495.] </w:t>
      </w:r>
    </w:p>
    <w:p>
      <w:pPr>
        <w:pStyle w:val="Heading3"/>
        <w:rPr>
          <w:snapToGrid w:val="0"/>
        </w:rPr>
      </w:pPr>
      <w:bookmarkStart w:id="76" w:name="_Toc11752934"/>
      <w:bookmarkStart w:id="77" w:name="_Toc11766551"/>
      <w:bookmarkStart w:id="78" w:name="_Toc11768492"/>
      <w:bookmarkStart w:id="79" w:name="_Toc11828283"/>
      <w:bookmarkStart w:id="80" w:name="_Toc12028049"/>
      <w:bookmarkStart w:id="81" w:name="_Toc12881247"/>
      <w:r>
        <w:rPr>
          <w:rStyle w:val="CharDivNo"/>
        </w:rPr>
        <w:t>Division 6</w:t>
      </w:r>
      <w:r>
        <w:rPr>
          <w:snapToGrid w:val="0"/>
        </w:rPr>
        <w:t> — </w:t>
      </w:r>
      <w:r>
        <w:rPr>
          <w:rStyle w:val="CharDivText"/>
        </w:rPr>
        <w:t>Receipt, delivery and storage of cargo</w:t>
      </w:r>
      <w:bookmarkEnd w:id="76"/>
      <w:bookmarkEnd w:id="77"/>
      <w:bookmarkEnd w:id="78"/>
      <w:bookmarkEnd w:id="79"/>
      <w:bookmarkEnd w:id="80"/>
      <w:bookmarkEnd w:id="81"/>
      <w:r>
        <w:rPr>
          <w:rStyle w:val="CharDivText"/>
        </w:rPr>
        <w:t xml:space="preserve"> </w:t>
      </w:r>
    </w:p>
    <w:p>
      <w:pPr>
        <w:pStyle w:val="Footnoteheading"/>
      </w:pPr>
      <w:r>
        <w:tab/>
        <w:t xml:space="preserve">[Heading inserted: Gazette 19 May 1989 p. 1494.] </w:t>
      </w:r>
    </w:p>
    <w:p>
      <w:pPr>
        <w:pStyle w:val="Heading5"/>
        <w:spacing w:before="160"/>
        <w:rPr>
          <w:snapToGrid w:val="0"/>
        </w:rPr>
      </w:pPr>
      <w:bookmarkStart w:id="82" w:name="_Toc12881248"/>
      <w:r>
        <w:rPr>
          <w:rStyle w:val="CharSectno"/>
        </w:rPr>
        <w:t>24</w:t>
      </w:r>
      <w:r>
        <w:rPr>
          <w:snapToGrid w:val="0"/>
        </w:rPr>
        <w:t>.</w:t>
      </w:r>
      <w:r>
        <w:rPr>
          <w:snapToGrid w:val="0"/>
        </w:rPr>
        <w:tab/>
        <w:t>Removal of cargo</w:t>
      </w:r>
      <w:bookmarkEnd w:id="82"/>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 xml:space="preserve">Cargo consigned through the ports of </w:t>
      </w:r>
      <w:smartTag w:uri="urn:schemas-microsoft-com:office:smarttags" w:element="place">
        <w:smartTag w:uri="urn:schemas-microsoft-com:office:smarttags" w:element="City">
          <w:r>
            <w:rPr>
              <w:snapToGrid w:val="0"/>
            </w:rPr>
            <w:t>Derby</w:t>
          </w:r>
        </w:smartTag>
      </w:smartTag>
      <w:r>
        <w:rPr>
          <w:snapToGrid w:val="0"/>
        </w:rPr>
        <w:t xml:space="preserve">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Gazette 19 Oct 1973 p. 3818; amended: Gazette 19 May 1989 p. 1495; 20 Jun 2000 p. 3044.] </w:t>
      </w:r>
    </w:p>
    <w:p>
      <w:pPr>
        <w:pStyle w:val="Heading5"/>
        <w:spacing w:before="180"/>
        <w:rPr>
          <w:snapToGrid w:val="0"/>
        </w:rPr>
      </w:pPr>
      <w:bookmarkStart w:id="83" w:name="_Toc12881249"/>
      <w:r>
        <w:rPr>
          <w:rStyle w:val="CharSectno"/>
        </w:rPr>
        <w:t>25</w:t>
      </w:r>
      <w:r>
        <w:rPr>
          <w:snapToGrid w:val="0"/>
        </w:rPr>
        <w:t>.</w:t>
      </w:r>
      <w:r>
        <w:rPr>
          <w:snapToGrid w:val="0"/>
        </w:rPr>
        <w:tab/>
        <w:t>Storage charges</w:t>
      </w:r>
      <w:bookmarkEnd w:id="83"/>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a Schedule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a Schedule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[Regulation 25 inserted: Gazette 19 Oct 1973 p. 3818; amended: Gazette 9 Nov 1973 p. 4192; 5 Aug 1983 p. 2834; 8 Aug 1986 p. 2828; 19 May 1989 p. 1495; 30 Jun 1989 p. 917; 1 Aug 1990 p. 3633; 29 Jun 1993 p. 3192; 14 Jun 1994 p. 2476; 30 Jun 1995 p. 2699; 27 Jun 1997 p. 3152; 24 Jun 2005 p. 2817; 22 Jul 2015 p. 2953.]</w:t>
      </w:r>
    </w:p>
    <w:p>
      <w:pPr>
        <w:pStyle w:val="Ednotesection"/>
      </w:pPr>
      <w:r>
        <w:t>[</w:t>
      </w:r>
      <w:r>
        <w:rPr>
          <w:b/>
        </w:rPr>
        <w:t>25A.</w:t>
      </w:r>
      <w:r>
        <w:tab/>
        <w:t xml:space="preserve">Deleted: Gazette 24 Nov 1972 p. 4487.] </w:t>
      </w:r>
    </w:p>
    <w:p>
      <w:pPr>
        <w:pStyle w:val="Heading5"/>
        <w:pageBreakBefore/>
        <w:spacing w:before="0"/>
        <w:rPr>
          <w:snapToGrid w:val="0"/>
        </w:rPr>
      </w:pPr>
      <w:bookmarkStart w:id="84" w:name="_Toc12881250"/>
      <w:r>
        <w:rPr>
          <w:rStyle w:val="CharSectno"/>
        </w:rPr>
        <w:t>26</w:t>
      </w:r>
      <w:r>
        <w:rPr>
          <w:snapToGrid w:val="0"/>
        </w:rPr>
        <w:t>.</w:t>
      </w:r>
      <w:r>
        <w:rPr>
          <w:snapToGrid w:val="0"/>
        </w:rPr>
        <w:tab/>
        <w:t>Department not bound to find storage accommodation</w:t>
      </w:r>
      <w:bookmarkEnd w:id="84"/>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Gazette 19 May 1989 p. 1495.] </w:t>
      </w:r>
    </w:p>
    <w:p>
      <w:pPr>
        <w:pStyle w:val="Heading5"/>
        <w:rPr>
          <w:snapToGrid w:val="0"/>
        </w:rPr>
      </w:pPr>
      <w:bookmarkStart w:id="85" w:name="_Toc12881251"/>
      <w:r>
        <w:rPr>
          <w:rStyle w:val="CharSectno"/>
        </w:rPr>
        <w:t>27</w:t>
      </w:r>
      <w:r>
        <w:rPr>
          <w:snapToGrid w:val="0"/>
        </w:rPr>
        <w:t>.</w:t>
      </w:r>
      <w:r>
        <w:rPr>
          <w:snapToGrid w:val="0"/>
        </w:rPr>
        <w:tab/>
        <w:t>Goods may be disposed of</w:t>
      </w:r>
      <w:bookmarkEnd w:id="85"/>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Gazette 19 May 1989 p. 1495.] </w:t>
      </w:r>
    </w:p>
    <w:p>
      <w:pPr>
        <w:pStyle w:val="Heading5"/>
        <w:spacing w:before="180"/>
        <w:rPr>
          <w:snapToGrid w:val="0"/>
        </w:rPr>
      </w:pPr>
      <w:bookmarkStart w:id="86" w:name="_Toc12881252"/>
      <w:r>
        <w:rPr>
          <w:rStyle w:val="CharSectno"/>
        </w:rPr>
        <w:t>28</w:t>
      </w:r>
      <w:r>
        <w:rPr>
          <w:snapToGrid w:val="0"/>
        </w:rPr>
        <w:t>.</w:t>
      </w:r>
      <w:r>
        <w:rPr>
          <w:snapToGrid w:val="0"/>
        </w:rPr>
        <w:tab/>
        <w:t>Goods to be checked before delivery</w:t>
      </w:r>
      <w:bookmarkEnd w:id="86"/>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Gazette 19 May 1989 p. 1495.] </w:t>
      </w:r>
    </w:p>
    <w:p>
      <w:pPr>
        <w:pStyle w:val="Heading5"/>
        <w:rPr>
          <w:snapToGrid w:val="0"/>
        </w:rPr>
      </w:pPr>
      <w:bookmarkStart w:id="87" w:name="_Toc12881253"/>
      <w:r>
        <w:rPr>
          <w:rStyle w:val="CharSectno"/>
        </w:rPr>
        <w:t>29</w:t>
      </w:r>
      <w:r>
        <w:rPr>
          <w:snapToGrid w:val="0"/>
        </w:rPr>
        <w:t>.</w:t>
      </w:r>
      <w:r>
        <w:rPr>
          <w:snapToGrid w:val="0"/>
        </w:rPr>
        <w:tab/>
        <w:t>Delay in delivery</w:t>
      </w:r>
      <w:bookmarkEnd w:id="87"/>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Gazette 19 May 1989 p. 1495.] </w:t>
      </w:r>
    </w:p>
    <w:p>
      <w:pPr>
        <w:pStyle w:val="Heading5"/>
        <w:rPr>
          <w:snapToGrid w:val="0"/>
        </w:rPr>
      </w:pPr>
      <w:bookmarkStart w:id="88" w:name="_Toc12881254"/>
      <w:r>
        <w:rPr>
          <w:rStyle w:val="CharSectno"/>
        </w:rPr>
        <w:t>30</w:t>
      </w:r>
      <w:r>
        <w:rPr>
          <w:snapToGrid w:val="0"/>
        </w:rPr>
        <w:t>.</w:t>
      </w:r>
      <w:r>
        <w:rPr>
          <w:snapToGrid w:val="0"/>
        </w:rPr>
        <w:tab/>
        <w:t>Wrong delivery</w:t>
      </w:r>
      <w:bookmarkEnd w:id="88"/>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Gazette 19 May 1989 p. 1495.] </w:t>
      </w:r>
    </w:p>
    <w:p>
      <w:pPr>
        <w:pStyle w:val="Heading3"/>
        <w:rPr>
          <w:snapToGrid w:val="0"/>
        </w:rPr>
      </w:pPr>
      <w:bookmarkStart w:id="89" w:name="_Toc11752942"/>
      <w:bookmarkStart w:id="90" w:name="_Toc11766559"/>
      <w:bookmarkStart w:id="91" w:name="_Toc11768500"/>
      <w:bookmarkStart w:id="92" w:name="_Toc11828291"/>
      <w:bookmarkStart w:id="93" w:name="_Toc12028057"/>
      <w:bookmarkStart w:id="94" w:name="_Toc12881255"/>
      <w:r>
        <w:rPr>
          <w:rStyle w:val="CharDivNo"/>
        </w:rPr>
        <w:t>Division 7</w:t>
      </w:r>
      <w:r>
        <w:rPr>
          <w:snapToGrid w:val="0"/>
        </w:rPr>
        <w:t> — </w:t>
      </w:r>
      <w:r>
        <w:rPr>
          <w:rStyle w:val="CharDivText"/>
        </w:rPr>
        <w:t>Responsibility of Department</w:t>
      </w:r>
      <w:bookmarkEnd w:id="89"/>
      <w:bookmarkEnd w:id="90"/>
      <w:bookmarkEnd w:id="91"/>
      <w:bookmarkEnd w:id="92"/>
      <w:bookmarkEnd w:id="93"/>
      <w:bookmarkEnd w:id="94"/>
      <w:r>
        <w:rPr>
          <w:rStyle w:val="CharDivText"/>
        </w:rPr>
        <w:t xml:space="preserve"> </w:t>
      </w:r>
    </w:p>
    <w:p>
      <w:pPr>
        <w:pStyle w:val="Footnoteheading"/>
      </w:pPr>
      <w:r>
        <w:tab/>
        <w:t xml:space="preserve">[Heading inserted: Gazette of 19 May 1989 p. 1494.] </w:t>
      </w:r>
    </w:p>
    <w:p>
      <w:pPr>
        <w:pStyle w:val="Heading5"/>
        <w:spacing w:before="180"/>
        <w:rPr>
          <w:snapToGrid w:val="0"/>
        </w:rPr>
      </w:pPr>
      <w:bookmarkStart w:id="95" w:name="_Toc12881256"/>
      <w:r>
        <w:rPr>
          <w:rStyle w:val="CharSectno"/>
        </w:rPr>
        <w:t>31</w:t>
      </w:r>
      <w:r>
        <w:rPr>
          <w:snapToGrid w:val="0"/>
        </w:rPr>
        <w:t>.</w:t>
      </w:r>
      <w:r>
        <w:rPr>
          <w:snapToGrid w:val="0"/>
        </w:rPr>
        <w:tab/>
        <w:t>Custody of cargo</w:t>
      </w:r>
      <w:bookmarkEnd w:id="95"/>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Gazette 19 May 1989 p. 1495.] </w:t>
      </w:r>
    </w:p>
    <w:p>
      <w:pPr>
        <w:pStyle w:val="Heading5"/>
        <w:spacing w:before="180"/>
        <w:rPr>
          <w:snapToGrid w:val="0"/>
        </w:rPr>
      </w:pPr>
      <w:bookmarkStart w:id="96" w:name="_Toc12881257"/>
      <w:r>
        <w:rPr>
          <w:rStyle w:val="CharSectno"/>
        </w:rPr>
        <w:t>32</w:t>
      </w:r>
      <w:r>
        <w:rPr>
          <w:snapToGrid w:val="0"/>
        </w:rPr>
        <w:t>.</w:t>
      </w:r>
      <w:r>
        <w:rPr>
          <w:snapToGrid w:val="0"/>
        </w:rPr>
        <w:tab/>
        <w:t>Goods without receipts</w:t>
      </w:r>
      <w:bookmarkEnd w:id="96"/>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Gazette 19 May 1989 p. 1495.] </w:t>
      </w:r>
    </w:p>
    <w:p>
      <w:pPr>
        <w:pStyle w:val="Heading5"/>
        <w:spacing w:before="180"/>
        <w:rPr>
          <w:snapToGrid w:val="0"/>
        </w:rPr>
      </w:pPr>
      <w:bookmarkStart w:id="97" w:name="_Toc12881258"/>
      <w:r>
        <w:rPr>
          <w:rStyle w:val="CharSectno"/>
        </w:rPr>
        <w:t>33</w:t>
      </w:r>
      <w:r>
        <w:rPr>
          <w:snapToGrid w:val="0"/>
        </w:rPr>
        <w:t>.</w:t>
      </w:r>
      <w:r>
        <w:rPr>
          <w:snapToGrid w:val="0"/>
        </w:rPr>
        <w:tab/>
        <w:t>Goods stacked on jetties</w:t>
      </w:r>
      <w:bookmarkEnd w:id="97"/>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Gazette 19 May 1989 p. 1495.] </w:t>
      </w:r>
    </w:p>
    <w:p>
      <w:pPr>
        <w:pStyle w:val="Heading5"/>
        <w:rPr>
          <w:snapToGrid w:val="0"/>
        </w:rPr>
      </w:pPr>
      <w:bookmarkStart w:id="98" w:name="_Toc12881259"/>
      <w:r>
        <w:rPr>
          <w:rStyle w:val="CharSectno"/>
        </w:rPr>
        <w:t>34</w:t>
      </w:r>
      <w:r>
        <w:rPr>
          <w:snapToGrid w:val="0"/>
        </w:rPr>
        <w:t>.</w:t>
      </w:r>
      <w:r>
        <w:rPr>
          <w:snapToGrid w:val="0"/>
        </w:rPr>
        <w:tab/>
        <w:t>Cargo damaged by fire etc.</w:t>
      </w:r>
      <w:bookmarkEnd w:id="98"/>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Gazette 19 May 1989 p. 1495.] </w:t>
      </w:r>
    </w:p>
    <w:p>
      <w:pPr>
        <w:pStyle w:val="Heading5"/>
        <w:rPr>
          <w:snapToGrid w:val="0"/>
        </w:rPr>
      </w:pPr>
      <w:bookmarkStart w:id="99" w:name="_Toc12881260"/>
      <w:r>
        <w:rPr>
          <w:rStyle w:val="CharSectno"/>
        </w:rPr>
        <w:t>35</w:t>
      </w:r>
      <w:r>
        <w:rPr>
          <w:snapToGrid w:val="0"/>
        </w:rPr>
        <w:t>.</w:t>
      </w:r>
      <w:r>
        <w:rPr>
          <w:snapToGrid w:val="0"/>
        </w:rPr>
        <w:tab/>
        <w:t>Goods insufficiently packed</w:t>
      </w:r>
      <w:bookmarkEnd w:id="99"/>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Gazette 19 May 1989 p. 1495.] </w:t>
      </w:r>
    </w:p>
    <w:p>
      <w:pPr>
        <w:pStyle w:val="Heading5"/>
        <w:rPr>
          <w:snapToGrid w:val="0"/>
        </w:rPr>
      </w:pPr>
      <w:bookmarkStart w:id="100" w:name="_Toc12881261"/>
      <w:r>
        <w:rPr>
          <w:rStyle w:val="CharSectno"/>
        </w:rPr>
        <w:t>36</w:t>
      </w:r>
      <w:r>
        <w:rPr>
          <w:snapToGrid w:val="0"/>
        </w:rPr>
        <w:t>.</w:t>
      </w:r>
      <w:r>
        <w:rPr>
          <w:snapToGrid w:val="0"/>
        </w:rPr>
        <w:tab/>
        <w:t>Claims in respect of cargo</w:t>
      </w:r>
      <w:bookmarkEnd w:id="100"/>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Gazette 24 Nov 1972 p. 4487; 19 May 1989 p. 1495.] </w:t>
      </w:r>
    </w:p>
    <w:p>
      <w:pPr>
        <w:pStyle w:val="Heading3"/>
        <w:keepLines/>
        <w:spacing w:before="180"/>
        <w:rPr>
          <w:snapToGrid w:val="0"/>
        </w:rPr>
      </w:pPr>
      <w:bookmarkStart w:id="101" w:name="_Toc11752949"/>
      <w:bookmarkStart w:id="102" w:name="_Toc11766566"/>
      <w:bookmarkStart w:id="103" w:name="_Toc11768507"/>
      <w:bookmarkStart w:id="104" w:name="_Toc11828298"/>
      <w:bookmarkStart w:id="105" w:name="_Toc12028064"/>
      <w:bookmarkStart w:id="106" w:name="_Toc12881262"/>
      <w:r>
        <w:rPr>
          <w:rStyle w:val="CharDivNo"/>
        </w:rPr>
        <w:t>Division 8</w:t>
      </w:r>
      <w:r>
        <w:rPr>
          <w:snapToGrid w:val="0"/>
        </w:rPr>
        <w:t> — </w:t>
      </w:r>
      <w:r>
        <w:rPr>
          <w:rStyle w:val="CharDivText"/>
        </w:rPr>
        <w:t>Working hours</w:t>
      </w:r>
      <w:bookmarkEnd w:id="101"/>
      <w:bookmarkEnd w:id="102"/>
      <w:bookmarkEnd w:id="103"/>
      <w:bookmarkEnd w:id="104"/>
      <w:bookmarkEnd w:id="105"/>
      <w:bookmarkEnd w:id="106"/>
      <w:r>
        <w:rPr>
          <w:rStyle w:val="CharDivText"/>
        </w:rPr>
        <w:t xml:space="preserve"> </w:t>
      </w:r>
    </w:p>
    <w:p>
      <w:pPr>
        <w:pStyle w:val="Footnoteheading"/>
        <w:keepNext/>
        <w:keepLines/>
      </w:pPr>
      <w:r>
        <w:tab/>
        <w:t xml:space="preserve">[Heading inserted: Gazette 19 May 1989 p. 1494.] </w:t>
      </w:r>
    </w:p>
    <w:p>
      <w:pPr>
        <w:pStyle w:val="Heading5"/>
        <w:spacing w:before="180"/>
        <w:rPr>
          <w:snapToGrid w:val="0"/>
        </w:rPr>
      </w:pPr>
      <w:bookmarkStart w:id="107" w:name="_Toc12881263"/>
      <w:r>
        <w:rPr>
          <w:rStyle w:val="CharSectno"/>
        </w:rPr>
        <w:t>37</w:t>
      </w:r>
      <w:r>
        <w:rPr>
          <w:snapToGrid w:val="0"/>
        </w:rPr>
        <w:t>.</w:t>
      </w:r>
      <w:r>
        <w:rPr>
          <w:snapToGrid w:val="0"/>
        </w:rPr>
        <w:tab/>
        <w:t>Ordinary time</w:t>
      </w:r>
      <w:bookmarkEnd w:id="107"/>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Gazette 17 Mar 1960 p. 778; 19 May 1989 p. 1495.] </w:t>
      </w:r>
    </w:p>
    <w:p>
      <w:pPr>
        <w:pStyle w:val="Heading5"/>
        <w:spacing w:before="180"/>
        <w:rPr>
          <w:snapToGrid w:val="0"/>
        </w:rPr>
      </w:pPr>
      <w:bookmarkStart w:id="108" w:name="_Toc12881264"/>
      <w:r>
        <w:rPr>
          <w:rStyle w:val="CharSectno"/>
        </w:rPr>
        <w:t>38</w:t>
      </w:r>
      <w:r>
        <w:rPr>
          <w:snapToGrid w:val="0"/>
        </w:rPr>
        <w:t>.</w:t>
      </w:r>
      <w:r>
        <w:rPr>
          <w:snapToGrid w:val="0"/>
        </w:rPr>
        <w:tab/>
        <w:t>Overtime</w:t>
      </w:r>
      <w:bookmarkEnd w:id="108"/>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Gazette 19 May 1989 p. 1495.] </w:t>
      </w:r>
    </w:p>
    <w:p>
      <w:pPr>
        <w:pStyle w:val="Heading5"/>
        <w:spacing w:before="180"/>
        <w:rPr>
          <w:snapToGrid w:val="0"/>
        </w:rPr>
      </w:pPr>
      <w:bookmarkStart w:id="109" w:name="_Toc12881265"/>
      <w:r>
        <w:rPr>
          <w:rStyle w:val="CharSectno"/>
        </w:rPr>
        <w:t>38A</w:t>
      </w:r>
      <w:r>
        <w:rPr>
          <w:snapToGrid w:val="0"/>
        </w:rPr>
        <w:t>.</w:t>
      </w:r>
      <w:r>
        <w:rPr>
          <w:snapToGrid w:val="0"/>
        </w:rPr>
        <w:tab/>
        <w:t>Wages incurred through ships’ delays to be paid for</w:t>
      </w:r>
      <w:bookmarkEnd w:id="109"/>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spacing w:before="80"/>
        <w:ind w:left="890" w:hanging="890"/>
      </w:pPr>
      <w:r>
        <w:tab/>
        <w:t xml:space="preserve">[Regulation 38A inserted: Gazette 12 Jul 1957 p. 2271; amended: Gazette 19 May 1989 p. 1495.] </w:t>
      </w:r>
    </w:p>
    <w:p>
      <w:pPr>
        <w:pStyle w:val="Heading5"/>
        <w:rPr>
          <w:snapToGrid w:val="0"/>
        </w:rPr>
      </w:pPr>
      <w:bookmarkStart w:id="110" w:name="_Toc12881266"/>
      <w:r>
        <w:rPr>
          <w:rStyle w:val="CharSectno"/>
        </w:rPr>
        <w:t>39</w:t>
      </w:r>
      <w:r>
        <w:rPr>
          <w:snapToGrid w:val="0"/>
        </w:rPr>
        <w:t>.</w:t>
      </w:r>
      <w:r>
        <w:rPr>
          <w:snapToGrid w:val="0"/>
        </w:rPr>
        <w:tab/>
        <w:t>Master to give notice of desire to work</w:t>
      </w:r>
      <w:bookmarkEnd w:id="110"/>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Gazette 19 May 1989 p. 1495.] </w:t>
      </w:r>
    </w:p>
    <w:p>
      <w:pPr>
        <w:pStyle w:val="Heading3"/>
        <w:rPr>
          <w:snapToGrid w:val="0"/>
        </w:rPr>
      </w:pPr>
      <w:bookmarkStart w:id="111" w:name="_Toc11752954"/>
      <w:bookmarkStart w:id="112" w:name="_Toc11766571"/>
      <w:bookmarkStart w:id="113" w:name="_Toc11768512"/>
      <w:bookmarkStart w:id="114" w:name="_Toc11828303"/>
      <w:bookmarkStart w:id="115" w:name="_Toc12028069"/>
      <w:bookmarkStart w:id="116" w:name="_Toc12881267"/>
      <w:r>
        <w:rPr>
          <w:rStyle w:val="CharDivNo"/>
        </w:rPr>
        <w:t>Division 9</w:t>
      </w:r>
      <w:r>
        <w:rPr>
          <w:snapToGrid w:val="0"/>
        </w:rPr>
        <w:t> — </w:t>
      </w:r>
      <w:r>
        <w:rPr>
          <w:rStyle w:val="CharDivText"/>
        </w:rPr>
        <w:t>Livestock or vehicles on jetties or premises</w:t>
      </w:r>
      <w:bookmarkEnd w:id="111"/>
      <w:bookmarkEnd w:id="112"/>
      <w:bookmarkEnd w:id="113"/>
      <w:bookmarkEnd w:id="114"/>
      <w:bookmarkEnd w:id="115"/>
      <w:bookmarkEnd w:id="116"/>
      <w:r>
        <w:rPr>
          <w:rStyle w:val="CharDivText"/>
        </w:rPr>
        <w:t xml:space="preserve"> </w:t>
      </w:r>
    </w:p>
    <w:p>
      <w:pPr>
        <w:pStyle w:val="Footnoteheading"/>
      </w:pPr>
      <w:r>
        <w:tab/>
        <w:t xml:space="preserve">[Heading inserted: Gazette 19 May 1989 p. 1494.] </w:t>
      </w:r>
    </w:p>
    <w:p>
      <w:pPr>
        <w:pStyle w:val="Heading5"/>
        <w:rPr>
          <w:snapToGrid w:val="0"/>
        </w:rPr>
      </w:pPr>
      <w:bookmarkStart w:id="117" w:name="_Toc12881268"/>
      <w:r>
        <w:rPr>
          <w:rStyle w:val="CharSectno"/>
        </w:rPr>
        <w:t>40</w:t>
      </w:r>
      <w:r>
        <w:rPr>
          <w:snapToGrid w:val="0"/>
        </w:rPr>
        <w:t>.</w:t>
      </w:r>
      <w:r>
        <w:rPr>
          <w:snapToGrid w:val="0"/>
        </w:rPr>
        <w:tab/>
        <w:t>Livestock on jetties or premises</w:t>
      </w:r>
      <w:bookmarkEnd w:id="117"/>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Gazette 19 May 1989 p. 1495.] </w:t>
      </w:r>
    </w:p>
    <w:p>
      <w:pPr>
        <w:pStyle w:val="Heading5"/>
        <w:rPr>
          <w:snapToGrid w:val="0"/>
        </w:rPr>
      </w:pPr>
      <w:bookmarkStart w:id="118" w:name="_Toc12881269"/>
      <w:r>
        <w:rPr>
          <w:rStyle w:val="CharSectno"/>
        </w:rPr>
        <w:t>41</w:t>
      </w:r>
      <w:r>
        <w:rPr>
          <w:snapToGrid w:val="0"/>
        </w:rPr>
        <w:t>.</w:t>
      </w:r>
      <w:r>
        <w:rPr>
          <w:snapToGrid w:val="0"/>
        </w:rPr>
        <w:tab/>
        <w:t>Riding vehicles etc. on jetties or premises</w:t>
      </w:r>
      <w:bookmarkEnd w:id="118"/>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Gazette 17 Mar 1960 p. 779; 19 May 1989 p. 1495.] </w:t>
      </w:r>
    </w:p>
    <w:p>
      <w:pPr>
        <w:pStyle w:val="Heading5"/>
        <w:rPr>
          <w:snapToGrid w:val="0"/>
        </w:rPr>
      </w:pPr>
      <w:bookmarkStart w:id="119" w:name="_Toc12881270"/>
      <w:r>
        <w:rPr>
          <w:rStyle w:val="CharSectno"/>
        </w:rPr>
        <w:t>41A</w:t>
      </w:r>
      <w:r>
        <w:rPr>
          <w:snapToGrid w:val="0"/>
        </w:rPr>
        <w:t>.</w:t>
      </w:r>
      <w:r>
        <w:rPr>
          <w:snapToGrid w:val="0"/>
        </w:rPr>
        <w:tab/>
        <w:t>Vehicles not to be parked on jetties</w:t>
      </w:r>
      <w:bookmarkEnd w:id="119"/>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spacing w:before="80"/>
        <w:ind w:left="890" w:hanging="890"/>
      </w:pPr>
      <w:r>
        <w:tab/>
        <w:t xml:space="preserve">[Regulation 41A inserted: Gazette 17 Mar 1960 p. 779; amended: Gazette 19 May 1989 p. 1495.] </w:t>
      </w:r>
    </w:p>
    <w:p>
      <w:pPr>
        <w:pStyle w:val="Heading5"/>
        <w:rPr>
          <w:snapToGrid w:val="0"/>
        </w:rPr>
      </w:pPr>
      <w:bookmarkStart w:id="120" w:name="_Toc12881271"/>
      <w:r>
        <w:rPr>
          <w:rStyle w:val="CharSectno"/>
        </w:rPr>
        <w:t>41B</w:t>
      </w:r>
      <w:r>
        <w:rPr>
          <w:snapToGrid w:val="0"/>
        </w:rPr>
        <w:t>.</w:t>
      </w:r>
      <w:r>
        <w:rPr>
          <w:snapToGrid w:val="0"/>
        </w:rPr>
        <w:tab/>
        <w:t>Department not responsible for vehicles on jetties</w:t>
      </w:r>
      <w:bookmarkEnd w:id="120"/>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Gazette 17 Mar 1960 p. 779; amended: Gazette 19 May 1989 p. 1495.] </w:t>
      </w:r>
    </w:p>
    <w:p>
      <w:pPr>
        <w:pStyle w:val="Heading5"/>
        <w:rPr>
          <w:snapToGrid w:val="0"/>
        </w:rPr>
      </w:pPr>
      <w:bookmarkStart w:id="121" w:name="_Toc12881272"/>
      <w:r>
        <w:rPr>
          <w:rStyle w:val="CharSectno"/>
        </w:rPr>
        <w:t>42</w:t>
      </w:r>
      <w:r>
        <w:rPr>
          <w:snapToGrid w:val="0"/>
        </w:rPr>
        <w:t>.</w:t>
      </w:r>
      <w:r>
        <w:rPr>
          <w:snapToGrid w:val="0"/>
        </w:rPr>
        <w:tab/>
        <w:t>Drivers of vehicles to obey instructions</w:t>
      </w:r>
      <w:bookmarkEnd w:id="121"/>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Gazette 19 May 1989 p. 1495.] </w:t>
      </w:r>
    </w:p>
    <w:p>
      <w:pPr>
        <w:pStyle w:val="Heading5"/>
      </w:pPr>
      <w:bookmarkStart w:id="122" w:name="_Toc12881273"/>
      <w:r>
        <w:rPr>
          <w:rStyle w:val="CharSectno"/>
        </w:rPr>
        <w:t>42A</w:t>
      </w:r>
      <w:r>
        <w:t>.</w:t>
      </w:r>
      <w:r>
        <w:tab/>
        <w:t>Charges for vehicular use of jetty</w:t>
      </w:r>
      <w:bookmarkEnd w:id="122"/>
    </w:p>
    <w:p>
      <w:pPr>
        <w:pStyle w:val="Subsection"/>
      </w:pPr>
      <w:r>
        <w:tab/>
      </w:r>
      <w:r>
        <w:tab/>
        <w:t>The charges (if any) payable for vehicular use of a jetty and land adjacent to it are as set out in a Schedule.</w:t>
      </w:r>
    </w:p>
    <w:p>
      <w:pPr>
        <w:pStyle w:val="Footnotesection"/>
        <w:rPr>
          <w:rStyle w:val="CharSectno"/>
        </w:rPr>
      </w:pPr>
      <w:r>
        <w:tab/>
        <w:t>[Regulation 42A inserted: Gazette 22 Jun 2007 p. 2908</w:t>
      </w:r>
      <w:r>
        <w:noBreakHyphen/>
        <w:t>9; amended: Gazette 25 Jul 2014 p. 2611; 22 Jul 2015 p. 2953.]</w:t>
      </w:r>
    </w:p>
    <w:p>
      <w:pPr>
        <w:pStyle w:val="Heading5"/>
        <w:rPr>
          <w:snapToGrid w:val="0"/>
        </w:rPr>
      </w:pPr>
      <w:bookmarkStart w:id="123" w:name="_Toc12881274"/>
      <w:r>
        <w:rPr>
          <w:rStyle w:val="CharSectno"/>
        </w:rPr>
        <w:t>43</w:t>
      </w:r>
      <w:r>
        <w:rPr>
          <w:snapToGrid w:val="0"/>
        </w:rPr>
        <w:t>.</w:t>
      </w:r>
      <w:r>
        <w:rPr>
          <w:snapToGrid w:val="0"/>
        </w:rPr>
        <w:tab/>
        <w:t>Persons not to be on jetties when livestock is being handled</w:t>
      </w:r>
      <w:bookmarkEnd w:id="123"/>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Gazette 19 May 1989 p. 1495.] </w:t>
      </w:r>
    </w:p>
    <w:p>
      <w:pPr>
        <w:pStyle w:val="Heading3"/>
        <w:keepNext w:val="0"/>
        <w:pageBreakBefore/>
        <w:spacing w:before="0"/>
        <w:rPr>
          <w:snapToGrid w:val="0"/>
        </w:rPr>
      </w:pPr>
      <w:bookmarkStart w:id="124" w:name="_Toc11752962"/>
      <w:bookmarkStart w:id="125" w:name="_Toc11766579"/>
      <w:bookmarkStart w:id="126" w:name="_Toc11768520"/>
      <w:bookmarkStart w:id="127" w:name="_Toc11828311"/>
      <w:bookmarkStart w:id="128" w:name="_Toc12028077"/>
      <w:bookmarkStart w:id="129" w:name="_Toc12881275"/>
      <w:r>
        <w:rPr>
          <w:rStyle w:val="CharDivNo"/>
        </w:rPr>
        <w:t>Division 10</w:t>
      </w:r>
      <w:r>
        <w:rPr>
          <w:snapToGrid w:val="0"/>
        </w:rPr>
        <w:t> — </w:t>
      </w:r>
      <w:r>
        <w:rPr>
          <w:rStyle w:val="CharDivText"/>
        </w:rPr>
        <w:t>Miscellaneous</w:t>
      </w:r>
      <w:bookmarkEnd w:id="124"/>
      <w:bookmarkEnd w:id="125"/>
      <w:bookmarkEnd w:id="126"/>
      <w:bookmarkEnd w:id="127"/>
      <w:bookmarkEnd w:id="128"/>
      <w:bookmarkEnd w:id="129"/>
      <w:r>
        <w:rPr>
          <w:rStyle w:val="CharDivText"/>
        </w:rPr>
        <w:t xml:space="preserve"> </w:t>
      </w:r>
    </w:p>
    <w:p>
      <w:pPr>
        <w:pStyle w:val="Footnoteheading"/>
        <w:keepNext/>
        <w:keepLines/>
      </w:pPr>
      <w:r>
        <w:tab/>
        <w:t xml:space="preserve">[Heading inserted: Gazette 19 May 1989 p. 1494.] </w:t>
      </w:r>
    </w:p>
    <w:p>
      <w:pPr>
        <w:pStyle w:val="Heading5"/>
        <w:rPr>
          <w:snapToGrid w:val="0"/>
        </w:rPr>
      </w:pPr>
      <w:bookmarkStart w:id="130" w:name="_Toc12881276"/>
      <w:r>
        <w:rPr>
          <w:rStyle w:val="CharSectno"/>
        </w:rPr>
        <w:t>44</w:t>
      </w:r>
      <w:r>
        <w:rPr>
          <w:snapToGrid w:val="0"/>
        </w:rPr>
        <w:t>.</w:t>
      </w:r>
      <w:r>
        <w:rPr>
          <w:snapToGrid w:val="0"/>
        </w:rPr>
        <w:tab/>
        <w:t>Bill posting, defacement and obscenity</w:t>
      </w:r>
      <w:bookmarkEnd w:id="130"/>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Gazette 19 May 1989 p. 1495.] </w:t>
      </w:r>
    </w:p>
    <w:p>
      <w:pPr>
        <w:pStyle w:val="Heading5"/>
        <w:rPr>
          <w:snapToGrid w:val="0"/>
        </w:rPr>
      </w:pPr>
      <w:bookmarkStart w:id="131" w:name="_Toc12881277"/>
      <w:r>
        <w:rPr>
          <w:rStyle w:val="CharSectno"/>
        </w:rPr>
        <w:t>45</w:t>
      </w:r>
      <w:r>
        <w:rPr>
          <w:snapToGrid w:val="0"/>
        </w:rPr>
        <w:t>.</w:t>
      </w:r>
      <w:r>
        <w:rPr>
          <w:snapToGrid w:val="0"/>
        </w:rPr>
        <w:tab/>
        <w:t>Disorderly persons</w:t>
      </w:r>
      <w:bookmarkEnd w:id="131"/>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Gazette 19 May 1989 p. 1495.] </w:t>
      </w:r>
    </w:p>
    <w:p>
      <w:pPr>
        <w:pStyle w:val="Heading5"/>
        <w:rPr>
          <w:snapToGrid w:val="0"/>
        </w:rPr>
      </w:pPr>
      <w:bookmarkStart w:id="132" w:name="_Toc12881278"/>
      <w:r>
        <w:rPr>
          <w:rStyle w:val="CharSectno"/>
        </w:rPr>
        <w:t>46</w:t>
      </w:r>
      <w:r>
        <w:rPr>
          <w:snapToGrid w:val="0"/>
        </w:rPr>
        <w:t>.</w:t>
      </w:r>
      <w:r>
        <w:rPr>
          <w:snapToGrid w:val="0"/>
        </w:rPr>
        <w:tab/>
        <w:t>Fires not to be lit</w:t>
      </w:r>
      <w:bookmarkEnd w:id="132"/>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Gazette 19 May 1989 p. 1495.] </w:t>
      </w:r>
    </w:p>
    <w:p>
      <w:pPr>
        <w:pStyle w:val="Heading5"/>
        <w:rPr>
          <w:snapToGrid w:val="0"/>
        </w:rPr>
      </w:pPr>
      <w:bookmarkStart w:id="133" w:name="_Toc12881279"/>
      <w:r>
        <w:rPr>
          <w:rStyle w:val="CharSectno"/>
        </w:rPr>
        <w:t>47</w:t>
      </w:r>
      <w:r>
        <w:rPr>
          <w:snapToGrid w:val="0"/>
        </w:rPr>
        <w:t>.</w:t>
      </w:r>
      <w:r>
        <w:rPr>
          <w:snapToGrid w:val="0"/>
        </w:rPr>
        <w:tab/>
        <w:t>Gates to be shut</w:t>
      </w:r>
      <w:bookmarkEnd w:id="133"/>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Gazette 19 May 1989 p. 1495.] </w:t>
      </w:r>
    </w:p>
    <w:p>
      <w:pPr>
        <w:pStyle w:val="Heading5"/>
        <w:rPr>
          <w:snapToGrid w:val="0"/>
        </w:rPr>
      </w:pPr>
      <w:bookmarkStart w:id="134" w:name="_Toc12881280"/>
      <w:r>
        <w:rPr>
          <w:rStyle w:val="CharSectno"/>
        </w:rPr>
        <w:t>48</w:t>
      </w:r>
      <w:r>
        <w:rPr>
          <w:snapToGrid w:val="0"/>
        </w:rPr>
        <w:t>.</w:t>
      </w:r>
      <w:r>
        <w:rPr>
          <w:snapToGrid w:val="0"/>
        </w:rPr>
        <w:tab/>
        <w:t>Interference with lights</w:t>
      </w:r>
      <w:bookmarkEnd w:id="134"/>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Gazette 19 May 1989 p. 1495.] </w:t>
      </w:r>
    </w:p>
    <w:p>
      <w:pPr>
        <w:pStyle w:val="Heading5"/>
        <w:rPr>
          <w:snapToGrid w:val="0"/>
        </w:rPr>
      </w:pPr>
      <w:bookmarkStart w:id="135" w:name="_Toc12881281"/>
      <w:r>
        <w:rPr>
          <w:rStyle w:val="CharSectno"/>
        </w:rPr>
        <w:t>49</w:t>
      </w:r>
      <w:r>
        <w:rPr>
          <w:snapToGrid w:val="0"/>
        </w:rPr>
        <w:t>.</w:t>
      </w:r>
      <w:r>
        <w:rPr>
          <w:snapToGrid w:val="0"/>
        </w:rPr>
        <w:tab/>
        <w:t>Interference with or damaging property</w:t>
      </w:r>
      <w:bookmarkEnd w:id="135"/>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Gazette 19 May 1985 p. 1495.] </w:t>
      </w:r>
    </w:p>
    <w:p>
      <w:pPr>
        <w:pStyle w:val="Heading5"/>
        <w:rPr>
          <w:snapToGrid w:val="0"/>
        </w:rPr>
      </w:pPr>
      <w:bookmarkStart w:id="136" w:name="_Toc12881282"/>
      <w:r>
        <w:rPr>
          <w:rStyle w:val="CharSectno"/>
        </w:rPr>
        <w:t>50</w:t>
      </w:r>
      <w:r>
        <w:rPr>
          <w:snapToGrid w:val="0"/>
        </w:rPr>
        <w:t>.</w:t>
      </w:r>
      <w:r>
        <w:rPr>
          <w:snapToGrid w:val="0"/>
        </w:rPr>
        <w:tab/>
        <w:t>Lost property</w:t>
      </w:r>
      <w:bookmarkEnd w:id="136"/>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Gazette 19 May 1985 p. 1495.] </w:t>
      </w:r>
    </w:p>
    <w:p>
      <w:pPr>
        <w:pStyle w:val="Heading5"/>
        <w:rPr>
          <w:snapToGrid w:val="0"/>
        </w:rPr>
      </w:pPr>
      <w:bookmarkStart w:id="137" w:name="_Toc12881283"/>
      <w:r>
        <w:rPr>
          <w:rStyle w:val="CharSectno"/>
        </w:rPr>
        <w:t>51</w:t>
      </w:r>
      <w:r>
        <w:rPr>
          <w:snapToGrid w:val="0"/>
        </w:rPr>
        <w:t>.</w:t>
      </w:r>
      <w:r>
        <w:rPr>
          <w:snapToGrid w:val="0"/>
        </w:rPr>
        <w:tab/>
        <w:t>Obstruction of officers, or premises</w:t>
      </w:r>
      <w:bookmarkEnd w:id="137"/>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Gazette 19 May 1989 p. 1495.] </w:t>
      </w:r>
    </w:p>
    <w:p>
      <w:pPr>
        <w:pStyle w:val="Heading5"/>
        <w:spacing w:before="120"/>
        <w:rPr>
          <w:snapToGrid w:val="0"/>
        </w:rPr>
      </w:pPr>
      <w:bookmarkStart w:id="138" w:name="_Toc12881284"/>
      <w:r>
        <w:rPr>
          <w:rStyle w:val="CharSectno"/>
        </w:rPr>
        <w:t>52</w:t>
      </w:r>
      <w:r>
        <w:rPr>
          <w:snapToGrid w:val="0"/>
        </w:rPr>
        <w:t>.</w:t>
      </w:r>
      <w:r>
        <w:rPr>
          <w:snapToGrid w:val="0"/>
        </w:rPr>
        <w:tab/>
        <w:t>Obstruction of or damage to jetties or premises</w:t>
      </w:r>
      <w:bookmarkEnd w:id="138"/>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pPr>
      <w:r>
        <w:tab/>
        <w:t xml:space="preserve">[Regulation 52 amended: Gazette 19 May 1989 p. 1495.] </w:t>
      </w:r>
    </w:p>
    <w:p>
      <w:pPr>
        <w:pStyle w:val="Heading5"/>
        <w:rPr>
          <w:snapToGrid w:val="0"/>
        </w:rPr>
      </w:pPr>
      <w:bookmarkStart w:id="139" w:name="_Toc12881285"/>
      <w:r>
        <w:rPr>
          <w:rStyle w:val="CharSectno"/>
        </w:rPr>
        <w:t>53</w:t>
      </w:r>
      <w:r>
        <w:rPr>
          <w:snapToGrid w:val="0"/>
        </w:rPr>
        <w:t>.</w:t>
      </w:r>
      <w:r>
        <w:rPr>
          <w:snapToGrid w:val="0"/>
        </w:rPr>
        <w:tab/>
        <w:t>Rubbish etc. not to be thrown</w:t>
      </w:r>
      <w:bookmarkEnd w:id="139"/>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Gazette 19 May 1989 p. 1495.] </w:t>
      </w:r>
    </w:p>
    <w:p>
      <w:pPr>
        <w:pStyle w:val="Heading5"/>
      </w:pPr>
      <w:bookmarkStart w:id="140" w:name="_Toc12881286"/>
      <w:r>
        <w:rPr>
          <w:rStyle w:val="CharSectno"/>
        </w:rPr>
        <w:t>53A</w:t>
      </w:r>
      <w:r>
        <w:t>.</w:t>
      </w:r>
      <w:r>
        <w:tab/>
        <w:t>Charges for rubbish removal</w:t>
      </w:r>
      <w:bookmarkEnd w:id="140"/>
    </w:p>
    <w:p>
      <w:pPr>
        <w:pStyle w:val="Subsection"/>
      </w:pPr>
      <w:r>
        <w:tab/>
      </w:r>
      <w:r>
        <w:tab/>
        <w:t>The charges (if any) payable for removal of rubbish by the Department are as set out in a Schedule.</w:t>
      </w:r>
    </w:p>
    <w:p>
      <w:pPr>
        <w:pStyle w:val="Footnotesection"/>
      </w:pPr>
      <w:r>
        <w:tab/>
        <w:t>[Regulation 53A inserted: Gazette 22 Jun 2007 p. 2909; amended: Gazette 25 Jul 2014 p. 2611; 22 Jul 2015 p. 2954.]</w:t>
      </w:r>
    </w:p>
    <w:p>
      <w:pPr>
        <w:pStyle w:val="Heading5"/>
        <w:rPr>
          <w:snapToGrid w:val="0"/>
        </w:rPr>
      </w:pPr>
      <w:bookmarkStart w:id="141" w:name="_Toc12881287"/>
      <w:r>
        <w:rPr>
          <w:rStyle w:val="CharSectno"/>
        </w:rPr>
        <w:t>54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articles prohibited</w:t>
      </w:r>
      <w:bookmarkEnd w:id="141"/>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Gazette 19 May 1989 p. 1495.] </w:t>
      </w:r>
    </w:p>
    <w:p>
      <w:pPr>
        <w:pStyle w:val="Heading5"/>
        <w:rPr>
          <w:snapToGrid w:val="0"/>
        </w:rPr>
      </w:pPr>
      <w:bookmarkStart w:id="142" w:name="_Toc12881288"/>
      <w:r>
        <w:rPr>
          <w:rStyle w:val="CharSectno"/>
        </w:rPr>
        <w:t>55</w:t>
      </w:r>
      <w:r>
        <w:rPr>
          <w:snapToGrid w:val="0"/>
        </w:rPr>
        <w:t>.</w:t>
      </w:r>
      <w:r>
        <w:rPr>
          <w:snapToGrid w:val="0"/>
        </w:rPr>
        <w:tab/>
        <w:t>Smoking and loitering</w:t>
      </w:r>
      <w:bookmarkEnd w:id="142"/>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Gazette 19 May 1989 p. 1495.] </w:t>
      </w:r>
    </w:p>
    <w:p>
      <w:pPr>
        <w:pStyle w:val="Heading5"/>
        <w:rPr>
          <w:snapToGrid w:val="0"/>
        </w:rPr>
      </w:pPr>
      <w:bookmarkStart w:id="143" w:name="_Toc12881289"/>
      <w:r>
        <w:rPr>
          <w:rStyle w:val="CharSectno"/>
        </w:rPr>
        <w:t>56</w:t>
      </w:r>
      <w:r>
        <w:rPr>
          <w:snapToGrid w:val="0"/>
        </w:rPr>
        <w:t>.</w:t>
      </w:r>
      <w:r>
        <w:rPr>
          <w:snapToGrid w:val="0"/>
        </w:rPr>
        <w:tab/>
        <w:t>Trespassing</w:t>
      </w:r>
      <w:bookmarkEnd w:id="143"/>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Gazette 19 May 1989 p. 1495.] </w:t>
      </w:r>
    </w:p>
    <w:p>
      <w:pPr>
        <w:pStyle w:val="Ednotesection"/>
      </w:pPr>
      <w:r>
        <w:t>[</w:t>
      </w:r>
      <w:r>
        <w:rPr>
          <w:b/>
        </w:rPr>
        <w:t>57</w:t>
      </w:r>
      <w:r>
        <w:rPr>
          <w:b/>
        </w:rPr>
        <w:noBreakHyphen/>
        <w:t>67.</w:t>
      </w:r>
      <w:r>
        <w:tab/>
        <w:t xml:space="preserve">Deleted: Gazette 24 Nov 1972 p. 4487.] </w:t>
      </w:r>
    </w:p>
    <w:p>
      <w:pPr>
        <w:pStyle w:val="Heading5"/>
        <w:rPr>
          <w:snapToGrid w:val="0"/>
        </w:rPr>
      </w:pPr>
      <w:bookmarkStart w:id="144" w:name="_Toc12881290"/>
      <w:r>
        <w:rPr>
          <w:rStyle w:val="CharSectno"/>
        </w:rPr>
        <w:t>67A</w:t>
      </w:r>
      <w:r>
        <w:rPr>
          <w:snapToGrid w:val="0"/>
        </w:rPr>
        <w:t>.</w:t>
      </w:r>
      <w:r>
        <w:rPr>
          <w:snapToGrid w:val="0"/>
        </w:rPr>
        <w:tab/>
        <w:t>Conditions for construction and installation of pipelines</w:t>
      </w:r>
      <w:bookmarkEnd w:id="144"/>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Gazette 17 Mar 1960 p. 779; amended: Gazette 28 Sep 1960 p. 2987; 16 Sep 1963 p. 2829; 15 Jun 1973 p. 2237 (erratum 13 Dec 1974 p. 5344); 30 Dec 2004 p. 6953.] </w:t>
      </w:r>
    </w:p>
    <w:p>
      <w:pPr>
        <w:pStyle w:val="Heading5"/>
        <w:spacing w:before="240"/>
        <w:rPr>
          <w:snapToGrid w:val="0"/>
        </w:rPr>
      </w:pPr>
      <w:bookmarkStart w:id="145" w:name="_Toc12881291"/>
      <w:r>
        <w:rPr>
          <w:rStyle w:val="CharSectno"/>
        </w:rPr>
        <w:t>67B</w:t>
      </w:r>
      <w:r>
        <w:rPr>
          <w:snapToGrid w:val="0"/>
        </w:rPr>
        <w:t>.</w:t>
      </w:r>
      <w:r>
        <w:rPr>
          <w:snapToGrid w:val="0"/>
        </w:rPr>
        <w:tab/>
        <w:t>Maintenance and operation of pipelines</w:t>
      </w:r>
      <w:bookmarkEnd w:id="145"/>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Gazette 17 Mar 1960 p. 780; amended: Gazette 20 Dec 1962 p. 4054; 16 Sep 1963 p. 2829; 15 Jun 1973 p. 2237; 6 Feb 1981 p. 555; 24 Aug 2004 p. 3659.] </w:t>
      </w:r>
    </w:p>
    <w:p>
      <w:pPr>
        <w:pStyle w:val="Ednotesection"/>
      </w:pPr>
      <w:r>
        <w:t>[</w:t>
      </w:r>
      <w:r>
        <w:rPr>
          <w:b/>
        </w:rPr>
        <w:t>67C.</w:t>
      </w:r>
      <w:r>
        <w:tab/>
        <w:t xml:space="preserve">Deleted: Gazette 14 Apr 1966 p. 918.] </w:t>
      </w:r>
    </w:p>
    <w:p>
      <w:pPr>
        <w:pStyle w:val="Heading5"/>
        <w:rPr>
          <w:snapToGrid w:val="0"/>
        </w:rPr>
      </w:pPr>
      <w:bookmarkStart w:id="146" w:name="_Toc12881292"/>
      <w:r>
        <w:rPr>
          <w:rStyle w:val="CharSectno"/>
        </w:rPr>
        <w:t>67D</w:t>
      </w:r>
      <w:r>
        <w:rPr>
          <w:snapToGrid w:val="0"/>
        </w:rPr>
        <w:t>.</w:t>
      </w:r>
      <w:r>
        <w:rPr>
          <w:snapToGrid w:val="0"/>
        </w:rPr>
        <w:tab/>
        <w:t>Penalty for failure to remove or amend pipeline</w:t>
      </w:r>
      <w:bookmarkEnd w:id="146"/>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Gazette 17 Mar 1960 p. 783; renumbered 67D: Gazette 28 Sep 1960 p. 2988; amended: Gazette 30 Dec 2004 p. 6953.] </w:t>
      </w:r>
    </w:p>
    <w:p>
      <w:pPr>
        <w:pStyle w:val="Heading5"/>
      </w:pPr>
      <w:bookmarkStart w:id="147" w:name="_Toc12881293"/>
      <w:r>
        <w:rPr>
          <w:rStyle w:val="CharSectno"/>
        </w:rPr>
        <w:t>67DA</w:t>
      </w:r>
      <w:r>
        <w:t>.</w:t>
      </w:r>
      <w:r>
        <w:tab/>
        <w:t>Fuelling vessels at service jetties limited</w:t>
      </w:r>
      <w:bookmarkEnd w:id="147"/>
    </w:p>
    <w:p>
      <w:pPr>
        <w:pStyle w:val="Subsection"/>
      </w:pPr>
      <w:r>
        <w:tab/>
      </w:r>
      <w:r>
        <w:tab/>
        <w:t xml:space="preserve">A person must not fuel a vessel from an alongside berth at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Gazette 7 Dec 2007 p. 5984; amended: Gazette 25 Jul 2014 p. 2612.]</w:t>
      </w:r>
    </w:p>
    <w:p>
      <w:pPr>
        <w:pStyle w:val="Heading5"/>
      </w:pPr>
      <w:bookmarkStart w:id="148" w:name="_Toc12881294"/>
      <w:bookmarkStart w:id="149" w:name="_Toc11752981"/>
      <w:r>
        <w:rPr>
          <w:rStyle w:val="CharSectno"/>
        </w:rPr>
        <w:t>67DB</w:t>
      </w:r>
      <w:r>
        <w:t>.</w:t>
      </w:r>
      <w:r>
        <w:tab/>
        <w:t>Waiving charges in emergencies</w:t>
      </w:r>
      <w:bookmarkEnd w:id="148"/>
    </w:p>
    <w:p>
      <w:pPr>
        <w:pStyle w:val="Subsection"/>
      </w:pPr>
      <w:r>
        <w:tab/>
      </w:r>
      <w:r>
        <w:tab/>
        <w:t>The chief executive officer of the Department may waive a due or charge payable under these regulations for the use of an alongside berth at a service jetty by a vessel in need of emergency repair.</w:t>
      </w:r>
    </w:p>
    <w:p>
      <w:pPr>
        <w:pStyle w:val="Footnotesection"/>
      </w:pPr>
      <w:r>
        <w:tab/>
        <w:t>[Regulation 67DB inserted: Gazette 31 May 2019 p. 1757.]</w:t>
      </w:r>
    </w:p>
    <w:p>
      <w:pPr>
        <w:pStyle w:val="Heading5"/>
      </w:pPr>
      <w:bookmarkStart w:id="150" w:name="_Toc12881295"/>
      <w:r>
        <w:rPr>
          <w:rStyle w:val="CharSectno"/>
        </w:rPr>
        <w:t>67DC</w:t>
      </w:r>
      <w:r>
        <w:t>.</w:t>
      </w:r>
      <w:r>
        <w:tab/>
        <w:t>Controlling short term access to service jetty</w:t>
      </w:r>
      <w:bookmarkEnd w:id="150"/>
    </w:p>
    <w:p>
      <w:pPr>
        <w:pStyle w:val="Subsection"/>
      </w:pPr>
      <w:r>
        <w:tab/>
      </w:r>
      <w:r>
        <w:tab/>
        <w:t>An officer of the Department may direct that, in particular circumstances, a particular type of vessel, or a particular type of short term use, has precedence for short term access to a service jetty.</w:t>
      </w:r>
    </w:p>
    <w:p>
      <w:pPr>
        <w:pStyle w:val="Footnotesection"/>
      </w:pPr>
      <w:r>
        <w:tab/>
        <w:t>[Regulation 67DC inserted: Gazette 31 May 2019 p. 1757.]</w:t>
      </w:r>
    </w:p>
    <w:p>
      <w:pPr>
        <w:pStyle w:val="Heading2"/>
      </w:pPr>
      <w:bookmarkStart w:id="151" w:name="_Toc11766600"/>
      <w:bookmarkStart w:id="152" w:name="_Toc11768541"/>
      <w:bookmarkStart w:id="153" w:name="_Toc11828332"/>
      <w:bookmarkStart w:id="154" w:name="_Toc12028098"/>
      <w:bookmarkStart w:id="155" w:name="_Toc12881296"/>
      <w:r>
        <w:rPr>
          <w:rStyle w:val="CharPartNo"/>
        </w:rPr>
        <w:t>Part 2</w:t>
      </w:r>
      <w:r>
        <w:t> — </w:t>
      </w:r>
      <w:r>
        <w:rPr>
          <w:rStyle w:val="CharPartText"/>
        </w:rPr>
        <w:t xml:space="preserve">Regulations applying to jetties within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149"/>
      <w:bookmarkEnd w:id="151"/>
      <w:bookmarkEnd w:id="152"/>
      <w:bookmarkEnd w:id="153"/>
      <w:bookmarkEnd w:id="154"/>
      <w:bookmarkEnd w:id="155"/>
      <w:r>
        <w:rPr>
          <w:rStyle w:val="CharPartText"/>
        </w:rPr>
        <w:t xml:space="preserve"> </w:t>
      </w:r>
    </w:p>
    <w:p>
      <w:pPr>
        <w:pStyle w:val="Footnoteheading"/>
      </w:pPr>
      <w:r>
        <w:tab/>
        <w:t xml:space="preserve">[Heading inserted: Gazette 19 May 1989 p. 1494.] </w:t>
      </w:r>
    </w:p>
    <w:p>
      <w:pPr>
        <w:pStyle w:val="Heading3"/>
        <w:rPr>
          <w:snapToGrid w:val="0"/>
        </w:rPr>
      </w:pPr>
      <w:bookmarkStart w:id="156" w:name="_Toc11752982"/>
      <w:bookmarkStart w:id="157" w:name="_Toc11766601"/>
      <w:bookmarkStart w:id="158" w:name="_Toc11768542"/>
      <w:bookmarkStart w:id="159" w:name="_Toc11828333"/>
      <w:bookmarkStart w:id="160" w:name="_Toc12028099"/>
      <w:bookmarkStart w:id="161" w:name="_Toc12881297"/>
      <w:r>
        <w:rPr>
          <w:rStyle w:val="CharDivNo"/>
        </w:rPr>
        <w:t>Division 1</w:t>
      </w:r>
      <w:r>
        <w:rPr>
          <w:snapToGrid w:val="0"/>
        </w:rPr>
        <w:t> — </w:t>
      </w:r>
      <w:r>
        <w:rPr>
          <w:rStyle w:val="CharDivText"/>
        </w:rPr>
        <w:t>Application of this Part</w:t>
      </w:r>
      <w:bookmarkEnd w:id="156"/>
      <w:bookmarkEnd w:id="157"/>
      <w:bookmarkEnd w:id="158"/>
      <w:bookmarkEnd w:id="159"/>
      <w:bookmarkEnd w:id="160"/>
      <w:bookmarkEnd w:id="161"/>
      <w:r>
        <w:rPr>
          <w:rStyle w:val="CharDivText"/>
        </w:rPr>
        <w:t xml:space="preserve"> </w:t>
      </w:r>
    </w:p>
    <w:p>
      <w:pPr>
        <w:pStyle w:val="Footnoteheading"/>
      </w:pPr>
      <w:r>
        <w:tab/>
        <w:t xml:space="preserve">[Heading inserted: Gazette 19 May 1989 p. 1494.] </w:t>
      </w:r>
    </w:p>
    <w:p>
      <w:pPr>
        <w:pStyle w:val="Heading5"/>
        <w:rPr>
          <w:snapToGrid w:val="0"/>
        </w:rPr>
      </w:pPr>
      <w:bookmarkStart w:id="162" w:name="_Toc12881298"/>
      <w:r>
        <w:rPr>
          <w:rStyle w:val="CharSectno"/>
        </w:rPr>
        <w:t>67E</w:t>
      </w:r>
      <w:r>
        <w:rPr>
          <w:snapToGrid w:val="0"/>
        </w:rPr>
        <w:t>.</w:t>
      </w:r>
      <w:r>
        <w:rPr>
          <w:snapToGrid w:val="0"/>
        </w:rPr>
        <w:tab/>
        <w:t>Application</w:t>
      </w:r>
      <w:bookmarkEnd w:id="162"/>
      <w:r>
        <w:rPr>
          <w:snapToGrid w:val="0"/>
        </w:rPr>
        <w:t xml:space="preserve"> </w:t>
      </w:r>
    </w:p>
    <w:p>
      <w:pPr>
        <w:pStyle w:val="Subsection"/>
        <w:rPr>
          <w:snapToGrid w:val="0"/>
        </w:rPr>
      </w:pPr>
      <w:r>
        <w:rPr>
          <w:snapToGrid w:val="0"/>
        </w:rPr>
        <w:tab/>
      </w:r>
      <w:r>
        <w:rPr>
          <w:snapToGrid w:val="0"/>
        </w:rPr>
        <w:tab/>
        <w:t xml:space="preserve">This Part applies to all jetties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w:t>
      </w:r>
    </w:p>
    <w:p>
      <w:pPr>
        <w:pStyle w:val="Footnoteheading"/>
      </w:pPr>
      <w:r>
        <w:tab/>
        <w:t xml:space="preserve">[Regulation 67E inserted: Gazette 19 May 1989 p. 1494.] </w:t>
      </w:r>
    </w:p>
    <w:p>
      <w:pPr>
        <w:pStyle w:val="Heading3"/>
        <w:rPr>
          <w:snapToGrid w:val="0"/>
        </w:rPr>
      </w:pPr>
      <w:bookmarkStart w:id="163" w:name="_Toc11752984"/>
      <w:bookmarkStart w:id="164" w:name="_Toc11766603"/>
      <w:bookmarkStart w:id="165" w:name="_Toc11768544"/>
      <w:bookmarkStart w:id="166" w:name="_Toc11828335"/>
      <w:bookmarkStart w:id="167" w:name="_Toc12028101"/>
      <w:bookmarkStart w:id="168" w:name="_Toc12881299"/>
      <w:r>
        <w:rPr>
          <w:rStyle w:val="CharDivNo"/>
        </w:rPr>
        <w:t>Division 2</w:t>
      </w:r>
      <w:r>
        <w:rPr>
          <w:snapToGrid w:val="0"/>
        </w:rPr>
        <w:t> — </w:t>
      </w:r>
      <w:r>
        <w:rPr>
          <w:rStyle w:val="CharDivText"/>
        </w:rPr>
        <w:t>Management and use of jetties</w:t>
      </w:r>
      <w:bookmarkEnd w:id="163"/>
      <w:bookmarkEnd w:id="164"/>
      <w:bookmarkEnd w:id="165"/>
      <w:bookmarkEnd w:id="166"/>
      <w:bookmarkEnd w:id="167"/>
      <w:bookmarkEnd w:id="168"/>
      <w:r>
        <w:rPr>
          <w:rStyle w:val="CharDivText"/>
        </w:rPr>
        <w:t xml:space="preserve"> </w:t>
      </w:r>
    </w:p>
    <w:p>
      <w:pPr>
        <w:pStyle w:val="Footnoteheading"/>
        <w:rPr>
          <w:snapToGrid w:val="0"/>
        </w:rPr>
      </w:pPr>
      <w:r>
        <w:rPr>
          <w:snapToGrid w:val="0"/>
        </w:rPr>
        <w:tab/>
        <w:t xml:space="preserve">[Heading inserted: Gazette 19 May 1989 p. 1494.] </w:t>
      </w:r>
    </w:p>
    <w:p>
      <w:pPr>
        <w:pStyle w:val="Heading5"/>
        <w:rPr>
          <w:snapToGrid w:val="0"/>
        </w:rPr>
      </w:pPr>
      <w:bookmarkStart w:id="169" w:name="_Toc12881300"/>
      <w:r>
        <w:rPr>
          <w:rStyle w:val="CharSectno"/>
        </w:rPr>
        <w:t>68</w:t>
      </w:r>
      <w:r>
        <w:rPr>
          <w:snapToGrid w:val="0"/>
        </w:rPr>
        <w:t>.</w:t>
      </w:r>
      <w:r>
        <w:rPr>
          <w:snapToGrid w:val="0"/>
        </w:rPr>
        <w:tab/>
        <w:t>Control of jetties</w:t>
      </w:r>
      <w:bookmarkEnd w:id="169"/>
      <w:r>
        <w:rPr>
          <w:snapToGrid w:val="0"/>
        </w:rPr>
        <w:t xml:space="preserve"> </w:t>
      </w:r>
    </w:p>
    <w:p>
      <w:pPr>
        <w:pStyle w:val="Subsection"/>
        <w:rPr>
          <w:snapToGrid w:val="0"/>
        </w:rPr>
      </w:pPr>
      <w:r>
        <w:rPr>
          <w:snapToGrid w:val="0"/>
        </w:rPr>
        <w:tab/>
      </w:r>
      <w:r>
        <w:rPr>
          <w:snapToGrid w:val="0"/>
        </w:rPr>
        <w:tab/>
        <w:t xml:space="preserve">All public jetties in the </w:t>
      </w:r>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r>
        <w:t xml:space="preserve">, except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w:t>
      </w:r>
      <w:r>
        <w:rPr>
          <w:snapToGrid w:val="0"/>
        </w:rPr>
        <w:t>shall henceforth be under the control of the Department.</w:t>
      </w:r>
    </w:p>
    <w:p>
      <w:pPr>
        <w:pStyle w:val="Footnotesection"/>
      </w:pPr>
      <w:r>
        <w:tab/>
        <w:t xml:space="preserve">[Regulation 68 amended: Gazette 19 May 1989 p. 1495; 27 Jun 2003 p. 2502.] </w:t>
      </w:r>
    </w:p>
    <w:p>
      <w:pPr>
        <w:pStyle w:val="Heading5"/>
        <w:rPr>
          <w:snapToGrid w:val="0"/>
        </w:rPr>
      </w:pPr>
      <w:bookmarkStart w:id="170" w:name="_Toc12881301"/>
      <w:r>
        <w:rPr>
          <w:rStyle w:val="CharSectno"/>
        </w:rPr>
        <w:t>69</w:t>
      </w:r>
      <w:r>
        <w:rPr>
          <w:snapToGrid w:val="0"/>
        </w:rPr>
        <w:t>.</w:t>
      </w:r>
      <w:r>
        <w:rPr>
          <w:snapToGrid w:val="0"/>
        </w:rPr>
        <w:tab/>
        <w:t>Use of jetties</w:t>
      </w:r>
      <w:bookmarkEnd w:id="170"/>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Gazette 19 May 1989 p. 1495.] </w:t>
      </w:r>
    </w:p>
    <w:p>
      <w:pPr>
        <w:pStyle w:val="Heading5"/>
        <w:keepLines w:val="0"/>
        <w:rPr>
          <w:snapToGrid w:val="0"/>
        </w:rPr>
      </w:pPr>
      <w:bookmarkStart w:id="171" w:name="_Toc12881302"/>
      <w:r>
        <w:rPr>
          <w:rStyle w:val="CharSectno"/>
        </w:rPr>
        <w:t>70</w:t>
      </w:r>
      <w:r>
        <w:rPr>
          <w:snapToGrid w:val="0"/>
        </w:rPr>
        <w:t>.</w:t>
      </w:r>
      <w:r>
        <w:rPr>
          <w:snapToGrid w:val="0"/>
        </w:rPr>
        <w:tab/>
        <w:t>Jetties may be closed</w:t>
      </w:r>
      <w:bookmarkEnd w:id="171"/>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Gazette 19 May 1989 p. 1495.] </w:t>
      </w:r>
    </w:p>
    <w:p>
      <w:pPr>
        <w:pStyle w:val="Ednotesection"/>
      </w:pPr>
      <w:r>
        <w:t>[</w:t>
      </w:r>
      <w:r>
        <w:rPr>
          <w:b/>
        </w:rPr>
        <w:t>70A.</w:t>
      </w:r>
      <w:r>
        <w:tab/>
        <w:t>Deleted: Gazette 27 Jun 2003 p. 2502.]</w:t>
      </w:r>
    </w:p>
    <w:p>
      <w:pPr>
        <w:pStyle w:val="Ednotesection"/>
      </w:pPr>
      <w:r>
        <w:t>[</w:t>
      </w:r>
      <w:r>
        <w:rPr>
          <w:b/>
        </w:rPr>
        <w:t>70B.</w:t>
      </w:r>
      <w:r>
        <w:rPr>
          <w:b/>
        </w:rPr>
        <w:tab/>
      </w:r>
      <w:r>
        <w:t>Deleted: Gazette 25 Jun 2004 p. 2270.]</w:t>
      </w:r>
    </w:p>
    <w:p>
      <w:pPr>
        <w:pStyle w:val="Heading3"/>
        <w:rPr>
          <w:snapToGrid w:val="0"/>
        </w:rPr>
      </w:pPr>
      <w:bookmarkStart w:id="172" w:name="_Toc11752988"/>
      <w:bookmarkStart w:id="173" w:name="_Toc11766607"/>
      <w:bookmarkStart w:id="174" w:name="_Toc11768548"/>
      <w:bookmarkStart w:id="175" w:name="_Toc11828339"/>
      <w:bookmarkStart w:id="176" w:name="_Toc12028105"/>
      <w:bookmarkStart w:id="177" w:name="_Toc12881303"/>
      <w:r>
        <w:rPr>
          <w:rStyle w:val="CharDivNo"/>
        </w:rPr>
        <w:t>Division 3</w:t>
      </w:r>
      <w:r>
        <w:rPr>
          <w:snapToGrid w:val="0"/>
        </w:rPr>
        <w:t> — </w:t>
      </w:r>
      <w:r>
        <w:rPr>
          <w:rStyle w:val="CharDivText"/>
        </w:rPr>
        <w:t>Mooring and berthing of vessels</w:t>
      </w:r>
      <w:bookmarkEnd w:id="172"/>
      <w:bookmarkEnd w:id="173"/>
      <w:bookmarkEnd w:id="174"/>
      <w:bookmarkEnd w:id="175"/>
      <w:bookmarkEnd w:id="176"/>
      <w:bookmarkEnd w:id="177"/>
      <w:r>
        <w:rPr>
          <w:rStyle w:val="CharDivText"/>
        </w:rPr>
        <w:t xml:space="preserve"> </w:t>
      </w:r>
    </w:p>
    <w:p>
      <w:pPr>
        <w:pStyle w:val="Footnoteheading"/>
      </w:pPr>
      <w:r>
        <w:tab/>
        <w:t xml:space="preserve">[Heading inserted: Gazette 19 May 1989 p. 1494.] </w:t>
      </w:r>
    </w:p>
    <w:p>
      <w:pPr>
        <w:pStyle w:val="Heading5"/>
        <w:keepNext w:val="0"/>
        <w:keepLines w:val="0"/>
        <w:rPr>
          <w:snapToGrid w:val="0"/>
        </w:rPr>
      </w:pPr>
      <w:bookmarkStart w:id="178" w:name="_Toc12881304"/>
      <w:r>
        <w:rPr>
          <w:rStyle w:val="CharSectno"/>
        </w:rPr>
        <w:t>71</w:t>
      </w:r>
      <w:r>
        <w:rPr>
          <w:snapToGrid w:val="0"/>
        </w:rPr>
        <w:t>.</w:t>
      </w:r>
      <w:r>
        <w:rPr>
          <w:snapToGrid w:val="0"/>
        </w:rPr>
        <w:tab/>
        <w:t>Permit required to moor etc. alongside jetty or buoy</w:t>
      </w:r>
      <w:bookmarkEnd w:id="178"/>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Gazette 19 May 1989 p. 1495.] </w:t>
      </w:r>
    </w:p>
    <w:p>
      <w:pPr>
        <w:pStyle w:val="Heading5"/>
        <w:rPr>
          <w:snapToGrid w:val="0"/>
        </w:rPr>
      </w:pPr>
      <w:bookmarkStart w:id="179" w:name="_Toc12881305"/>
      <w:r>
        <w:rPr>
          <w:rStyle w:val="CharSectno"/>
        </w:rPr>
        <w:t>72</w:t>
      </w:r>
      <w:r>
        <w:rPr>
          <w:snapToGrid w:val="0"/>
        </w:rPr>
        <w:t>.</w:t>
      </w:r>
      <w:r>
        <w:rPr>
          <w:snapToGrid w:val="0"/>
        </w:rPr>
        <w:tab/>
        <w:t>Duration of, and charges for, permits</w:t>
      </w:r>
      <w:bookmarkEnd w:id="179"/>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w:t>
      </w:r>
      <w:r>
        <w:t xml:space="preserve">charge </w:t>
      </w:r>
      <w:r>
        <w:rPr>
          <w:snapToGrid w:val="0"/>
        </w:rPr>
        <w:t xml:space="preserve">set out in </w:t>
      </w:r>
      <w:r>
        <w:t xml:space="preserve">Schedule 3, or provided for in subregulation (3A), </w:t>
      </w:r>
      <w:r>
        <w:rPr>
          <w:snapToGrid w:val="0"/>
        </w:rPr>
        <w:t>has been paid to the Department.</w:t>
      </w:r>
    </w:p>
    <w:p>
      <w:pPr>
        <w:pStyle w:val="Subsection"/>
      </w:pPr>
      <w:r>
        <w:tab/>
        <w:t>(3A)</w:t>
      </w:r>
      <w:r>
        <w:tab/>
        <w:t xml:space="preserve">The charges payable for the use of a pen by a catamaran at a place specified in Schedule 3 are as follows — </w:t>
      </w:r>
    </w:p>
    <w:p>
      <w:pPr>
        <w:pStyle w:val="Indenta"/>
      </w:pPr>
      <w:r>
        <w:tab/>
        <w:t>(a)</w:t>
      </w:r>
      <w:r>
        <w:tab/>
        <w:t xml:space="preserve">for casual daily use — </w:t>
      </w:r>
    </w:p>
    <w:p>
      <w:pPr>
        <w:pStyle w:val="Indenti"/>
      </w:pPr>
      <w:r>
        <w:tab/>
        <w:t>(i)</w:t>
      </w:r>
      <w:r>
        <w:tab/>
        <w:t>by a commercial vessel — an amount calculated using standard Rate 1 set out in Schedule 3 clause 2;</w:t>
      </w:r>
    </w:p>
    <w:p>
      <w:pPr>
        <w:pStyle w:val="Indenti"/>
      </w:pPr>
      <w:r>
        <w:tab/>
        <w:t>(ii)</w:t>
      </w:r>
      <w:r>
        <w:tab/>
        <w:t>by a recreational vessel — an amount calculated using standard Rate 2 set out in Schedule 3 clause 2;</w:t>
      </w:r>
    </w:p>
    <w:p>
      <w:pPr>
        <w:pStyle w:val="Indenta"/>
      </w:pPr>
      <w:r>
        <w:tab/>
        <w:t>(b)</w:t>
      </w:r>
      <w:r>
        <w:tab/>
        <w:t xml:space="preserve">for use, other than casual daily use, the charge calculated in accordance with the following formula — </w:t>
      </w:r>
    </w:p>
    <w:p>
      <w:pPr>
        <w:pStyle w:val="Indenta"/>
      </w:pPr>
      <m:oMathPara>
        <m:oMathParaPr>
          <m:jc m:val="left"/>
        </m:oMathParaPr>
        <m:oMath>
          <m:r>
            <m:rPr>
              <m:sty m:val="p"/>
            </m:rPr>
            <w:rPr>
              <w:rFonts w:ascii="Cambria Math" w:hAnsi="Cambria Math"/>
            </w:rPr>
            <m:t>P×1.5</m:t>
          </m:r>
        </m:oMath>
      </m:oMathPara>
    </w:p>
    <w:p>
      <w:pPr>
        <w:pStyle w:val="Indenta"/>
      </w:pPr>
      <w:r>
        <w:tab/>
      </w:r>
      <w:r>
        <w:tab/>
        <w:t xml:space="preserve">where — </w:t>
      </w:r>
    </w:p>
    <w:p>
      <w:pPr>
        <w:pStyle w:val="Indenta"/>
        <w:ind w:left="1985" w:hanging="1985"/>
      </w:pPr>
      <w:r>
        <w:tab/>
      </w:r>
      <w:r>
        <w:tab/>
        <w:t>P</w:t>
      </w:r>
      <w:r>
        <w:tab/>
        <w:t>is the charge set out in Schedule 3 that applies to the use, other than casual daily use, at that place of a pen (of the type used by the catamaran) by a vessel of the class to which the catamaran belongs.</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pPr>
        <w:pStyle w:val="Footnotesection"/>
      </w:pPr>
      <w:r>
        <w:tab/>
        <w:t>[Regulation 72 inserted: Gazette 25 Nov 1983 p. 4669</w:t>
      </w:r>
      <w:r>
        <w:noBreakHyphen/>
        <w:t>70; amended: Gazette 30 Aug 1985 p. 3077; 16 Oct 1987 p. 3893; 29 Jun 1989 p. 1917</w:t>
      </w:r>
      <w:r>
        <w:noBreakHyphen/>
        <w:t>18; 1 Aug 1990 p. 3633; 30 Jun 1992 p. 2893; 24 Jun 2005 p. 2817; 25 Jul 2014 p. 2612; 25 May 2018 p. 1670; 31 May 2019 p. 1757</w:t>
      </w:r>
      <w:r>
        <w:noBreakHyphen/>
        <w:t xml:space="preserve">8.] </w:t>
      </w:r>
    </w:p>
    <w:p>
      <w:pPr>
        <w:pStyle w:val="Heading5"/>
        <w:rPr>
          <w:snapToGrid w:val="0"/>
        </w:rPr>
      </w:pPr>
      <w:bookmarkStart w:id="180" w:name="_Toc12881306"/>
      <w:r>
        <w:rPr>
          <w:rStyle w:val="CharSectno"/>
        </w:rPr>
        <w:t>73</w:t>
      </w:r>
      <w:r>
        <w:rPr>
          <w:snapToGrid w:val="0"/>
        </w:rPr>
        <w:t>.</w:t>
      </w:r>
      <w:r>
        <w:rPr>
          <w:snapToGrid w:val="0"/>
        </w:rPr>
        <w:tab/>
        <w:t>Permit for exclusive use of berth</w:t>
      </w:r>
      <w:bookmarkEnd w:id="180"/>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tab/>
        <w:t>(1A)</w:t>
      </w:r>
      <w:r>
        <w:tab/>
        <w:t>A permit for the exclusive use of a berth granted under subregulation (1) remains in force for such period as is specified on the permit, which may exceed 1 year from the date of issue.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Gazette 31 Mar 1978 p. 990; amended: Gazette 25 Nov 1983 p. 4670; 26 May 2017 p. 2623.] </w:t>
      </w:r>
    </w:p>
    <w:p>
      <w:pPr>
        <w:pStyle w:val="Heading5"/>
        <w:rPr>
          <w:snapToGrid w:val="0"/>
        </w:rPr>
      </w:pPr>
      <w:bookmarkStart w:id="181" w:name="_Toc12881307"/>
      <w:r>
        <w:rPr>
          <w:rStyle w:val="CharSectno"/>
        </w:rPr>
        <w:t>74</w:t>
      </w:r>
      <w:r>
        <w:rPr>
          <w:snapToGrid w:val="0"/>
        </w:rPr>
        <w:t>.</w:t>
      </w:r>
      <w:r>
        <w:rPr>
          <w:snapToGrid w:val="0"/>
        </w:rPr>
        <w:tab/>
        <w:t>Manner of mooring vessels</w:t>
      </w:r>
      <w:bookmarkEnd w:id="181"/>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Gazette 19 May 1989 p. 1495.] </w:t>
      </w:r>
    </w:p>
    <w:p>
      <w:pPr>
        <w:pStyle w:val="Heading5"/>
        <w:rPr>
          <w:snapToGrid w:val="0"/>
        </w:rPr>
      </w:pPr>
      <w:bookmarkStart w:id="182" w:name="_Toc12881308"/>
      <w:r>
        <w:rPr>
          <w:rStyle w:val="CharSectno"/>
        </w:rPr>
        <w:t>75</w:t>
      </w:r>
      <w:r>
        <w:rPr>
          <w:snapToGrid w:val="0"/>
        </w:rPr>
        <w:t>.</w:t>
      </w:r>
      <w:r>
        <w:rPr>
          <w:snapToGrid w:val="0"/>
        </w:rPr>
        <w:tab/>
        <w:t>Vessels not to remain at jetties longer than necessary</w:t>
      </w:r>
      <w:bookmarkEnd w:id="182"/>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Gazette 19 May 1989 p. 1495.] </w:t>
      </w:r>
    </w:p>
    <w:p>
      <w:pPr>
        <w:pStyle w:val="Heading5"/>
        <w:rPr>
          <w:snapToGrid w:val="0"/>
        </w:rPr>
      </w:pPr>
      <w:bookmarkStart w:id="183" w:name="_Toc12881309"/>
      <w:r>
        <w:rPr>
          <w:rStyle w:val="CharSectno"/>
        </w:rPr>
        <w:t>76</w:t>
      </w:r>
      <w:r>
        <w:rPr>
          <w:snapToGrid w:val="0"/>
        </w:rPr>
        <w:t>.</w:t>
      </w:r>
      <w:r>
        <w:rPr>
          <w:snapToGrid w:val="0"/>
        </w:rPr>
        <w:tab/>
        <w:t>Mooring of rafts and boathouses</w:t>
      </w:r>
      <w:bookmarkEnd w:id="183"/>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 xml:space="preserve">[Regulation 76 amended: Gazette 15 Jun 1973 p. 2238; 19 May 1989 p. 1495; 24 Aug 2004 p. 3659.] </w:t>
      </w:r>
    </w:p>
    <w:p>
      <w:pPr>
        <w:pStyle w:val="Heading5"/>
        <w:rPr>
          <w:snapToGrid w:val="0"/>
        </w:rPr>
      </w:pPr>
      <w:bookmarkStart w:id="184" w:name="_Toc12881310"/>
      <w:r>
        <w:rPr>
          <w:rStyle w:val="CharSectno"/>
        </w:rPr>
        <w:t>77</w:t>
      </w:r>
      <w:r>
        <w:rPr>
          <w:snapToGrid w:val="0"/>
        </w:rPr>
        <w:t>.</w:t>
      </w:r>
      <w:r>
        <w:rPr>
          <w:snapToGrid w:val="0"/>
        </w:rPr>
        <w:tab/>
        <w:t>Vessels to be in charge of competent person</w:t>
      </w:r>
      <w:bookmarkEnd w:id="184"/>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Gazette 19 May 1989 p. 1495.]</w:t>
      </w:r>
    </w:p>
    <w:p>
      <w:pPr>
        <w:pStyle w:val="Heading5"/>
        <w:rPr>
          <w:snapToGrid w:val="0"/>
        </w:rPr>
      </w:pPr>
      <w:bookmarkStart w:id="185" w:name="_Toc12881311"/>
      <w:r>
        <w:rPr>
          <w:rStyle w:val="CharSectno"/>
        </w:rPr>
        <w:t>78</w:t>
      </w:r>
      <w:r>
        <w:rPr>
          <w:snapToGrid w:val="0"/>
        </w:rPr>
        <w:t>.</w:t>
      </w:r>
      <w:r>
        <w:rPr>
          <w:snapToGrid w:val="0"/>
        </w:rPr>
        <w:tab/>
        <w:t>Approaching jetties after sunset</w:t>
      </w:r>
      <w:bookmarkEnd w:id="185"/>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Gazette 19 May 1989 p. 1495.] </w:t>
      </w:r>
    </w:p>
    <w:p>
      <w:pPr>
        <w:pStyle w:val="Heading5"/>
      </w:pPr>
      <w:bookmarkStart w:id="186" w:name="_Toc12881312"/>
      <w:bookmarkStart w:id="187" w:name="_Toc11752997"/>
      <w:r>
        <w:rPr>
          <w:rStyle w:val="CharSectno"/>
        </w:rPr>
        <w:t>78A</w:t>
      </w:r>
      <w:r>
        <w:t>.</w:t>
      </w:r>
      <w:r>
        <w:tab/>
        <w:t>Charges for sullage removal</w:t>
      </w:r>
      <w:bookmarkEnd w:id="186"/>
    </w:p>
    <w:p>
      <w:pPr>
        <w:pStyle w:val="Subsection"/>
      </w:pPr>
      <w:r>
        <w:tab/>
      </w:r>
      <w:r>
        <w:tab/>
        <w:t>The charge (if any) payable for the removal of sullage from a vessel moored or made fast to a public jetty at a place specified in Schedule 3 is as set out in that Schedule.</w:t>
      </w:r>
    </w:p>
    <w:p>
      <w:pPr>
        <w:pStyle w:val="Footnotesection"/>
      </w:pPr>
      <w:r>
        <w:tab/>
        <w:t>[Regulation 78A inserted: Gazette 31 May 2019 p. 1758.]</w:t>
      </w:r>
    </w:p>
    <w:p>
      <w:pPr>
        <w:pStyle w:val="Heading3"/>
        <w:keepLines/>
        <w:rPr>
          <w:snapToGrid w:val="0"/>
        </w:rPr>
      </w:pPr>
      <w:bookmarkStart w:id="188" w:name="_Toc11766617"/>
      <w:bookmarkStart w:id="189" w:name="_Toc11768558"/>
      <w:bookmarkStart w:id="190" w:name="_Toc11828349"/>
      <w:bookmarkStart w:id="191" w:name="_Toc12028115"/>
      <w:bookmarkStart w:id="192" w:name="_Toc12881313"/>
      <w:r>
        <w:rPr>
          <w:rStyle w:val="CharDivNo"/>
        </w:rPr>
        <w:t>Division 4</w:t>
      </w:r>
      <w:r>
        <w:rPr>
          <w:snapToGrid w:val="0"/>
        </w:rPr>
        <w:t> — </w:t>
      </w:r>
      <w:r>
        <w:rPr>
          <w:rStyle w:val="CharDivText"/>
        </w:rPr>
        <w:t>Loading or discharging cargo</w:t>
      </w:r>
      <w:bookmarkEnd w:id="187"/>
      <w:bookmarkEnd w:id="188"/>
      <w:bookmarkEnd w:id="189"/>
      <w:bookmarkEnd w:id="190"/>
      <w:bookmarkEnd w:id="191"/>
      <w:bookmarkEnd w:id="192"/>
      <w:r>
        <w:rPr>
          <w:rStyle w:val="CharDivText"/>
        </w:rPr>
        <w:t xml:space="preserve"> </w:t>
      </w:r>
    </w:p>
    <w:p>
      <w:pPr>
        <w:pStyle w:val="Footnoteheading"/>
        <w:keepNext/>
        <w:keepLines/>
      </w:pPr>
      <w:r>
        <w:tab/>
        <w:t xml:space="preserve">[Heading inserted: Gazette 19 May 1989 p. 1494.] </w:t>
      </w:r>
    </w:p>
    <w:p>
      <w:pPr>
        <w:pStyle w:val="Ednotesection"/>
        <w:keepNext/>
        <w:keepLines/>
      </w:pPr>
      <w:r>
        <w:t>[</w:t>
      </w:r>
      <w:r>
        <w:rPr>
          <w:b/>
        </w:rPr>
        <w:t>79.</w:t>
      </w:r>
      <w:r>
        <w:tab/>
        <w:t xml:space="preserve">Deleted: Gazette 30 Jun 1992 p. 2893.] </w:t>
      </w:r>
    </w:p>
    <w:p>
      <w:pPr>
        <w:pStyle w:val="Heading5"/>
        <w:rPr>
          <w:snapToGrid w:val="0"/>
        </w:rPr>
      </w:pPr>
      <w:bookmarkStart w:id="193" w:name="_Toc12881314"/>
      <w:r>
        <w:rPr>
          <w:rStyle w:val="CharSectno"/>
        </w:rPr>
        <w:t>80</w:t>
      </w:r>
      <w:r>
        <w:rPr>
          <w:snapToGrid w:val="0"/>
        </w:rPr>
        <w:t>.</w:t>
      </w:r>
      <w:r>
        <w:rPr>
          <w:snapToGrid w:val="0"/>
        </w:rPr>
        <w:tab/>
        <w:t>Vessels loading or discharging</w:t>
      </w:r>
      <w:bookmarkEnd w:id="193"/>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Gazette 19 May 1989 p. 1495.] </w:t>
      </w:r>
    </w:p>
    <w:p>
      <w:pPr>
        <w:pStyle w:val="Heading5"/>
        <w:rPr>
          <w:snapToGrid w:val="0"/>
        </w:rPr>
      </w:pPr>
      <w:bookmarkStart w:id="194" w:name="_Toc12881315"/>
      <w:r>
        <w:rPr>
          <w:rStyle w:val="CharSectno"/>
        </w:rPr>
        <w:t>81</w:t>
      </w:r>
      <w:r>
        <w:rPr>
          <w:snapToGrid w:val="0"/>
        </w:rPr>
        <w:t>.</w:t>
      </w:r>
      <w:r>
        <w:rPr>
          <w:snapToGrid w:val="0"/>
        </w:rPr>
        <w:tab/>
        <w:t>Cargo to be removed</w:t>
      </w:r>
      <w:bookmarkEnd w:id="194"/>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Gazette 19 May 1989 p. 1495.] </w:t>
      </w:r>
    </w:p>
    <w:p>
      <w:pPr>
        <w:pStyle w:val="Heading5"/>
        <w:rPr>
          <w:snapToGrid w:val="0"/>
        </w:rPr>
      </w:pPr>
      <w:bookmarkStart w:id="195" w:name="_Toc12881316"/>
      <w:r>
        <w:rPr>
          <w:rStyle w:val="CharSectno"/>
        </w:rPr>
        <w:t>82</w:t>
      </w:r>
      <w:r>
        <w:rPr>
          <w:snapToGrid w:val="0"/>
        </w:rPr>
        <w:t>.</w:t>
      </w:r>
      <w:r>
        <w:rPr>
          <w:snapToGrid w:val="0"/>
        </w:rPr>
        <w:tab/>
        <w:t>Cargo not to remain on jetties overnight</w:t>
      </w:r>
      <w:bookmarkEnd w:id="195"/>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Gazette 19 May 1989 p. 1495.] </w:t>
      </w:r>
    </w:p>
    <w:p>
      <w:pPr>
        <w:pStyle w:val="Heading5"/>
        <w:rPr>
          <w:snapToGrid w:val="0"/>
        </w:rPr>
      </w:pPr>
      <w:bookmarkStart w:id="196" w:name="_Toc12881317"/>
      <w:r>
        <w:rPr>
          <w:rStyle w:val="CharSectno"/>
        </w:rPr>
        <w:t>83</w:t>
      </w:r>
      <w:r>
        <w:rPr>
          <w:snapToGrid w:val="0"/>
        </w:rPr>
        <w:t>.</w:t>
      </w:r>
      <w:r>
        <w:rPr>
          <w:snapToGrid w:val="0"/>
        </w:rPr>
        <w:tab/>
        <w:t>Explosives not to be handled without permission</w:t>
      </w:r>
      <w:bookmarkEnd w:id="196"/>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Gazette 19 May 1989 p. 1495.] </w:t>
      </w:r>
    </w:p>
    <w:p>
      <w:pPr>
        <w:pStyle w:val="Heading5"/>
        <w:rPr>
          <w:snapToGrid w:val="0"/>
        </w:rPr>
      </w:pPr>
      <w:bookmarkStart w:id="197" w:name="_Toc12881318"/>
      <w:r>
        <w:rPr>
          <w:rStyle w:val="CharSectno"/>
        </w:rPr>
        <w:t>84</w:t>
      </w:r>
      <w:r>
        <w:rPr>
          <w:snapToGrid w:val="0"/>
        </w:rPr>
        <w:t>.</w:t>
      </w:r>
      <w:r>
        <w:rPr>
          <w:snapToGrid w:val="0"/>
        </w:rPr>
        <w:tab/>
        <w:t>Manner of handling cargo</w:t>
      </w:r>
      <w:bookmarkEnd w:id="197"/>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Gazette 19 May 1989 p. 1495.] </w:t>
      </w:r>
    </w:p>
    <w:p>
      <w:pPr>
        <w:pStyle w:val="Heading3"/>
        <w:rPr>
          <w:snapToGrid w:val="0"/>
        </w:rPr>
      </w:pPr>
      <w:bookmarkStart w:id="198" w:name="_Toc11753003"/>
      <w:bookmarkStart w:id="199" w:name="_Toc11766623"/>
      <w:bookmarkStart w:id="200" w:name="_Toc11768564"/>
      <w:bookmarkStart w:id="201" w:name="_Toc11828355"/>
      <w:bookmarkStart w:id="202" w:name="_Toc12028121"/>
      <w:bookmarkStart w:id="203" w:name="_Toc12881319"/>
      <w:r>
        <w:rPr>
          <w:rStyle w:val="CharDivNo"/>
        </w:rPr>
        <w:t>Division 5</w:t>
      </w:r>
      <w:r>
        <w:rPr>
          <w:snapToGrid w:val="0"/>
        </w:rPr>
        <w:t> — </w:t>
      </w:r>
      <w:r>
        <w:rPr>
          <w:rStyle w:val="CharDivText"/>
        </w:rPr>
        <w:t>Navigation of vessels</w:t>
      </w:r>
      <w:bookmarkEnd w:id="198"/>
      <w:bookmarkEnd w:id="199"/>
      <w:bookmarkEnd w:id="200"/>
      <w:bookmarkEnd w:id="201"/>
      <w:bookmarkEnd w:id="202"/>
      <w:bookmarkEnd w:id="203"/>
      <w:r>
        <w:rPr>
          <w:rStyle w:val="CharDivText"/>
        </w:rPr>
        <w:t xml:space="preserve"> </w:t>
      </w:r>
    </w:p>
    <w:p>
      <w:pPr>
        <w:pStyle w:val="Footnoteheading"/>
      </w:pPr>
      <w:r>
        <w:tab/>
        <w:t xml:space="preserve">[Heading inserted: Gazette 19 May 1989 p. 1494.] </w:t>
      </w:r>
    </w:p>
    <w:p>
      <w:pPr>
        <w:pStyle w:val="Heading5"/>
        <w:rPr>
          <w:snapToGrid w:val="0"/>
        </w:rPr>
      </w:pPr>
      <w:bookmarkStart w:id="204" w:name="_Toc12881320"/>
      <w:r>
        <w:rPr>
          <w:rStyle w:val="CharSectno"/>
        </w:rPr>
        <w:t>85</w:t>
      </w:r>
      <w:r>
        <w:rPr>
          <w:snapToGrid w:val="0"/>
        </w:rPr>
        <w:t>.</w:t>
      </w:r>
      <w:r>
        <w:rPr>
          <w:snapToGrid w:val="0"/>
        </w:rPr>
        <w:tab/>
        <w:t>Power vessels approaching jetties</w:t>
      </w:r>
      <w:bookmarkEnd w:id="204"/>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Gazette 19 May 1989 p. 1494.] </w:t>
      </w:r>
    </w:p>
    <w:p>
      <w:pPr>
        <w:pStyle w:val="Heading3"/>
        <w:rPr>
          <w:snapToGrid w:val="0"/>
        </w:rPr>
      </w:pPr>
      <w:bookmarkStart w:id="205" w:name="_Toc11753005"/>
      <w:bookmarkStart w:id="206" w:name="_Toc11766625"/>
      <w:bookmarkStart w:id="207" w:name="_Toc11768566"/>
      <w:bookmarkStart w:id="208" w:name="_Toc11828357"/>
      <w:bookmarkStart w:id="209" w:name="_Toc12028123"/>
      <w:bookmarkStart w:id="210" w:name="_Toc12881321"/>
      <w:r>
        <w:rPr>
          <w:rStyle w:val="CharDivNo"/>
        </w:rPr>
        <w:t>Division 6</w:t>
      </w:r>
      <w:r>
        <w:rPr>
          <w:snapToGrid w:val="0"/>
        </w:rPr>
        <w:t> — </w:t>
      </w:r>
      <w:r>
        <w:rPr>
          <w:rStyle w:val="CharDivText"/>
        </w:rPr>
        <w:t>Miscellaneous</w:t>
      </w:r>
      <w:bookmarkEnd w:id="205"/>
      <w:bookmarkEnd w:id="206"/>
      <w:bookmarkEnd w:id="207"/>
      <w:bookmarkEnd w:id="208"/>
      <w:bookmarkEnd w:id="209"/>
      <w:bookmarkEnd w:id="210"/>
      <w:r>
        <w:rPr>
          <w:rStyle w:val="CharDivText"/>
        </w:rPr>
        <w:t xml:space="preserve"> </w:t>
      </w:r>
    </w:p>
    <w:p>
      <w:pPr>
        <w:pStyle w:val="Footnoteheading"/>
        <w:keepNext/>
      </w:pPr>
      <w:r>
        <w:tab/>
        <w:t xml:space="preserve">[Heading inserted: Gazette 19 May 1989 p. 1494.] </w:t>
      </w:r>
    </w:p>
    <w:p>
      <w:pPr>
        <w:pStyle w:val="Heading5"/>
        <w:rPr>
          <w:snapToGrid w:val="0"/>
        </w:rPr>
      </w:pPr>
      <w:bookmarkStart w:id="211" w:name="_Toc12881322"/>
      <w:r>
        <w:rPr>
          <w:rStyle w:val="CharSectno"/>
        </w:rPr>
        <w:t>86</w:t>
      </w:r>
      <w:r>
        <w:rPr>
          <w:snapToGrid w:val="0"/>
        </w:rPr>
        <w:t>.</w:t>
      </w:r>
      <w:r>
        <w:rPr>
          <w:snapToGrid w:val="0"/>
        </w:rPr>
        <w:tab/>
        <w:t>Bathing from jetties</w:t>
      </w:r>
      <w:bookmarkEnd w:id="211"/>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Gazette 19 May 1989 p. 1495.] </w:t>
      </w:r>
    </w:p>
    <w:p>
      <w:pPr>
        <w:pStyle w:val="Heading5"/>
        <w:rPr>
          <w:snapToGrid w:val="0"/>
        </w:rPr>
      </w:pPr>
      <w:bookmarkStart w:id="212" w:name="_Toc12881323"/>
      <w:r>
        <w:rPr>
          <w:rStyle w:val="CharSectno"/>
        </w:rPr>
        <w:t>87</w:t>
      </w:r>
      <w:r>
        <w:rPr>
          <w:snapToGrid w:val="0"/>
        </w:rPr>
        <w:t>.</w:t>
      </w:r>
      <w:r>
        <w:rPr>
          <w:snapToGrid w:val="0"/>
        </w:rPr>
        <w:tab/>
        <w:t>Damage to jetties</w:t>
      </w:r>
      <w:bookmarkEnd w:id="212"/>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Gazette 19 May 1989 p. 1495.] </w:t>
      </w:r>
    </w:p>
    <w:p>
      <w:pPr>
        <w:pStyle w:val="Heading5"/>
        <w:rPr>
          <w:snapToGrid w:val="0"/>
        </w:rPr>
      </w:pPr>
      <w:bookmarkStart w:id="213" w:name="_Toc12881324"/>
      <w:r>
        <w:rPr>
          <w:rStyle w:val="CharSectno"/>
        </w:rPr>
        <w:t>88</w:t>
      </w:r>
      <w:r>
        <w:rPr>
          <w:snapToGrid w:val="0"/>
        </w:rPr>
        <w:t>.</w:t>
      </w:r>
      <w:r>
        <w:rPr>
          <w:snapToGrid w:val="0"/>
        </w:rPr>
        <w:tab/>
        <w:t>Fishing from certain places prohibited</w:t>
      </w:r>
      <w:bookmarkEnd w:id="213"/>
      <w:r>
        <w:rPr>
          <w:snapToGrid w:val="0"/>
        </w:rPr>
        <w:t xml:space="preserve"> </w:t>
      </w:r>
    </w:p>
    <w:p>
      <w:pPr>
        <w:pStyle w:val="Subsection"/>
        <w:rPr>
          <w:snapToGrid w:val="0"/>
        </w:rPr>
      </w:pPr>
      <w:r>
        <w:rPr>
          <w:snapToGrid w:val="0"/>
        </w:rPr>
        <w:tab/>
      </w:r>
      <w:r>
        <w:rPr>
          <w:snapToGrid w:val="0"/>
        </w:rPr>
        <w:tab/>
        <w:t xml:space="preserve">No person shall fish from any portion of the road bridge over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Fremantle, or from the Canning bridge, or from the bridge or embankment across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w:t>
      </w:r>
      <w:smartTag w:uri="urn:schemas-microsoft-com:office:smarttags" w:element="City">
        <w:r>
          <w:rPr>
            <w:snapToGrid w:val="0"/>
          </w:rPr>
          <w:t>Perth</w:t>
        </w:r>
      </w:smartTag>
      <w:r>
        <w:rPr>
          <w:snapToGrid w:val="0"/>
        </w:rPr>
        <w:t xml:space="preserve">, known as the </w:t>
      </w:r>
      <w:smartTag w:uri="urn:schemas-microsoft-com:office:smarttags" w:element="place">
        <w:smartTag w:uri="urn:schemas-microsoft-com:office:smarttags" w:element="City">
          <w:r>
            <w:rPr>
              <w:snapToGrid w:val="0"/>
            </w:rPr>
            <w:t>Perth</w:t>
          </w:r>
        </w:smartTag>
      </w:smartTag>
      <w:r>
        <w:rPr>
          <w:snapToGrid w:val="0"/>
        </w:rPr>
        <w:t xml:space="preserve"> causeway.</w:t>
      </w:r>
    </w:p>
    <w:p>
      <w:pPr>
        <w:pStyle w:val="Footnotesection"/>
      </w:pPr>
      <w:r>
        <w:tab/>
        <w:t xml:space="preserve">[Regulation 88 amended: Gazette 19 May 1989 p. 1495.] </w:t>
      </w:r>
    </w:p>
    <w:p>
      <w:pPr>
        <w:pStyle w:val="Heading5"/>
        <w:rPr>
          <w:snapToGrid w:val="0"/>
        </w:rPr>
      </w:pPr>
      <w:bookmarkStart w:id="214" w:name="_Toc12881325"/>
      <w:r>
        <w:rPr>
          <w:rStyle w:val="CharSectno"/>
        </w:rPr>
        <w:t>89</w:t>
      </w:r>
      <w:r>
        <w:rPr>
          <w:snapToGrid w:val="0"/>
        </w:rPr>
        <w:t>.</w:t>
      </w:r>
      <w:r>
        <w:rPr>
          <w:snapToGrid w:val="0"/>
        </w:rPr>
        <w:tab/>
        <w:t>Fishing nets on jetties</w:t>
      </w:r>
      <w:bookmarkEnd w:id="214"/>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Gazette 19 May 1989 p. 1495.] </w:t>
      </w:r>
    </w:p>
    <w:p>
      <w:pPr>
        <w:pStyle w:val="Heading5"/>
        <w:rPr>
          <w:snapToGrid w:val="0"/>
        </w:rPr>
      </w:pPr>
      <w:bookmarkStart w:id="215" w:name="_Toc12881326"/>
      <w:r>
        <w:rPr>
          <w:rStyle w:val="CharSectno"/>
        </w:rPr>
        <w:t>90</w:t>
      </w:r>
      <w:r>
        <w:rPr>
          <w:snapToGrid w:val="0"/>
        </w:rPr>
        <w:t>.</w:t>
      </w:r>
      <w:r>
        <w:rPr>
          <w:snapToGrid w:val="0"/>
        </w:rPr>
        <w:tab/>
        <w:t>Gangways to be provided</w:t>
      </w:r>
      <w:bookmarkEnd w:id="215"/>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Gazette 15 Jun 1973 p. 2239; 19 May 1989 p. 1495.] </w:t>
      </w:r>
    </w:p>
    <w:p>
      <w:pPr>
        <w:pStyle w:val="Heading5"/>
        <w:rPr>
          <w:snapToGrid w:val="0"/>
        </w:rPr>
      </w:pPr>
      <w:bookmarkStart w:id="216" w:name="_Toc12881327"/>
      <w:r>
        <w:rPr>
          <w:rStyle w:val="CharSectno"/>
        </w:rPr>
        <w:t>91</w:t>
      </w:r>
      <w:r>
        <w:rPr>
          <w:snapToGrid w:val="0"/>
        </w:rPr>
        <w:t>.</w:t>
      </w:r>
      <w:r>
        <w:rPr>
          <w:snapToGrid w:val="0"/>
        </w:rPr>
        <w:tab/>
        <w:t>Interference with jetties or approaches</w:t>
      </w:r>
      <w:bookmarkEnd w:id="216"/>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Gazette 19 May 1989 p. 1495.] </w:t>
      </w:r>
    </w:p>
    <w:p>
      <w:pPr>
        <w:pStyle w:val="Heading5"/>
        <w:rPr>
          <w:snapToGrid w:val="0"/>
        </w:rPr>
      </w:pPr>
      <w:bookmarkStart w:id="217" w:name="_Toc12881328"/>
      <w:r>
        <w:rPr>
          <w:rStyle w:val="CharSectno"/>
        </w:rPr>
        <w:t>92</w:t>
      </w:r>
      <w:r>
        <w:rPr>
          <w:snapToGrid w:val="0"/>
        </w:rPr>
        <w:t>.</w:t>
      </w:r>
      <w:r>
        <w:rPr>
          <w:snapToGrid w:val="0"/>
        </w:rPr>
        <w:tab/>
        <w:t>Lifebuoys on jetties</w:t>
      </w:r>
      <w:bookmarkEnd w:id="217"/>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Gazette 19 May 1989 p. 1495.] </w:t>
      </w:r>
    </w:p>
    <w:p>
      <w:pPr>
        <w:pStyle w:val="Heading5"/>
        <w:rPr>
          <w:snapToGrid w:val="0"/>
        </w:rPr>
      </w:pPr>
      <w:bookmarkStart w:id="218" w:name="_Toc12881329"/>
      <w:r>
        <w:rPr>
          <w:rStyle w:val="CharSectno"/>
        </w:rPr>
        <w:t>93</w:t>
      </w:r>
      <w:r>
        <w:rPr>
          <w:snapToGrid w:val="0"/>
        </w:rPr>
        <w:t>.</w:t>
      </w:r>
      <w:r>
        <w:rPr>
          <w:snapToGrid w:val="0"/>
        </w:rPr>
        <w:tab/>
        <w:t>Obstruction of jetties or officers</w:t>
      </w:r>
      <w:bookmarkEnd w:id="218"/>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Gazette 19 May 1989 p. 1495.] </w:t>
      </w:r>
    </w:p>
    <w:p>
      <w:pPr>
        <w:pStyle w:val="Heading5"/>
        <w:rPr>
          <w:snapToGrid w:val="0"/>
        </w:rPr>
      </w:pPr>
      <w:bookmarkStart w:id="219" w:name="_Toc12881330"/>
      <w:r>
        <w:rPr>
          <w:rStyle w:val="CharSectno"/>
        </w:rPr>
        <w:t>94</w:t>
      </w:r>
      <w:r>
        <w:rPr>
          <w:snapToGrid w:val="0"/>
        </w:rPr>
        <w:t>.</w:t>
      </w:r>
      <w:r>
        <w:rPr>
          <w:snapToGrid w:val="0"/>
        </w:rPr>
        <w:tab/>
        <w:t>Rubbish not to be thrown in river etc.</w:t>
      </w:r>
      <w:bookmarkEnd w:id="219"/>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Gazette 19 May 1989 p. 1495.] </w:t>
      </w:r>
    </w:p>
    <w:p>
      <w:pPr>
        <w:pStyle w:val="Ednotepart"/>
      </w:pPr>
      <w:bookmarkStart w:id="220" w:name="_Toc11753015"/>
      <w:r>
        <w:t>[Part 2A (r. 94A</w:t>
      </w:r>
      <w:r>
        <w:noBreakHyphen/>
        <w:t>94E) deleted: Gazette 31 May 2019 p. 1759.]</w:t>
      </w:r>
    </w:p>
    <w:p>
      <w:pPr>
        <w:pStyle w:val="Heading2"/>
      </w:pPr>
      <w:bookmarkStart w:id="221" w:name="_Toc11753021"/>
      <w:bookmarkStart w:id="222" w:name="_Toc11766635"/>
      <w:bookmarkStart w:id="223" w:name="_Toc11768576"/>
      <w:bookmarkStart w:id="224" w:name="_Toc11828367"/>
      <w:bookmarkStart w:id="225" w:name="_Toc12028133"/>
      <w:bookmarkStart w:id="226" w:name="_Toc12881331"/>
      <w:bookmarkEnd w:id="220"/>
      <w:r>
        <w:rPr>
          <w:rStyle w:val="CharPartNo"/>
        </w:rPr>
        <w:t>Part 3</w:t>
      </w:r>
      <w:r>
        <w:t> — </w:t>
      </w:r>
      <w:r>
        <w:rPr>
          <w:rStyle w:val="CharPartText"/>
        </w:rPr>
        <w:t>Special provisions applying at particular ports</w:t>
      </w:r>
      <w:bookmarkEnd w:id="221"/>
      <w:bookmarkEnd w:id="222"/>
      <w:bookmarkEnd w:id="223"/>
      <w:bookmarkEnd w:id="224"/>
      <w:bookmarkEnd w:id="225"/>
      <w:bookmarkEnd w:id="226"/>
      <w:r>
        <w:rPr>
          <w:rStyle w:val="CharPartText"/>
        </w:rPr>
        <w:t xml:space="preserve"> </w:t>
      </w:r>
    </w:p>
    <w:p>
      <w:pPr>
        <w:pStyle w:val="Footnoteheading"/>
      </w:pPr>
      <w:r>
        <w:tab/>
        <w:t xml:space="preserve">[Heading inserted: Gazette 19 May 1989 p. 1494.] </w:t>
      </w:r>
    </w:p>
    <w:p>
      <w:pPr>
        <w:pStyle w:val="Heading3"/>
        <w:rPr>
          <w:snapToGrid w:val="0"/>
        </w:rPr>
      </w:pPr>
      <w:bookmarkStart w:id="227" w:name="_Toc11753022"/>
      <w:bookmarkStart w:id="228" w:name="_Toc11766636"/>
      <w:bookmarkStart w:id="229" w:name="_Toc11768577"/>
      <w:bookmarkStart w:id="230" w:name="_Toc11828368"/>
      <w:bookmarkStart w:id="231" w:name="_Toc12028134"/>
      <w:bookmarkStart w:id="232" w:name="_Toc12881332"/>
      <w:r>
        <w:rPr>
          <w:rStyle w:val="CharDivNo"/>
        </w:rPr>
        <w:t>Division 1</w:t>
      </w:r>
      <w:r>
        <w:rPr>
          <w:snapToGrid w:val="0"/>
        </w:rPr>
        <w:t> — </w:t>
      </w:r>
      <w:r>
        <w:rPr>
          <w:rStyle w:val="CharDivText"/>
        </w:rPr>
        <w:t>Use of slipways</w:t>
      </w:r>
      <w:bookmarkEnd w:id="227"/>
      <w:bookmarkEnd w:id="228"/>
      <w:bookmarkEnd w:id="229"/>
      <w:bookmarkEnd w:id="230"/>
      <w:bookmarkEnd w:id="231"/>
      <w:bookmarkEnd w:id="232"/>
      <w:r>
        <w:rPr>
          <w:rStyle w:val="CharDivText"/>
        </w:rPr>
        <w:t xml:space="preserve"> </w:t>
      </w:r>
    </w:p>
    <w:p>
      <w:pPr>
        <w:pStyle w:val="Footnoteheading"/>
      </w:pPr>
      <w:r>
        <w:tab/>
        <w:t xml:space="preserve">[Heading inserted: Gazette 19 May 1989 p. 1494.] </w:t>
      </w:r>
    </w:p>
    <w:p>
      <w:pPr>
        <w:pStyle w:val="Heading5"/>
      </w:pPr>
      <w:bookmarkStart w:id="233" w:name="_Toc12881333"/>
      <w:r>
        <w:rPr>
          <w:rStyle w:val="CharSectno"/>
        </w:rPr>
        <w:t>95</w:t>
      </w:r>
      <w:r>
        <w:t>.</w:t>
      </w:r>
      <w:r>
        <w:tab/>
        <w:t>Management and control of departmental slipways</w:t>
      </w:r>
      <w:bookmarkEnd w:id="233"/>
    </w:p>
    <w:p>
      <w:pPr>
        <w:pStyle w:val="Subsection"/>
      </w:pPr>
      <w:r>
        <w:tab/>
        <w:t>(1)</w:t>
      </w:r>
      <w:r>
        <w:tab/>
        <w:t>This Division applies to slipways under the direct control of the Department.</w:t>
      </w:r>
    </w:p>
    <w:p>
      <w:pPr>
        <w:pStyle w:val="Subsection"/>
      </w:pPr>
      <w:r>
        <w:tab/>
        <w:t>(2)</w:t>
      </w:r>
      <w:r>
        <w:tab/>
        <w:t>The officer appointed by the Director General as being in charge of a region in which any slipways under the control of the Department are situated shall have the management and control of those slipways.</w:t>
      </w:r>
    </w:p>
    <w:p>
      <w:pPr>
        <w:pStyle w:val="Footnotesection"/>
      </w:pPr>
      <w:r>
        <w:tab/>
        <w:t>[Regulation 95 inserted: Gazette 20 Jun 2000 p. 3044; amended: Gazette 4 Nov 2014 p. 4204; 31 May 2019 p. 1759.]</w:t>
      </w:r>
    </w:p>
    <w:p>
      <w:pPr>
        <w:pStyle w:val="Heading5"/>
      </w:pPr>
      <w:bookmarkStart w:id="234" w:name="_Toc12881334"/>
      <w:r>
        <w:rPr>
          <w:rStyle w:val="CharSectno"/>
        </w:rPr>
        <w:t>95A</w:t>
      </w:r>
      <w:r>
        <w:t>.</w:t>
      </w:r>
      <w:r>
        <w:tab/>
        <w:t>Use of slipway</w:t>
      </w:r>
      <w:bookmarkEnd w:id="234"/>
    </w:p>
    <w:p>
      <w:pPr>
        <w:pStyle w:val="Subsection"/>
      </w:pPr>
      <w:r>
        <w:tab/>
        <w:t>(1)</w:t>
      </w:r>
      <w:r>
        <w:tab/>
        <w:t>An owner or master of a vessel wanting to use a slipway may apply to the officer in charge of the region in which the slipway is situated to permit that use.</w:t>
      </w:r>
    </w:p>
    <w:p>
      <w:pPr>
        <w:pStyle w:val="Subsection"/>
      </w:pPr>
      <w:r>
        <w:tab/>
        <w:t>(2)</w:t>
      </w:r>
      <w:r>
        <w:tab/>
        <w:t>The application must be in the form of Schedule 4 Form 3.</w:t>
      </w:r>
    </w:p>
    <w:p>
      <w:pPr>
        <w:pStyle w:val="Footnotesection"/>
      </w:pPr>
      <w:r>
        <w:tab/>
        <w:t>[Regulation 95A inserted: Gazette 4 Nov 2014 p. 4204; amended: Gazette 25 May 2018 p. 1670.]</w:t>
      </w:r>
    </w:p>
    <w:p>
      <w:pPr>
        <w:pStyle w:val="Heading5"/>
        <w:rPr>
          <w:snapToGrid w:val="0"/>
        </w:rPr>
      </w:pPr>
      <w:bookmarkStart w:id="235" w:name="_Toc12881335"/>
      <w:r>
        <w:rPr>
          <w:rStyle w:val="CharSectno"/>
        </w:rPr>
        <w:t>96</w:t>
      </w:r>
      <w:r>
        <w:rPr>
          <w:snapToGrid w:val="0"/>
        </w:rPr>
        <w:t>.</w:t>
      </w:r>
      <w:r>
        <w:rPr>
          <w:snapToGrid w:val="0"/>
        </w:rPr>
        <w:tab/>
        <w:t>Charges for use of slipway</w:t>
      </w:r>
      <w:bookmarkEnd w:id="235"/>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charge of the region in which the slipway is situated.  </w:t>
      </w:r>
      <w:r>
        <w:rPr>
          <w:snapToGrid w:val="0"/>
        </w:rPr>
        <w:t>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Gazette 11 Jan 1946 p. 13; amended: Gazette 2 May 1952 p. 1106; 17 Mar 1960 p. 783; 24 Nov 1972 p. 4488; 19 Oct 1973 p. 3818; 19 May 1989 p. 1495; 20 Jun 2000 p. 3044; 24 Jun 2005 p. 2818; 22 Jun 2007 p. 2910; 25 Jul 2014 p. 2613; 4 Nov 2014 p. 4204.] </w:t>
      </w:r>
    </w:p>
    <w:p>
      <w:pPr>
        <w:pStyle w:val="Heading5"/>
        <w:rPr>
          <w:snapToGrid w:val="0"/>
        </w:rPr>
      </w:pPr>
      <w:bookmarkStart w:id="236" w:name="_Toc12881336"/>
      <w:r>
        <w:rPr>
          <w:rStyle w:val="CharSectno"/>
        </w:rPr>
        <w:t>97</w:t>
      </w:r>
      <w:r>
        <w:rPr>
          <w:snapToGrid w:val="0"/>
        </w:rPr>
        <w:t>.</w:t>
      </w:r>
      <w:r>
        <w:rPr>
          <w:snapToGrid w:val="0"/>
        </w:rPr>
        <w:tab/>
        <w:t>Government vessels may take precedence</w:t>
      </w:r>
      <w:bookmarkEnd w:id="236"/>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Gazette 11 Jan 1946 p. 13; amended: Gazette 19 May 1989 p. 1495.] </w:t>
      </w:r>
    </w:p>
    <w:p>
      <w:pPr>
        <w:pStyle w:val="Heading5"/>
        <w:rPr>
          <w:snapToGrid w:val="0"/>
        </w:rPr>
      </w:pPr>
      <w:bookmarkStart w:id="237" w:name="_Toc12881337"/>
      <w:r>
        <w:rPr>
          <w:rStyle w:val="CharSectno"/>
        </w:rPr>
        <w:t>98</w:t>
      </w:r>
      <w:r>
        <w:rPr>
          <w:snapToGrid w:val="0"/>
        </w:rPr>
        <w:t>.</w:t>
      </w:r>
      <w:r>
        <w:rPr>
          <w:snapToGrid w:val="0"/>
        </w:rPr>
        <w:tab/>
        <w:t>Vessels may forfeit their turn</w:t>
      </w:r>
      <w:bookmarkEnd w:id="237"/>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Gazette 11 Jan 1946 p. 13; amended: Gazette 19 May 1989 p. 1496.] </w:t>
      </w:r>
    </w:p>
    <w:p>
      <w:pPr>
        <w:pStyle w:val="Heading5"/>
        <w:rPr>
          <w:snapToGrid w:val="0"/>
        </w:rPr>
      </w:pPr>
      <w:bookmarkStart w:id="238" w:name="_Toc12881338"/>
      <w:r>
        <w:rPr>
          <w:rStyle w:val="CharSectno"/>
        </w:rPr>
        <w:t>99</w:t>
      </w:r>
      <w:r>
        <w:rPr>
          <w:snapToGrid w:val="0"/>
        </w:rPr>
        <w:t>.</w:t>
      </w:r>
      <w:r>
        <w:rPr>
          <w:snapToGrid w:val="0"/>
        </w:rPr>
        <w:tab/>
        <w:t>Department will not undertake repairs etc.</w:t>
      </w:r>
      <w:bookmarkEnd w:id="238"/>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Gazette 11 Jan 1946 p. 13; amended: Gazette 19 May 1989 p. 1496.] </w:t>
      </w:r>
    </w:p>
    <w:p>
      <w:pPr>
        <w:pStyle w:val="Heading5"/>
        <w:rPr>
          <w:snapToGrid w:val="0"/>
        </w:rPr>
      </w:pPr>
      <w:bookmarkStart w:id="239" w:name="_Toc12881339"/>
      <w:r>
        <w:rPr>
          <w:rStyle w:val="CharSectno"/>
        </w:rPr>
        <w:t>100</w:t>
      </w:r>
      <w:r>
        <w:rPr>
          <w:snapToGrid w:val="0"/>
        </w:rPr>
        <w:t>.</w:t>
      </w:r>
      <w:r>
        <w:rPr>
          <w:snapToGrid w:val="0"/>
        </w:rPr>
        <w:tab/>
        <w:t>Department not responsible for damage to vessel when in use of slip</w:t>
      </w:r>
      <w:bookmarkEnd w:id="239"/>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Gazette 11 Jan 1946 p. 13; amended: Gazette 19 May 1989 p. 1496.] </w:t>
      </w:r>
    </w:p>
    <w:p>
      <w:pPr>
        <w:pStyle w:val="Heading5"/>
        <w:spacing w:before="180"/>
        <w:rPr>
          <w:snapToGrid w:val="0"/>
        </w:rPr>
      </w:pPr>
      <w:bookmarkStart w:id="240" w:name="_Toc12881340"/>
      <w:r>
        <w:rPr>
          <w:rStyle w:val="CharSectno"/>
        </w:rPr>
        <w:t>101</w:t>
      </w:r>
      <w:r>
        <w:rPr>
          <w:snapToGrid w:val="0"/>
        </w:rPr>
        <w:t>.</w:t>
      </w:r>
      <w:r>
        <w:rPr>
          <w:snapToGrid w:val="0"/>
        </w:rPr>
        <w:tab/>
        <w:t>Duties of owner or master using slipway</w:t>
      </w:r>
      <w:bookmarkEnd w:id="240"/>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Gazette 19 Oct 1973 p. 3819; amended: Gazette 20 Jun 2000 p. 3044; 4 Nov 2014 p. 4205.] </w:t>
      </w:r>
    </w:p>
    <w:p>
      <w:pPr>
        <w:pStyle w:val="Heading5"/>
        <w:spacing w:before="180"/>
        <w:rPr>
          <w:snapToGrid w:val="0"/>
        </w:rPr>
      </w:pPr>
      <w:bookmarkStart w:id="241" w:name="_Toc12881341"/>
      <w:r>
        <w:rPr>
          <w:rStyle w:val="CharSectno"/>
        </w:rPr>
        <w:t>101A</w:t>
      </w:r>
      <w:r>
        <w:rPr>
          <w:snapToGrid w:val="0"/>
        </w:rPr>
        <w:t>.</w:t>
      </w:r>
      <w:r>
        <w:rPr>
          <w:snapToGrid w:val="0"/>
        </w:rPr>
        <w:tab/>
        <w:t>Slipping of more than one vessel at a time</w:t>
      </w:r>
      <w:bookmarkEnd w:id="241"/>
      <w:r>
        <w:rPr>
          <w:snapToGrid w:val="0"/>
        </w:rPr>
        <w:t xml:space="preserve"> </w:t>
      </w:r>
    </w:p>
    <w:p>
      <w:pPr>
        <w:pStyle w:val="Subsection"/>
        <w:rPr>
          <w:snapToGrid w:val="0"/>
        </w:rPr>
      </w:pPr>
      <w:r>
        <w:rPr>
          <w:snapToGrid w:val="0"/>
        </w:rPr>
        <w:tab/>
      </w:r>
      <w:r>
        <w:rPr>
          <w:snapToGrid w:val="0"/>
        </w:rPr>
        <w:tab/>
        <w:t xml:space="preserve">The </w:t>
      </w:r>
      <w:r>
        <w:t xml:space="preserve">officer in charge of a region </w:t>
      </w:r>
      <w:r>
        <w:rPr>
          <w:snapToGrid w:val="0"/>
        </w:rPr>
        <w:t>may by special permission allow more than one vessel to be taken on a slipway at the one time.</w:t>
      </w:r>
    </w:p>
    <w:p>
      <w:pPr>
        <w:pStyle w:val="Footnotesection"/>
      </w:pPr>
      <w:r>
        <w:tab/>
        <w:t xml:space="preserve">[Regulation 101A inserted: Gazette 24 Nov 1972 p. 4488; amended: Gazette 19 May 1989 p. 1496; 20 Jun 2000 p. 3044; 4 Nov 2014 p. 4205.] </w:t>
      </w:r>
    </w:p>
    <w:p>
      <w:pPr>
        <w:pStyle w:val="Heading5"/>
        <w:keepNext w:val="0"/>
        <w:keepLines w:val="0"/>
        <w:spacing w:before="180"/>
        <w:rPr>
          <w:snapToGrid w:val="0"/>
        </w:rPr>
      </w:pPr>
      <w:bookmarkStart w:id="242" w:name="_Toc12881342"/>
      <w:r>
        <w:rPr>
          <w:rStyle w:val="CharSectno"/>
        </w:rPr>
        <w:t>101B</w:t>
      </w:r>
      <w:r>
        <w:rPr>
          <w:snapToGrid w:val="0"/>
        </w:rPr>
        <w:t>.</w:t>
      </w:r>
      <w:r>
        <w:rPr>
          <w:snapToGrid w:val="0"/>
        </w:rPr>
        <w:tab/>
        <w:t>Dispute procedure</w:t>
      </w:r>
      <w:bookmarkEnd w:id="242"/>
      <w:r>
        <w:rPr>
          <w:snapToGrid w:val="0"/>
        </w:rPr>
        <w:t xml:space="preserve"> </w:t>
      </w:r>
    </w:p>
    <w:p>
      <w:pPr>
        <w:pStyle w:val="Subsection"/>
        <w:spacing w:before="120"/>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Gazette 11 Jan 1946 p. 13; amended: Gazette 19 May 1989 p. 1496.] </w:t>
      </w:r>
    </w:p>
    <w:p>
      <w:pPr>
        <w:pStyle w:val="Ednotesection"/>
        <w:spacing w:before="180"/>
        <w:ind w:left="890" w:hanging="890"/>
      </w:pPr>
      <w:r>
        <w:t>[</w:t>
      </w:r>
      <w:r>
        <w:rPr>
          <w:b/>
        </w:rPr>
        <w:t>102-105.</w:t>
      </w:r>
      <w:r>
        <w:tab/>
        <w:t>Deleted: Gazette 24 Nov 1972 p. 4488.]</w:t>
      </w:r>
    </w:p>
    <w:p>
      <w:pPr>
        <w:pStyle w:val="Heading3"/>
        <w:rPr>
          <w:snapToGrid w:val="0"/>
        </w:rPr>
      </w:pPr>
      <w:bookmarkStart w:id="243" w:name="_Toc11753033"/>
      <w:bookmarkStart w:id="244" w:name="_Toc11766647"/>
      <w:bookmarkStart w:id="245" w:name="_Toc11768588"/>
      <w:bookmarkStart w:id="246" w:name="_Toc11828379"/>
      <w:bookmarkStart w:id="247" w:name="_Toc12028145"/>
      <w:bookmarkStart w:id="248" w:name="_Toc12881343"/>
      <w:r>
        <w:rPr>
          <w:rStyle w:val="CharDivNo"/>
        </w:rPr>
        <w:t>Division 2</w:t>
      </w:r>
      <w:r>
        <w:rPr>
          <w:snapToGrid w:val="0"/>
        </w:rPr>
        <w:t> — </w:t>
      </w:r>
      <w:r>
        <w:rPr>
          <w:rStyle w:val="CharDivText"/>
        </w:rPr>
        <w:t>Use of mooring springs</w:t>
      </w:r>
      <w:bookmarkEnd w:id="243"/>
      <w:bookmarkEnd w:id="244"/>
      <w:bookmarkEnd w:id="245"/>
      <w:bookmarkEnd w:id="246"/>
      <w:bookmarkEnd w:id="247"/>
      <w:bookmarkEnd w:id="248"/>
      <w:r>
        <w:rPr>
          <w:snapToGrid w:val="0"/>
        </w:rPr>
        <w:t xml:space="preserve"> </w:t>
      </w:r>
    </w:p>
    <w:p>
      <w:pPr>
        <w:pStyle w:val="Footnoteheading"/>
      </w:pPr>
      <w:r>
        <w:tab/>
        <w:t xml:space="preserve">[Heading inserted: Gazette 19 May 1989 p. 1494.] </w:t>
      </w:r>
    </w:p>
    <w:p>
      <w:pPr>
        <w:pStyle w:val="Ednotesection"/>
        <w:spacing w:before="180"/>
      </w:pPr>
      <w:r>
        <w:t>[</w:t>
      </w:r>
      <w:r>
        <w:rPr>
          <w:b/>
        </w:rPr>
        <w:t>105A</w:t>
      </w:r>
      <w:r>
        <w:rPr>
          <w:b/>
        </w:rPr>
        <w:noBreakHyphen/>
        <w:t>105E.</w:t>
      </w:r>
      <w:r>
        <w:tab/>
        <w:t>Deleted: Gazette 30 Jun 1995 p. 2700.]</w:t>
      </w:r>
    </w:p>
    <w:p>
      <w:pPr>
        <w:pStyle w:val="Heading5"/>
        <w:spacing w:before="180"/>
        <w:rPr>
          <w:snapToGrid w:val="0"/>
        </w:rPr>
      </w:pPr>
      <w:bookmarkStart w:id="249" w:name="_Toc12881344"/>
      <w:r>
        <w:rPr>
          <w:rStyle w:val="CharSectno"/>
        </w:rPr>
        <w:t>105F</w:t>
      </w:r>
      <w:r>
        <w:rPr>
          <w:snapToGrid w:val="0"/>
        </w:rPr>
        <w:t>.</w:t>
      </w:r>
      <w:r>
        <w:rPr>
          <w:snapToGrid w:val="0"/>
        </w:rPr>
        <w:tab/>
        <w:t>Approaching bollard or jetty to which mooring spring or rope fastened</w:t>
      </w:r>
      <w:bookmarkEnd w:id="249"/>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Gazette 3 Jan 1947 p. 7; amended: Gazette 15 Jun 1973 p. 2238.] </w:t>
      </w:r>
    </w:p>
    <w:p>
      <w:pPr>
        <w:pStyle w:val="Ednotesection"/>
        <w:spacing w:before="180"/>
        <w:ind w:left="890" w:hanging="890"/>
      </w:pPr>
      <w:r>
        <w:t>[</w:t>
      </w:r>
      <w:r>
        <w:rPr>
          <w:b/>
        </w:rPr>
        <w:t>105G, 105H, 105HA, 105HB.</w:t>
      </w:r>
      <w:r>
        <w:tab/>
        <w:t>Deleted: Gazette 30 Jun 1995 p. 2700.]</w:t>
      </w:r>
    </w:p>
    <w:p>
      <w:pPr>
        <w:pStyle w:val="Ednotedivision"/>
        <w:spacing w:before="180"/>
      </w:pPr>
      <w:r>
        <w:t>[Division 3 (r. 105HC) deleted: Gazette 30 Jun 1995 p. 2700.]</w:t>
      </w:r>
    </w:p>
    <w:p>
      <w:pPr>
        <w:pStyle w:val="Heading3"/>
        <w:rPr>
          <w:snapToGrid w:val="0"/>
        </w:rPr>
      </w:pPr>
      <w:bookmarkStart w:id="250" w:name="_Toc11753035"/>
      <w:bookmarkStart w:id="251" w:name="_Toc11766649"/>
      <w:bookmarkStart w:id="252" w:name="_Toc11768590"/>
      <w:bookmarkStart w:id="253" w:name="_Toc11828381"/>
      <w:bookmarkStart w:id="254" w:name="_Toc12028147"/>
      <w:bookmarkStart w:id="255" w:name="_Toc12881345"/>
      <w:r>
        <w:rPr>
          <w:rStyle w:val="CharDivNo"/>
        </w:rPr>
        <w:t>Division 4</w:t>
      </w:r>
      <w:r>
        <w:rPr>
          <w:snapToGrid w:val="0"/>
        </w:rPr>
        <w:t> — </w:t>
      </w:r>
      <w:r>
        <w:rPr>
          <w:rStyle w:val="CharDivText"/>
        </w:rPr>
        <w:t>Use of weighbridges at Wyndham</w:t>
      </w:r>
      <w:bookmarkEnd w:id="250"/>
      <w:bookmarkEnd w:id="251"/>
      <w:bookmarkEnd w:id="252"/>
      <w:bookmarkEnd w:id="253"/>
      <w:bookmarkEnd w:id="254"/>
      <w:bookmarkEnd w:id="255"/>
    </w:p>
    <w:p>
      <w:pPr>
        <w:pStyle w:val="Footnoteheading"/>
      </w:pPr>
      <w:r>
        <w:tab/>
        <w:t xml:space="preserve">[Heading inserted: Gazette 19 May 1989 p. 1494; amended: Gazette 20 Jun 2000 p. 3044.] </w:t>
      </w:r>
    </w:p>
    <w:p>
      <w:pPr>
        <w:pStyle w:val="Heading5"/>
        <w:rPr>
          <w:snapToGrid w:val="0"/>
        </w:rPr>
      </w:pPr>
      <w:bookmarkStart w:id="256" w:name="_Toc12881346"/>
      <w:r>
        <w:rPr>
          <w:rStyle w:val="CharSectno"/>
        </w:rPr>
        <w:t>105I</w:t>
      </w:r>
      <w:r>
        <w:rPr>
          <w:snapToGrid w:val="0"/>
        </w:rPr>
        <w:t>.</w:t>
      </w:r>
      <w:r>
        <w:rPr>
          <w:snapToGrid w:val="0"/>
        </w:rPr>
        <w:tab/>
        <w:t>Weighbridge charges</w:t>
      </w:r>
      <w:bookmarkEnd w:id="256"/>
    </w:p>
    <w:p>
      <w:pPr>
        <w:pStyle w:val="Subsection"/>
        <w:rPr>
          <w:snapToGrid w:val="0"/>
        </w:rPr>
      </w:pPr>
      <w:r>
        <w:rPr>
          <w:snapToGrid w:val="0"/>
        </w:rPr>
        <w:tab/>
        <w:t>(1)</w:t>
      </w:r>
      <w:r>
        <w:rPr>
          <w:snapToGrid w:val="0"/>
        </w:rPr>
        <w:tab/>
        <w:t xml:space="preserve">A person making use of the 50 t weighbridges at Wyndham shall pay the </w:t>
      </w:r>
      <w:r>
        <w:t xml:space="preserve">charge </w:t>
      </w:r>
      <w:r>
        <w:rPr>
          <w:snapToGrid w:val="0"/>
        </w:rPr>
        <w:t xml:space="preserve">set out in </w:t>
      </w:r>
      <w:r>
        <w:t>Schedule 1.</w:t>
      </w:r>
    </w:p>
    <w:p>
      <w:pPr>
        <w:pStyle w:val="Subsection"/>
        <w:rPr>
          <w:snapToGrid w:val="0"/>
        </w:rPr>
      </w:pPr>
      <w:r>
        <w:rPr>
          <w:snapToGrid w:val="0"/>
        </w:rPr>
        <w:tab/>
        <w:t>(2)</w:t>
      </w:r>
      <w:r>
        <w:rPr>
          <w:snapToGrid w:val="0"/>
        </w:rPr>
        <w:tab/>
        <w:t xml:space="preserve">A person making use of the weighbridge outside of normal working hours shall pay the wages of the operator, in addition to the </w:t>
      </w:r>
      <w:r>
        <w:t xml:space="preserve">charges </w:t>
      </w:r>
      <w:r>
        <w:rPr>
          <w:snapToGrid w:val="0"/>
        </w:rPr>
        <w:t>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Gazette 11 Aug 1964 p. 2880; amended: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25 Jul 2014 p. 2614.] </w:t>
      </w:r>
    </w:p>
    <w:p>
      <w:pPr>
        <w:pStyle w:val="Ednotedivision"/>
      </w:pPr>
      <w:r>
        <w:t>[Division 5 (r. 105J) deleted: Gazette 30 Jun 1992 p. 2893.]</w:t>
      </w:r>
    </w:p>
    <w:p>
      <w:pPr>
        <w:pStyle w:val="Heading2"/>
      </w:pPr>
      <w:bookmarkStart w:id="257" w:name="_Toc11753037"/>
      <w:bookmarkStart w:id="258" w:name="_Toc11766651"/>
      <w:bookmarkStart w:id="259" w:name="_Toc11768592"/>
      <w:bookmarkStart w:id="260" w:name="_Toc11828383"/>
      <w:bookmarkStart w:id="261" w:name="_Toc12028149"/>
      <w:bookmarkStart w:id="262" w:name="_Toc12881347"/>
      <w:r>
        <w:rPr>
          <w:rStyle w:val="CharPartNo"/>
        </w:rPr>
        <w:t>Part 4</w:t>
      </w:r>
      <w:r>
        <w:rPr>
          <w:rStyle w:val="CharDivNo"/>
        </w:rPr>
        <w:t> </w:t>
      </w:r>
      <w:r>
        <w:t>—</w:t>
      </w:r>
      <w:r>
        <w:rPr>
          <w:rStyle w:val="CharDivText"/>
        </w:rPr>
        <w:t> </w:t>
      </w:r>
      <w:r>
        <w:rPr>
          <w:rStyle w:val="CharPartText"/>
        </w:rPr>
        <w:t>Breach of regulations and penalties</w:t>
      </w:r>
      <w:bookmarkEnd w:id="257"/>
      <w:bookmarkEnd w:id="258"/>
      <w:bookmarkEnd w:id="259"/>
      <w:bookmarkEnd w:id="260"/>
      <w:bookmarkEnd w:id="261"/>
      <w:bookmarkEnd w:id="262"/>
    </w:p>
    <w:p>
      <w:pPr>
        <w:pStyle w:val="Footnoteheading"/>
      </w:pPr>
      <w:r>
        <w:tab/>
        <w:t xml:space="preserve">[Heading inserted: Gazette 19 May 1989 p. 1494.] </w:t>
      </w:r>
    </w:p>
    <w:p>
      <w:pPr>
        <w:pStyle w:val="Heading5"/>
        <w:rPr>
          <w:snapToGrid w:val="0"/>
        </w:rPr>
      </w:pPr>
      <w:bookmarkStart w:id="263" w:name="_Toc12881348"/>
      <w:r>
        <w:rPr>
          <w:rStyle w:val="CharSectno"/>
        </w:rPr>
        <w:t>106</w:t>
      </w:r>
      <w:r>
        <w:rPr>
          <w:snapToGrid w:val="0"/>
        </w:rPr>
        <w:t>.</w:t>
      </w:r>
      <w:r>
        <w:rPr>
          <w:snapToGrid w:val="0"/>
        </w:rPr>
        <w:tab/>
        <w:t>Powers of officer of Department</w:t>
      </w:r>
      <w:bookmarkEnd w:id="263"/>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Gazette 19 May 1989 p. 1496.] </w:t>
      </w:r>
    </w:p>
    <w:p>
      <w:pPr>
        <w:pStyle w:val="Heading5"/>
        <w:rPr>
          <w:snapToGrid w:val="0"/>
        </w:rPr>
      </w:pPr>
      <w:bookmarkStart w:id="264" w:name="_Toc12881349"/>
      <w:r>
        <w:rPr>
          <w:rStyle w:val="CharSectno"/>
        </w:rPr>
        <w:t>107</w:t>
      </w:r>
      <w:r>
        <w:rPr>
          <w:snapToGrid w:val="0"/>
        </w:rPr>
        <w:t>.</w:t>
      </w:r>
      <w:r>
        <w:rPr>
          <w:snapToGrid w:val="0"/>
        </w:rPr>
        <w:tab/>
        <w:t>Recovery of expenses incurred by breaches of regulations</w:t>
      </w:r>
      <w:bookmarkEnd w:id="264"/>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Gazette 19 May 1989 p. 1496.] </w:t>
      </w:r>
    </w:p>
    <w:p>
      <w:pPr>
        <w:pStyle w:val="Heading5"/>
        <w:rPr>
          <w:snapToGrid w:val="0"/>
        </w:rPr>
      </w:pPr>
      <w:bookmarkStart w:id="265" w:name="_Toc12881350"/>
      <w:r>
        <w:rPr>
          <w:rStyle w:val="CharSectno"/>
        </w:rPr>
        <w:t>107A</w:t>
      </w:r>
      <w:r>
        <w:rPr>
          <w:snapToGrid w:val="0"/>
        </w:rPr>
        <w:t>.</w:t>
      </w:r>
      <w:r>
        <w:rPr>
          <w:snapToGrid w:val="0"/>
        </w:rPr>
        <w:tab/>
        <w:t>Police have authority to enforce regulations</w:t>
      </w:r>
      <w:bookmarkEnd w:id="265"/>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Gazette 17 Mar 1960 p. 784; amended: Gazette 19 May 1989 p. 1496.] </w:t>
      </w:r>
    </w:p>
    <w:p>
      <w:pPr>
        <w:pStyle w:val="Heading5"/>
        <w:rPr>
          <w:snapToGrid w:val="0"/>
        </w:rPr>
      </w:pPr>
      <w:bookmarkStart w:id="266" w:name="_Toc12881351"/>
      <w:r>
        <w:rPr>
          <w:rStyle w:val="CharSectno"/>
        </w:rPr>
        <w:t>108</w:t>
      </w:r>
      <w:r>
        <w:rPr>
          <w:snapToGrid w:val="0"/>
        </w:rPr>
        <w:t>.</w:t>
      </w:r>
      <w:r>
        <w:rPr>
          <w:snapToGrid w:val="0"/>
        </w:rPr>
        <w:tab/>
        <w:t>Penalty for offences</w:t>
      </w:r>
      <w:bookmarkEnd w:id="266"/>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Act No. 113 of 1965 s. 8(1); Gazette 17 Sep 1976 p. 3463; 19 May 1989 p. 1496.] </w:t>
      </w:r>
    </w:p>
    <w:p>
      <w:p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267" w:name="_Toc11766656"/>
      <w:bookmarkStart w:id="268" w:name="_Toc11768597"/>
      <w:bookmarkStart w:id="269" w:name="_Toc11828388"/>
      <w:bookmarkStart w:id="270" w:name="_Toc12028154"/>
      <w:bookmarkStart w:id="271" w:name="_Toc12881352"/>
      <w:bookmarkStart w:id="272" w:name="_Toc11753042"/>
      <w:r>
        <w:rPr>
          <w:rStyle w:val="CharSchNo"/>
        </w:rPr>
        <w:t>Schedule 1</w:t>
      </w:r>
      <w:r>
        <w:t> — </w:t>
      </w:r>
      <w:r>
        <w:rPr>
          <w:rStyle w:val="CharSchText"/>
        </w:rPr>
        <w:t>Dues and charges generally</w:t>
      </w:r>
      <w:bookmarkEnd w:id="267"/>
      <w:bookmarkEnd w:id="268"/>
      <w:bookmarkEnd w:id="269"/>
      <w:bookmarkEnd w:id="270"/>
      <w:bookmarkEnd w:id="271"/>
    </w:p>
    <w:p>
      <w:pPr>
        <w:pStyle w:val="yShoulderClause"/>
      </w:pPr>
      <w:r>
        <w:t>[r. 6, 10A, 11, 25, 42A, 53A, 96 and 105I]</w:t>
      </w:r>
    </w:p>
    <w:p>
      <w:pPr>
        <w:pStyle w:val="yFootnoteheading"/>
        <w:rPr>
          <w:snapToGrid w:val="0"/>
        </w:rPr>
      </w:pPr>
      <w:r>
        <w:rPr>
          <w:snapToGrid w:val="0"/>
        </w:rPr>
        <w:tab/>
        <w:t xml:space="preserve">[Heading inserted: Gazette </w:t>
      </w:r>
      <w:r>
        <w:t>31 May 2019 p. 1759</w:t>
      </w:r>
      <w:r>
        <w:rPr>
          <w:snapToGrid w:val="0"/>
        </w:rPr>
        <w:t>.]</w:t>
      </w:r>
    </w:p>
    <w:p>
      <w:pPr>
        <w:pStyle w:val="yHeading3"/>
      </w:pPr>
      <w:bookmarkStart w:id="273" w:name="_Toc11766657"/>
      <w:bookmarkStart w:id="274" w:name="_Toc11768598"/>
      <w:bookmarkStart w:id="275" w:name="_Toc11828389"/>
      <w:bookmarkStart w:id="276" w:name="_Toc12028155"/>
      <w:bookmarkStart w:id="277" w:name="_Toc12881353"/>
      <w:r>
        <w:rPr>
          <w:rStyle w:val="CharSDivNo"/>
        </w:rPr>
        <w:t>Division 1</w:t>
      </w:r>
      <w:r>
        <w:t> — </w:t>
      </w:r>
      <w:r>
        <w:rPr>
          <w:rStyle w:val="CharSDivText"/>
        </w:rPr>
        <w:t>Preliminary matters</w:t>
      </w:r>
      <w:bookmarkEnd w:id="273"/>
      <w:bookmarkEnd w:id="274"/>
      <w:bookmarkEnd w:id="275"/>
      <w:bookmarkEnd w:id="276"/>
      <w:bookmarkEnd w:id="277"/>
    </w:p>
    <w:p>
      <w:pPr>
        <w:pStyle w:val="yFootnoteheading"/>
        <w:rPr>
          <w:snapToGrid w:val="0"/>
        </w:rPr>
      </w:pPr>
      <w:r>
        <w:rPr>
          <w:snapToGrid w:val="0"/>
        </w:rPr>
        <w:tab/>
        <w:t xml:space="preserve">[Heading inserted: Gazette </w:t>
      </w:r>
      <w:r>
        <w:t>31 May 2019 p. 1759</w:t>
      </w:r>
      <w:r>
        <w:rPr>
          <w:snapToGrid w:val="0"/>
        </w:rPr>
        <w:t>.]</w:t>
      </w:r>
    </w:p>
    <w:p>
      <w:pPr>
        <w:pStyle w:val="yHeading5"/>
      </w:pPr>
      <w:bookmarkStart w:id="278" w:name="_Toc12881354"/>
      <w:r>
        <w:rPr>
          <w:rStyle w:val="CharSClsNo"/>
        </w:rPr>
        <w:t>1</w:t>
      </w:r>
      <w:r>
        <w:t>.</w:t>
      </w:r>
      <w:r>
        <w:tab/>
        <w:t>Standard rates for this Schedule</w:t>
      </w:r>
      <w:bookmarkEnd w:id="278"/>
    </w:p>
    <w:p>
      <w:pPr>
        <w:pStyle w:val="ySubsection"/>
      </w:pPr>
      <w:r>
        <w:tab/>
      </w:r>
      <w:r>
        <w:tab/>
        <w:t xml:space="preserve">In this Schedule, the following rates are standard rates — </w:t>
      </w:r>
    </w:p>
    <w:p>
      <w:pPr>
        <w:pStyle w:val="ySubsection"/>
        <w:rPr>
          <w:b/>
        </w:rPr>
      </w:pPr>
      <w:r>
        <w:rPr>
          <w:b/>
        </w:rPr>
        <w:tab/>
      </w:r>
      <w:r>
        <w:rPr>
          <w:b/>
        </w:rPr>
        <w:tab/>
        <w:t>Rate 1: a casual daily rate of $7.65 per metre of the vessel’s length</w:t>
      </w:r>
    </w:p>
    <w:p>
      <w:pPr>
        <w:pStyle w:val="ySubsection"/>
      </w:pPr>
      <w:r>
        <w:tab/>
      </w:r>
      <w:r>
        <w:tab/>
        <w:t>Typically used to calculate the standard daily rate for casual use of a pen or alongside berth (whether or not the alongside berth is on a service jetty) for a commercial vessel.</w:t>
      </w:r>
    </w:p>
    <w:p>
      <w:pPr>
        <w:pStyle w:val="ySubsection"/>
        <w:rPr>
          <w:b/>
        </w:rPr>
      </w:pPr>
      <w:r>
        <w:rPr>
          <w:b/>
        </w:rPr>
        <w:tab/>
      </w:r>
      <w:r>
        <w:rPr>
          <w:b/>
        </w:rPr>
        <w:tab/>
        <w:t xml:space="preserve">Rate 2: a casual daily rate of $54.00 </w:t>
      </w:r>
    </w:p>
    <w:p>
      <w:pPr>
        <w:pStyle w:val="ySubsection"/>
      </w:pPr>
      <w:r>
        <w:tab/>
      </w:r>
      <w:r>
        <w:tab/>
        <w:t>Typically used to calculate the standard daily rate for casual use of a pen or alongside berth (whether or not the alongside berth is on a service jetty) for a recreational vessel.</w:t>
      </w:r>
    </w:p>
    <w:p>
      <w:pPr>
        <w:pStyle w:val="ySubsection"/>
        <w:rPr>
          <w:b/>
        </w:rPr>
      </w:pPr>
      <w:r>
        <w:rPr>
          <w:b/>
        </w:rPr>
        <w:tab/>
      </w:r>
      <w:r>
        <w:rPr>
          <w:b/>
        </w:rPr>
        <w:tab/>
        <w:t>Rate 3: an annual rate of $86.70 per metre of the vessel’s length</w:t>
      </w:r>
    </w:p>
    <w:p>
      <w:pPr>
        <w:pStyle w:val="ySubsection"/>
      </w:pPr>
      <w:r>
        <w:tab/>
      </w:r>
      <w:r>
        <w:tab/>
        <w:t>Typically used to calculate the standard annual rate for short term use of a service jetty for a vessel (other than service vessels at certain places).</w:t>
      </w:r>
    </w:p>
    <w:p>
      <w:pPr>
        <w:pStyle w:val="yFootnotesection"/>
      </w:pPr>
      <w:r>
        <w:tab/>
        <w:t>[Clause 1 inserted: Gazette 31 May 2019 p. 1759</w:t>
      </w:r>
      <w:r>
        <w:noBreakHyphen/>
        <w:t>60.]</w:t>
      </w:r>
    </w:p>
    <w:p>
      <w:pPr>
        <w:pStyle w:val="yHeading5"/>
      </w:pPr>
      <w:bookmarkStart w:id="279" w:name="_Toc12881355"/>
      <w:r>
        <w:rPr>
          <w:rStyle w:val="CharSClsNo"/>
        </w:rPr>
        <w:t>2</w:t>
      </w:r>
      <w:r>
        <w:t>.</w:t>
      </w:r>
      <w:r>
        <w:tab/>
        <w:t>Transferability of annual payments</w:t>
      </w:r>
      <w:bookmarkEnd w:id="279"/>
    </w:p>
    <w:p>
      <w:pPr>
        <w:pStyle w:val="ySubsection"/>
      </w:pPr>
      <w:r>
        <w:tab/>
        <w:t>(1)</w:t>
      </w:r>
      <w:r>
        <w:tab/>
        <w:t>A vessel for which there has been paid an annual amount to the Department for short term use of a service jetty at a place specified in this Schedule may use a service jetty for up to an hour in a day at any other place specified in this Schedule (excluding the Port of Wyndham) or at a place specified in Schedule 3.</w:t>
      </w:r>
    </w:p>
    <w:p>
      <w:pPr>
        <w:pStyle w:val="ySubsection"/>
      </w:pPr>
      <w:r>
        <w:tab/>
        <w:t>(2)</w:t>
      </w:r>
      <w:r>
        <w:tab/>
        <w:t>A vessel for which there has been paid an amount to the Department for annual use of a pen, alongside berth or mooring at a place specified in this Schedule may use a service jetty for up to an hour in a day at any other place specified in this Schedule (excluding the Port of Wyndham) or at a place specified in Schedule 3.</w:t>
      </w:r>
    </w:p>
    <w:p>
      <w:pPr>
        <w:pStyle w:val="yFootnotesection"/>
      </w:pPr>
      <w:r>
        <w:tab/>
        <w:t>[Clause 2 inserted: Gazette 31 May 2019 p. 1760.]</w:t>
      </w:r>
    </w:p>
    <w:p>
      <w:pPr>
        <w:pStyle w:val="yHeading5"/>
      </w:pPr>
      <w:bookmarkStart w:id="280" w:name="_Toc12881356"/>
      <w:r>
        <w:rPr>
          <w:rStyle w:val="CharSClsNo"/>
        </w:rPr>
        <w:t>3</w:t>
      </w:r>
      <w:r>
        <w:t>.</w:t>
      </w:r>
      <w:r>
        <w:tab/>
        <w:t>Service jetty entitlements</w:t>
      </w:r>
      <w:bookmarkEnd w:id="280"/>
    </w:p>
    <w:p>
      <w:pPr>
        <w:pStyle w:val="ySubsection"/>
      </w:pPr>
      <w:r>
        <w:tab/>
      </w:r>
      <w:r>
        <w:tab/>
        <w:t>A vessel for which there has been paid an amount to the Department for use of a pen, alongside berth or mooring at a place specified in this Schedule (excluding the Port of Wyndham) may have access to a service jetty for up to an hour in a day for the duration of its stay at that place.</w:t>
      </w:r>
    </w:p>
    <w:p>
      <w:pPr>
        <w:pStyle w:val="yFootnotesection"/>
      </w:pPr>
      <w:r>
        <w:tab/>
        <w:t>[Clause 3 inserted: Gazette 31 May 2019 p. 1760.]</w:t>
      </w:r>
    </w:p>
    <w:p>
      <w:pPr>
        <w:pStyle w:val="yHeading5"/>
      </w:pPr>
      <w:bookmarkStart w:id="281" w:name="_Toc12881357"/>
      <w:r>
        <w:rPr>
          <w:rStyle w:val="CharSClsNo"/>
        </w:rPr>
        <w:t>4</w:t>
      </w:r>
      <w:r>
        <w:t>.</w:t>
      </w:r>
      <w:r>
        <w:tab/>
        <w:t>Active loading and unloading</w:t>
      </w:r>
      <w:bookmarkEnd w:id="281"/>
    </w:p>
    <w:p>
      <w:pPr>
        <w:pStyle w:val="ySubsection"/>
      </w:pPr>
      <w:r>
        <w:tab/>
      </w:r>
      <w:r>
        <w:tab/>
        <w:t xml:space="preserve">A fishing vessel to which clause 2 or 3 applies may remain at a service jetty for longer than the time allowed under that clause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4 inserted: Gazette 31 May 2019 p. 1760</w:t>
      </w:r>
      <w:r>
        <w:noBreakHyphen/>
        <w:t>1.]</w:t>
      </w:r>
    </w:p>
    <w:p>
      <w:pPr>
        <w:pStyle w:val="yHeading3"/>
      </w:pPr>
      <w:bookmarkStart w:id="282" w:name="_Toc11766662"/>
      <w:bookmarkStart w:id="283" w:name="_Toc11768603"/>
      <w:bookmarkStart w:id="284" w:name="_Toc11828394"/>
      <w:bookmarkStart w:id="285" w:name="_Toc12028160"/>
      <w:bookmarkStart w:id="286" w:name="_Toc12881358"/>
      <w:r>
        <w:rPr>
          <w:rStyle w:val="CharSDivNo"/>
        </w:rPr>
        <w:t>Division 2</w:t>
      </w:r>
      <w:r>
        <w:t> — </w:t>
      </w:r>
      <w:r>
        <w:rPr>
          <w:rStyle w:val="CharSDivText"/>
        </w:rPr>
        <w:t>Dues and charges for specified places</w:t>
      </w:r>
      <w:bookmarkEnd w:id="282"/>
      <w:bookmarkEnd w:id="283"/>
      <w:bookmarkEnd w:id="284"/>
      <w:bookmarkEnd w:id="285"/>
      <w:bookmarkEnd w:id="286"/>
    </w:p>
    <w:p>
      <w:pPr>
        <w:pStyle w:val="yFootnoteheading"/>
        <w:rPr>
          <w:snapToGrid w:val="0"/>
        </w:rPr>
      </w:pPr>
      <w:r>
        <w:rPr>
          <w:snapToGrid w:val="0"/>
        </w:rPr>
        <w:tab/>
        <w:t xml:space="preserve">[Heading inserted: Gazette </w:t>
      </w:r>
      <w:r>
        <w:t>31 May 2019 p. 1761</w:t>
      </w:r>
      <w:r>
        <w:rPr>
          <w:snapToGrid w:val="0"/>
        </w:rPr>
        <w:t>.]</w:t>
      </w:r>
    </w:p>
    <w:p>
      <w:pPr>
        <w:pStyle w:val="yHeading5"/>
      </w:pPr>
      <w:bookmarkStart w:id="287" w:name="_Toc12881359"/>
      <w:r>
        <w:rPr>
          <w:rStyle w:val="CharSClsNo"/>
        </w:rPr>
        <w:t>5</w:t>
      </w:r>
      <w:r>
        <w:t>.</w:t>
      </w:r>
      <w:r>
        <w:tab/>
        <w:t>Albany, Albany Waterfront Marina</w:t>
      </w:r>
      <w:bookmarkEnd w:id="287"/>
    </w:p>
    <w:p>
      <w:pPr>
        <w:pStyle w:val="ySubsection"/>
      </w:pPr>
      <w:r>
        <w:tab/>
        <w:t>(1)</w:t>
      </w:r>
      <w:r>
        <w:tab/>
        <w:t>This clause applies to the Albany Waterfront Marina at Albany.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Borders>
              <w:top w:val="single" w:sz="4" w:space="0" w:color="auto"/>
            </w:tcBorders>
          </w:tcPr>
          <w:p>
            <w:pPr>
              <w:pStyle w:val="yTableNAm"/>
              <w:jc w:val="center"/>
            </w:pPr>
            <w:r>
              <w:t>1.</w:t>
            </w:r>
          </w:p>
        </w:tc>
        <w:tc>
          <w:tcPr>
            <w:tcW w:w="4819" w:type="dxa"/>
            <w:tcBorders>
              <w:top w:val="single" w:sz="4" w:space="0" w:color="auto"/>
            </w:tcBorders>
          </w:tcPr>
          <w:p>
            <w:pPr>
              <w:pStyle w:val="yTableNAm"/>
            </w:pPr>
            <w:r>
              <w:t>For the use, other than casual daily use, of a floating pen with a walkway, an amount calculated per metre of the pen’s length using the annual rate of</w:t>
            </w:r>
          </w:p>
        </w:tc>
        <w:tc>
          <w:tcPr>
            <w:tcW w:w="1276" w:type="dxa"/>
            <w:tcBorders>
              <w:top w:val="single" w:sz="4" w:space="0" w:color="auto"/>
            </w:tcBorders>
            <w:vAlign w:val="bottom"/>
          </w:tcPr>
          <w:p>
            <w:pPr>
              <w:pStyle w:val="yTableNAm"/>
              <w:jc w:val="center"/>
            </w:pPr>
            <w:r>
              <w:t>532.80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426.00</w:t>
            </w:r>
          </w:p>
        </w:tc>
      </w:tr>
      <w:tr>
        <w:trPr>
          <w:cantSplit/>
        </w:trPr>
        <w:tc>
          <w:tcPr>
            <w:tcW w:w="709" w:type="dxa"/>
          </w:tcPr>
          <w:p>
            <w:pPr>
              <w:pStyle w:val="yTableNAm"/>
              <w:jc w:val="center"/>
            </w:pPr>
            <w:r>
              <w:t>3.</w:t>
            </w:r>
          </w:p>
        </w:tc>
        <w:tc>
          <w:tcPr>
            <w:tcW w:w="4819" w:type="dxa"/>
          </w:tcPr>
          <w:p>
            <w:pPr>
              <w:pStyle w:val="yTableNAm"/>
            </w:pPr>
            <w:r>
              <w:t>For the use, other than casual daily use, of a floating alongside berth, an amount calculated per metre of the vessel’s length using the annual rate of</w:t>
            </w:r>
          </w:p>
        </w:tc>
        <w:tc>
          <w:tcPr>
            <w:tcW w:w="1276" w:type="dxa"/>
            <w:vAlign w:val="bottom"/>
          </w:tcPr>
          <w:p>
            <w:pPr>
              <w:pStyle w:val="yTableNAm"/>
              <w:jc w:val="center"/>
            </w:pPr>
            <w:r>
              <w:t>532.80</w:t>
            </w:r>
          </w:p>
        </w:tc>
      </w:tr>
      <w:tr>
        <w:trPr>
          <w:cantSplit/>
        </w:trPr>
        <w:tc>
          <w:tcPr>
            <w:tcW w:w="709" w:type="dxa"/>
          </w:tcPr>
          <w:p>
            <w:pPr>
              <w:pStyle w:val="yTableNAm"/>
              <w:jc w:val="center"/>
            </w:pPr>
            <w:r>
              <w:t>4.</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5.</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5 inserted: Gazette 31 May 2019 p. 1761.]</w:t>
      </w:r>
    </w:p>
    <w:p>
      <w:pPr>
        <w:pStyle w:val="yHeading5"/>
      </w:pPr>
      <w:bookmarkStart w:id="288" w:name="_Toc12881360"/>
      <w:r>
        <w:rPr>
          <w:rStyle w:val="CharSClsNo"/>
        </w:rPr>
        <w:t>6</w:t>
      </w:r>
      <w:r>
        <w:t>.</w:t>
      </w:r>
      <w:r>
        <w:tab/>
        <w:t>Albany, Emu Point Boat Harbour</w:t>
      </w:r>
      <w:bookmarkEnd w:id="288"/>
    </w:p>
    <w:p>
      <w:pPr>
        <w:pStyle w:val="ySubsection"/>
      </w:pPr>
      <w:r>
        <w:tab/>
        <w:t>(1)</w:t>
      </w:r>
      <w:r>
        <w:tab/>
        <w:t>This clause applies to the Emu Point Boat Harbour at Albany.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279.10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336.10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6 inserted: Gazette 31 May 2019 p. 1762.]</w:t>
      </w:r>
    </w:p>
    <w:p>
      <w:pPr>
        <w:pStyle w:val="yHeading5"/>
      </w:pPr>
      <w:bookmarkStart w:id="289" w:name="_Toc12881361"/>
      <w:r>
        <w:rPr>
          <w:rStyle w:val="CharSClsNo"/>
        </w:rPr>
        <w:t>7</w:t>
      </w:r>
      <w:r>
        <w:t>.</w:t>
      </w:r>
      <w:r>
        <w:tab/>
        <w:t>Augusta Boat Harbour</w:t>
      </w:r>
      <w:bookmarkEnd w:id="289"/>
    </w:p>
    <w:p>
      <w:pPr>
        <w:pStyle w:val="ySubsection"/>
      </w:pPr>
      <w:r>
        <w:tab/>
        <w:t>(1)</w:t>
      </w:r>
      <w:r>
        <w:tab/>
        <w:t>This clause applies to the Augusta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floating pen with a walkway, an amount calculated per metre of the pen’s length using the annual rate of</w:t>
            </w:r>
          </w:p>
        </w:tc>
        <w:tc>
          <w:tcPr>
            <w:tcW w:w="1276" w:type="dxa"/>
            <w:vAlign w:val="bottom"/>
          </w:tcPr>
          <w:p>
            <w:pPr>
              <w:pStyle w:val="yTableNAm"/>
              <w:jc w:val="center"/>
            </w:pPr>
            <w:r>
              <w:t>532.80</w:t>
            </w:r>
          </w:p>
        </w:tc>
      </w:tr>
      <w:tr>
        <w:trPr>
          <w:cantSplit/>
        </w:trPr>
        <w:tc>
          <w:tcPr>
            <w:tcW w:w="709" w:type="dxa"/>
          </w:tcPr>
          <w:p>
            <w:pPr>
              <w:pStyle w:val="yTableNAm"/>
              <w:jc w:val="center"/>
            </w:pPr>
            <w:r>
              <w:t>2.</w:t>
            </w:r>
          </w:p>
        </w:tc>
        <w:tc>
          <w:tcPr>
            <w:tcW w:w="4819" w:type="dxa"/>
          </w:tcPr>
          <w:p>
            <w:pPr>
              <w:pStyle w:val="yTableNAm"/>
            </w:pPr>
            <w:r>
              <w:t>For the use, other than casual daily use, of a floating alongside berth, an amount calculated per metre of the vessel’s length using the annual rate of</w:t>
            </w:r>
          </w:p>
        </w:tc>
        <w:tc>
          <w:tcPr>
            <w:tcW w:w="1276" w:type="dxa"/>
            <w:vAlign w:val="bottom"/>
          </w:tcPr>
          <w:p>
            <w:pPr>
              <w:pStyle w:val="yTableNAm"/>
              <w:jc w:val="center"/>
            </w:pPr>
            <w:r>
              <w:t>532.80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7 inserted: Gazette 31 May 2019 p. 1762</w:t>
      </w:r>
      <w:r>
        <w:noBreakHyphen/>
        <w:t>3.]</w:t>
      </w:r>
    </w:p>
    <w:p>
      <w:pPr>
        <w:pStyle w:val="yHeading5"/>
      </w:pPr>
      <w:bookmarkStart w:id="290" w:name="_Toc12881362"/>
      <w:r>
        <w:rPr>
          <w:rStyle w:val="CharSClsNo"/>
        </w:rPr>
        <w:t>8</w:t>
      </w:r>
      <w:r>
        <w:t>.</w:t>
      </w:r>
      <w:r>
        <w:tab/>
        <w:t>Augusta (Ellis Street) Maritime Facility</w:t>
      </w:r>
      <w:bookmarkEnd w:id="290"/>
    </w:p>
    <w:p>
      <w:pPr>
        <w:pStyle w:val="ySubsection"/>
      </w:pPr>
      <w:r>
        <w:tab/>
        <w:t>(1)</w:t>
      </w:r>
      <w:r>
        <w:tab/>
        <w:t>This clause applies to the Augusta (Ellis Street) Maritime Facility.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336.10</w:t>
            </w:r>
          </w:p>
        </w:tc>
      </w:tr>
      <w:tr>
        <w:trPr>
          <w:cantSplit/>
        </w:trPr>
        <w:tc>
          <w:tcPr>
            <w:tcW w:w="709" w:type="dxa"/>
          </w:tcPr>
          <w:p>
            <w:pPr>
              <w:pStyle w:val="yTableNAm"/>
              <w:jc w:val="center"/>
            </w:pPr>
            <w:r>
              <w:t>2.</w:t>
            </w:r>
          </w:p>
        </w:tc>
        <w:tc>
          <w:tcPr>
            <w:tcW w:w="4819" w:type="dxa"/>
          </w:tcPr>
          <w:p>
            <w:pPr>
              <w:pStyle w:val="yTableNAm"/>
            </w:pPr>
            <w:r>
              <w:t xml:space="preserve">For the casual daily use of an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3.</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8 inserted: Gazette 31 May 2019 p. 1763.]</w:t>
      </w:r>
    </w:p>
    <w:p>
      <w:pPr>
        <w:pStyle w:val="yHeading5"/>
      </w:pPr>
      <w:bookmarkStart w:id="291" w:name="_Toc12881363"/>
      <w:r>
        <w:rPr>
          <w:rStyle w:val="CharSClsNo"/>
        </w:rPr>
        <w:t>9</w:t>
      </w:r>
      <w:r>
        <w:t>.</w:t>
      </w:r>
      <w:r>
        <w:tab/>
        <w:t>Bremer Bay</w:t>
      </w:r>
      <w:bookmarkEnd w:id="291"/>
    </w:p>
    <w:p>
      <w:pPr>
        <w:pStyle w:val="ySubsection"/>
      </w:pPr>
      <w:r>
        <w:tab/>
        <w:t>(1)</w:t>
      </w:r>
      <w:r>
        <w:tab/>
        <w:t>This clause applies to Bremer Bay.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by a vessel for which a swing mooring fee has not been paid, an amount calculated using standard Rate 3</w:t>
            </w:r>
          </w:p>
        </w:tc>
      </w:tr>
    </w:tbl>
    <w:p>
      <w:pPr>
        <w:pStyle w:val="yFootnotesection"/>
      </w:pPr>
      <w:r>
        <w:tab/>
        <w:t>[Clause 9 inserted: Gazette 31 May 2019 p. 1764.]</w:t>
      </w:r>
    </w:p>
    <w:p>
      <w:pPr>
        <w:pStyle w:val="yHeading5"/>
      </w:pPr>
      <w:bookmarkStart w:id="292" w:name="_Toc12881364"/>
      <w:r>
        <w:rPr>
          <w:rStyle w:val="CharSClsNo"/>
        </w:rPr>
        <w:t>10</w:t>
      </w:r>
      <w:r>
        <w:t>.</w:t>
      </w:r>
      <w:r>
        <w:tab/>
        <w:t>Bunbury, Casuarina Boat Harbour</w:t>
      </w:r>
      <w:bookmarkEnd w:id="292"/>
    </w:p>
    <w:p>
      <w:pPr>
        <w:pStyle w:val="ySubsection"/>
      </w:pPr>
      <w:r>
        <w:tab/>
        <w:t>(1)</w:t>
      </w:r>
      <w:r>
        <w:tab/>
        <w:t>This clause applies to the Casuarina Boat Harbour at Bunbury.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434.70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434.70</w:t>
            </w:r>
          </w:p>
        </w:tc>
      </w:tr>
      <w:tr>
        <w:trPr>
          <w:cantSplit/>
        </w:trPr>
        <w:tc>
          <w:tcPr>
            <w:tcW w:w="709" w:type="dxa"/>
          </w:tcPr>
          <w:p>
            <w:pPr>
              <w:pStyle w:val="yTableNAm"/>
              <w:keepNext/>
              <w:jc w:val="center"/>
            </w:pPr>
            <w:r>
              <w:t>3.</w:t>
            </w:r>
          </w:p>
        </w:tc>
        <w:tc>
          <w:tcPr>
            <w:tcW w:w="4819" w:type="dxa"/>
          </w:tcPr>
          <w:p>
            <w:pPr>
              <w:pStyle w:val="yTableNAm"/>
              <w:keepNext/>
            </w:pPr>
            <w:r>
              <w:t xml:space="preserve">For the casual daily use of a pen or alongside berth — </w:t>
            </w:r>
          </w:p>
        </w:tc>
        <w:tc>
          <w:tcPr>
            <w:tcW w:w="1276" w:type="dxa"/>
            <w:vAlign w:val="bottom"/>
          </w:tcPr>
          <w:p>
            <w:pPr>
              <w:pStyle w:val="yTableNAm"/>
              <w:keepNext/>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10 inserted: Gazette 31 May 2019 p. 1764</w:t>
      </w:r>
      <w:r>
        <w:noBreakHyphen/>
        <w:t>5.]</w:t>
      </w:r>
    </w:p>
    <w:p>
      <w:pPr>
        <w:pStyle w:val="yHeading5"/>
      </w:pPr>
      <w:bookmarkStart w:id="293" w:name="_Toc12881365"/>
      <w:r>
        <w:rPr>
          <w:rStyle w:val="CharSClsNo"/>
        </w:rPr>
        <w:t>11</w:t>
      </w:r>
      <w:r>
        <w:t>.</w:t>
      </w:r>
      <w:r>
        <w:tab/>
        <w:t>Carnarvon Boat Harbour</w:t>
      </w:r>
      <w:bookmarkEnd w:id="293"/>
    </w:p>
    <w:p>
      <w:pPr>
        <w:pStyle w:val="ySubsection"/>
      </w:pPr>
      <w:r>
        <w:tab/>
        <w:t>(1)</w:t>
      </w:r>
      <w:r>
        <w:tab/>
        <w:t>This clause applies to the Carnarvon Boat Harbour.</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321.40</w:t>
            </w: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293.80</w:t>
            </w:r>
          </w:p>
        </w:tc>
      </w:tr>
      <w:tr>
        <w:trPr>
          <w:cantSplit/>
        </w:trPr>
        <w:tc>
          <w:tcPr>
            <w:tcW w:w="709" w:type="dxa"/>
          </w:tcPr>
          <w:p>
            <w:pPr>
              <w:pStyle w:val="yTableNAm"/>
              <w:jc w:val="center"/>
            </w:pPr>
            <w:r>
              <w:t>3.</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385.50</w:t>
            </w:r>
          </w:p>
        </w:tc>
      </w:tr>
      <w:tr>
        <w:trPr>
          <w:cantSplit/>
        </w:trPr>
        <w:tc>
          <w:tcPr>
            <w:tcW w:w="709" w:type="dxa"/>
          </w:tcPr>
          <w:p>
            <w:pPr>
              <w:pStyle w:val="yTableNAm"/>
              <w:jc w:val="center"/>
            </w:pPr>
            <w:r>
              <w:t>4.</w:t>
            </w:r>
          </w:p>
        </w:tc>
        <w:tc>
          <w:tcPr>
            <w:tcW w:w="4819" w:type="dxa"/>
          </w:tcPr>
          <w:p>
            <w:pPr>
              <w:pStyle w:val="yTableNAm"/>
            </w:pPr>
            <w:r>
              <w:t>For the use, other than casual daily use, of a pile mooring, an amount calculated per metre of the vessel’s length using the annual rate of</w:t>
            </w:r>
          </w:p>
        </w:tc>
        <w:tc>
          <w:tcPr>
            <w:tcW w:w="1276" w:type="dxa"/>
            <w:vAlign w:val="bottom"/>
          </w:tcPr>
          <w:p>
            <w:pPr>
              <w:pStyle w:val="yTableNAm"/>
              <w:jc w:val="center"/>
            </w:pPr>
            <w:r>
              <w:t>180.50</w:t>
            </w:r>
          </w:p>
        </w:tc>
      </w:tr>
      <w:tr>
        <w:trPr>
          <w:cantSplit/>
        </w:trPr>
        <w:tc>
          <w:tcPr>
            <w:tcW w:w="709" w:type="dxa"/>
          </w:tcPr>
          <w:p>
            <w:pPr>
              <w:pStyle w:val="yTableNAm"/>
              <w:jc w:val="center"/>
            </w:pPr>
            <w:r>
              <w:t>5.</w:t>
            </w:r>
          </w:p>
        </w:tc>
        <w:tc>
          <w:tcPr>
            <w:tcW w:w="4819" w:type="dxa"/>
          </w:tcPr>
          <w:p>
            <w:pPr>
              <w:pStyle w:val="yTableNAm"/>
            </w:pPr>
            <w:r>
              <w:t>For the casual daily use of a pen, alongside berth or pile mooring 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r>
              <w:t>6.</w:t>
            </w:r>
          </w:p>
        </w:tc>
        <w:tc>
          <w:tcPr>
            <w:tcW w:w="4819" w:type="dxa"/>
          </w:tcPr>
          <w:p>
            <w:pPr>
              <w:pStyle w:val="yTableNAm"/>
            </w:pPr>
            <w:r>
              <w:t>For the casual daily use of a pen, alongside berth or pile mooring 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7.</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11 inserted: Gazette 31 May 2019 p. 1765</w:t>
      </w:r>
      <w:r>
        <w:noBreakHyphen/>
        <w:t>6.]</w:t>
      </w:r>
    </w:p>
    <w:p>
      <w:pPr>
        <w:pStyle w:val="yHeading5"/>
      </w:pPr>
      <w:bookmarkStart w:id="294" w:name="_Toc12881366"/>
      <w:r>
        <w:rPr>
          <w:rStyle w:val="CharSClsNo"/>
        </w:rPr>
        <w:t>12</w:t>
      </w:r>
      <w:r>
        <w:t>.</w:t>
      </w:r>
      <w:r>
        <w:tab/>
        <w:t>Cervantes</w:t>
      </w:r>
      <w:bookmarkEnd w:id="294"/>
    </w:p>
    <w:p>
      <w:pPr>
        <w:pStyle w:val="ySubsection"/>
      </w:pPr>
      <w:r>
        <w:tab/>
        <w:t>(1)</w:t>
      </w:r>
      <w:r>
        <w:tab/>
        <w:t>This clause applies to Cervantes.</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6095" w:type="dxa"/>
            <w:tcBorders>
              <w:top w:val="single" w:sz="4" w:space="0" w:color="auto"/>
              <w:bottom w:val="single" w:sz="4" w:space="0" w:color="auto"/>
            </w:tcBorders>
          </w:tcPr>
          <w:p>
            <w:pPr>
              <w:pStyle w:val="yTableNAm"/>
              <w:keepNext/>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12 inserted: Gazette 31 May 2019 p. 1766.]</w:t>
      </w:r>
    </w:p>
    <w:p>
      <w:pPr>
        <w:pStyle w:val="yHeading5"/>
      </w:pPr>
      <w:bookmarkStart w:id="295" w:name="_Toc12881367"/>
      <w:r>
        <w:rPr>
          <w:rStyle w:val="CharSClsNo"/>
        </w:rPr>
        <w:t>13</w:t>
      </w:r>
      <w:r>
        <w:t>.</w:t>
      </w:r>
      <w:r>
        <w:tab/>
        <w:t>Coral Bay Maritime Facility</w:t>
      </w:r>
      <w:bookmarkEnd w:id="295"/>
    </w:p>
    <w:p>
      <w:pPr>
        <w:pStyle w:val="ySubsection"/>
      </w:pPr>
      <w:r>
        <w:tab/>
        <w:t>(1)</w:t>
      </w:r>
      <w:r>
        <w:tab/>
        <w:t>This clause applies to the Coral Bay Maritime Facility.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for short term use by any vessel, an amount calculated using standard Rate 3</w:t>
            </w:r>
          </w:p>
        </w:tc>
      </w:tr>
      <w:tr>
        <w:trPr>
          <w:cantSplit/>
        </w:trPr>
        <w:tc>
          <w:tcPr>
            <w:tcW w:w="709" w:type="dxa"/>
          </w:tcPr>
          <w:p>
            <w:pPr>
              <w:pStyle w:val="yTableNAm"/>
              <w:jc w:val="center"/>
            </w:pPr>
          </w:p>
        </w:tc>
        <w:tc>
          <w:tcPr>
            <w:tcW w:w="6095" w:type="dxa"/>
          </w:tcPr>
          <w:p>
            <w:pPr>
              <w:pStyle w:val="yTableNAm"/>
              <w:ind w:left="567" w:hanging="567"/>
            </w:pPr>
            <w:r>
              <w:t>•</w:t>
            </w:r>
            <w:r>
              <w:tab/>
              <w:t>for casual daily use by a commercial vessel, an amount calculated using standard Rate 1</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casual daily use of a pen or alongside berth by a recreational vessel, an amount calculated using standard Rate 2</w:t>
            </w:r>
          </w:p>
        </w:tc>
      </w:tr>
    </w:tbl>
    <w:p>
      <w:pPr>
        <w:pStyle w:val="yFootnotesection"/>
      </w:pPr>
      <w:r>
        <w:tab/>
        <w:t>[Clause 13 inserted: Gazette 31 May 2019 p. 1766</w:t>
      </w:r>
      <w:r>
        <w:noBreakHyphen/>
        <w:t>7.]</w:t>
      </w:r>
    </w:p>
    <w:p>
      <w:pPr>
        <w:pStyle w:val="yHeading5"/>
      </w:pPr>
      <w:bookmarkStart w:id="296" w:name="_Toc12881368"/>
      <w:r>
        <w:rPr>
          <w:rStyle w:val="CharSClsNo"/>
        </w:rPr>
        <w:t>14</w:t>
      </w:r>
      <w:r>
        <w:t>.</w:t>
      </w:r>
      <w:r>
        <w:tab/>
        <w:t>Denham Maritime Facility</w:t>
      </w:r>
      <w:bookmarkEnd w:id="296"/>
    </w:p>
    <w:p>
      <w:pPr>
        <w:pStyle w:val="ySubsection"/>
      </w:pPr>
      <w:r>
        <w:tab/>
        <w:t>(1)</w:t>
      </w:r>
      <w:r>
        <w:tab/>
        <w:t>This clause applies to the Denham Maritime Facility.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364.10</w:t>
            </w:r>
          </w:p>
        </w:tc>
      </w:tr>
      <w:tr>
        <w:trPr>
          <w:cantSplit/>
        </w:trPr>
        <w:tc>
          <w:tcPr>
            <w:tcW w:w="709" w:type="dxa"/>
          </w:tcPr>
          <w:p>
            <w:pPr>
              <w:pStyle w:val="yTableNAm"/>
              <w:jc w:val="center"/>
            </w:pPr>
            <w:r>
              <w:t>2.</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3.</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14 inserted: Gazette 31 May 2019 p. 1767.]</w:t>
      </w:r>
    </w:p>
    <w:p>
      <w:pPr>
        <w:pStyle w:val="yHeading5"/>
      </w:pPr>
      <w:bookmarkStart w:id="297" w:name="_Toc12881369"/>
      <w:r>
        <w:rPr>
          <w:rStyle w:val="CharSClsNo"/>
        </w:rPr>
        <w:t>15</w:t>
      </w:r>
      <w:r>
        <w:t>.</w:t>
      </w:r>
      <w:r>
        <w:tab/>
        <w:t>Esperance, Bandy Creek Boat Harbour</w:t>
      </w:r>
      <w:bookmarkEnd w:id="297"/>
    </w:p>
    <w:p>
      <w:pPr>
        <w:pStyle w:val="ySubsection"/>
      </w:pPr>
      <w:r>
        <w:tab/>
        <w:t>(1)</w:t>
      </w:r>
      <w:r>
        <w:tab/>
        <w:t>This clause applies to the Bandy Creek Boat Harbour at Esperance.</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392.00</w:t>
            </w: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272.65</w:t>
            </w:r>
          </w:p>
        </w:tc>
      </w:tr>
      <w:tr>
        <w:trPr>
          <w:cantSplit/>
        </w:trPr>
        <w:tc>
          <w:tcPr>
            <w:tcW w:w="709" w:type="dxa"/>
          </w:tcPr>
          <w:p>
            <w:pPr>
              <w:pStyle w:val="yTableNAm"/>
              <w:jc w:val="center"/>
            </w:pPr>
            <w:r>
              <w:t>3.</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392.00</w:t>
            </w:r>
          </w:p>
        </w:tc>
      </w:tr>
      <w:tr>
        <w:trPr>
          <w:cantSplit/>
        </w:trPr>
        <w:tc>
          <w:tcPr>
            <w:tcW w:w="709" w:type="dxa"/>
          </w:tcPr>
          <w:p>
            <w:pPr>
              <w:pStyle w:val="yTableNAm"/>
              <w:jc w:val="center"/>
            </w:pPr>
            <w:r>
              <w:t>4.</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5.</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15 inserted: Gazette 31 May 2019 p. 1767</w:t>
      </w:r>
      <w:r>
        <w:noBreakHyphen/>
        <w:t>8.]</w:t>
      </w:r>
    </w:p>
    <w:p>
      <w:pPr>
        <w:pStyle w:val="yHeading5"/>
      </w:pPr>
      <w:bookmarkStart w:id="298" w:name="_Toc12881370"/>
      <w:r>
        <w:rPr>
          <w:rStyle w:val="CharSClsNo"/>
        </w:rPr>
        <w:t>16</w:t>
      </w:r>
      <w:r>
        <w:t>.</w:t>
      </w:r>
      <w:r>
        <w:tab/>
        <w:t>Exmouth</w:t>
      </w:r>
      <w:bookmarkEnd w:id="298"/>
    </w:p>
    <w:p>
      <w:pPr>
        <w:pStyle w:val="ySubsection"/>
      </w:pPr>
      <w:r>
        <w:tab/>
        <w:t>(1)</w:t>
      </w:r>
      <w:r>
        <w:tab/>
        <w:t>This clause applies to Exmouth.</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keepNext/>
              <w:jc w:val="center"/>
            </w:pPr>
            <w:r>
              <w:t>1.</w:t>
            </w:r>
          </w:p>
        </w:tc>
        <w:tc>
          <w:tcPr>
            <w:tcW w:w="4819" w:type="dxa"/>
          </w:tcPr>
          <w:p>
            <w:pPr>
              <w:pStyle w:val="yTableNAm"/>
              <w:keepNext/>
            </w:pPr>
            <w:r>
              <w:t>For the use, other than casual daily use, of a fixed pen with a walkway by a recreational vessel, Government vessel, tourism vessel or fishing vessel, an amount calculated per metre of the pen’s length using the annual rate of</w:t>
            </w:r>
          </w:p>
        </w:tc>
        <w:tc>
          <w:tcPr>
            <w:tcW w:w="1276" w:type="dxa"/>
            <w:vAlign w:val="bottom"/>
          </w:tcPr>
          <w:p>
            <w:pPr>
              <w:pStyle w:val="yTableNAm"/>
              <w:keepNext/>
              <w:jc w:val="center"/>
            </w:pPr>
            <w:r>
              <w:t>554.10</w:t>
            </w: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 a walkway by a service vessel, an amount calculated per metre of the pen’s length using the annual rate of</w:t>
            </w:r>
          </w:p>
        </w:tc>
        <w:tc>
          <w:tcPr>
            <w:tcW w:w="1276" w:type="dxa"/>
            <w:vAlign w:val="bottom"/>
          </w:tcPr>
          <w:p>
            <w:pPr>
              <w:pStyle w:val="yTableNAm"/>
              <w:jc w:val="center"/>
            </w:pPr>
            <w:r>
              <w:t>735.30</w:t>
            </w:r>
          </w:p>
        </w:tc>
      </w:tr>
      <w:tr>
        <w:trPr>
          <w:cantSplit/>
        </w:trPr>
        <w:tc>
          <w:tcPr>
            <w:tcW w:w="709" w:type="dxa"/>
          </w:tcPr>
          <w:p>
            <w:pPr>
              <w:pStyle w:val="yTableNAm"/>
              <w:jc w:val="center"/>
            </w:pPr>
            <w:r>
              <w:t>3.</w:t>
            </w:r>
          </w:p>
        </w:tc>
        <w:tc>
          <w:tcPr>
            <w:tcW w:w="4819" w:type="dxa"/>
          </w:tcPr>
          <w:p>
            <w:pPr>
              <w:pStyle w:val="yTableNAm"/>
            </w:pPr>
            <w:r>
              <w:t>For the use, other than casual daily use, of a fixed alongside berth by a recreational vessel, Government vessel, tourism vessel or fishing vessel, an amount calculated per metre of the vessel’s length using the annual rate of</w:t>
            </w:r>
          </w:p>
        </w:tc>
        <w:tc>
          <w:tcPr>
            <w:tcW w:w="1276" w:type="dxa"/>
            <w:vAlign w:val="bottom"/>
          </w:tcPr>
          <w:p>
            <w:pPr>
              <w:pStyle w:val="yTableNAm"/>
              <w:jc w:val="center"/>
            </w:pPr>
            <w:r>
              <w:t>554.10</w:t>
            </w:r>
          </w:p>
        </w:tc>
      </w:tr>
      <w:tr>
        <w:trPr>
          <w:cantSplit/>
        </w:trPr>
        <w:tc>
          <w:tcPr>
            <w:tcW w:w="709" w:type="dxa"/>
          </w:tcPr>
          <w:p>
            <w:pPr>
              <w:pStyle w:val="yTableNAm"/>
              <w:jc w:val="center"/>
            </w:pPr>
            <w:r>
              <w:t>4.</w:t>
            </w:r>
          </w:p>
        </w:tc>
        <w:tc>
          <w:tcPr>
            <w:tcW w:w="4819" w:type="dxa"/>
          </w:tcPr>
          <w:p>
            <w:pPr>
              <w:pStyle w:val="yTableNAm"/>
            </w:pPr>
            <w:r>
              <w:t>For the use, other than casual daily use, of a fixed alongside berth by a service vessel, an amount calculated per metre of the vessel’s length using the annual rate of</w:t>
            </w:r>
          </w:p>
        </w:tc>
        <w:tc>
          <w:tcPr>
            <w:tcW w:w="1276" w:type="dxa"/>
            <w:vAlign w:val="bottom"/>
          </w:tcPr>
          <w:p>
            <w:pPr>
              <w:pStyle w:val="yTableNAm"/>
              <w:jc w:val="center"/>
            </w:pPr>
            <w:r>
              <w:t>735.30</w:t>
            </w:r>
          </w:p>
        </w:tc>
      </w:tr>
      <w:tr>
        <w:trPr>
          <w:cantSplit/>
        </w:trPr>
        <w:tc>
          <w:tcPr>
            <w:tcW w:w="709" w:type="dxa"/>
          </w:tcPr>
          <w:p>
            <w:pPr>
              <w:pStyle w:val="yTableNAm"/>
              <w:jc w:val="center"/>
            </w:pPr>
            <w:r>
              <w:t>5.</w:t>
            </w:r>
          </w:p>
        </w:tc>
        <w:tc>
          <w:tcPr>
            <w:tcW w:w="4819" w:type="dxa"/>
          </w:tcPr>
          <w:p>
            <w:pPr>
              <w:pStyle w:val="yTableNAm"/>
            </w:pPr>
            <w:r>
              <w:t>For the use, other than casual daily use, of a floating pen with a walkway by a recreational vessel, Government vessel, tourism vessel or fishing vessel, an amount calculated per metre of the pen’s length using the annual rate of</w:t>
            </w:r>
          </w:p>
        </w:tc>
        <w:tc>
          <w:tcPr>
            <w:tcW w:w="1276" w:type="dxa"/>
            <w:vAlign w:val="bottom"/>
          </w:tcPr>
          <w:p>
            <w:pPr>
              <w:pStyle w:val="yTableNAm"/>
              <w:jc w:val="center"/>
            </w:pPr>
            <w:r>
              <w:t>785.50</w:t>
            </w:r>
          </w:p>
        </w:tc>
      </w:tr>
      <w:tr>
        <w:trPr>
          <w:cantSplit/>
        </w:trPr>
        <w:tc>
          <w:tcPr>
            <w:tcW w:w="709" w:type="dxa"/>
          </w:tcPr>
          <w:p>
            <w:pPr>
              <w:pStyle w:val="yTableNAm"/>
              <w:jc w:val="center"/>
            </w:pPr>
            <w:r>
              <w:t>6.</w:t>
            </w:r>
          </w:p>
        </w:tc>
        <w:tc>
          <w:tcPr>
            <w:tcW w:w="4819" w:type="dxa"/>
          </w:tcPr>
          <w:p>
            <w:pPr>
              <w:pStyle w:val="yTableNAm"/>
            </w:pPr>
            <w:r>
              <w:t>For the use, other than casual daily use, of a floating pen with a walkway by a service vessel, an amount calculated per metre of the pen’s length using the annual rate of</w:t>
            </w:r>
          </w:p>
        </w:tc>
        <w:tc>
          <w:tcPr>
            <w:tcW w:w="1276" w:type="dxa"/>
            <w:vAlign w:val="bottom"/>
          </w:tcPr>
          <w:p>
            <w:pPr>
              <w:pStyle w:val="yTableNAm"/>
              <w:jc w:val="center"/>
            </w:pPr>
            <w:r>
              <w:t>1 066.00</w:t>
            </w:r>
          </w:p>
        </w:tc>
      </w:tr>
      <w:tr>
        <w:trPr>
          <w:cantSplit/>
        </w:trPr>
        <w:tc>
          <w:tcPr>
            <w:tcW w:w="709" w:type="dxa"/>
          </w:tcPr>
          <w:p>
            <w:pPr>
              <w:pStyle w:val="yTableNAm"/>
              <w:jc w:val="center"/>
            </w:pPr>
            <w:r>
              <w:t>7.</w:t>
            </w:r>
          </w:p>
        </w:tc>
        <w:tc>
          <w:tcPr>
            <w:tcW w:w="4819" w:type="dxa"/>
          </w:tcPr>
          <w:p>
            <w:pPr>
              <w:pStyle w:val="yTableNAm"/>
            </w:pPr>
            <w:r>
              <w:t>For the use, other than casual daily use, of a 25 m pen with a walkway by a vessel, an amount calculated per metre of the pen’s length using the annual rate of</w:t>
            </w:r>
          </w:p>
        </w:tc>
        <w:tc>
          <w:tcPr>
            <w:tcW w:w="1276" w:type="dxa"/>
            <w:vAlign w:val="bottom"/>
          </w:tcPr>
          <w:p>
            <w:pPr>
              <w:pStyle w:val="yTableNAm"/>
              <w:jc w:val="center"/>
            </w:pPr>
            <w:r>
              <w:t>1 321.60</w:t>
            </w:r>
          </w:p>
        </w:tc>
      </w:tr>
      <w:tr>
        <w:trPr>
          <w:cantSplit/>
        </w:trPr>
        <w:tc>
          <w:tcPr>
            <w:tcW w:w="709" w:type="dxa"/>
          </w:tcPr>
          <w:p>
            <w:pPr>
              <w:pStyle w:val="yTableNAm"/>
              <w:jc w:val="center"/>
            </w:pPr>
            <w:r>
              <w:t>8.</w:t>
            </w:r>
          </w:p>
        </w:tc>
        <w:tc>
          <w:tcPr>
            <w:tcW w:w="4819" w:type="dxa"/>
          </w:tcPr>
          <w:p>
            <w:pPr>
              <w:pStyle w:val="yTableNAm"/>
            </w:pPr>
            <w:r>
              <w:t>For the use, other than casual daily use, of a floating alongside berth by a recreational vessel, Government vessel, tourism vessel or fishing vessel, an amount calculated per metre of the vessel’s length using the annual rate of</w:t>
            </w:r>
          </w:p>
        </w:tc>
        <w:tc>
          <w:tcPr>
            <w:tcW w:w="1276" w:type="dxa"/>
            <w:vAlign w:val="bottom"/>
          </w:tcPr>
          <w:p>
            <w:pPr>
              <w:pStyle w:val="yTableNAm"/>
              <w:jc w:val="center"/>
            </w:pPr>
            <w:r>
              <w:t>785.50</w:t>
            </w:r>
          </w:p>
        </w:tc>
      </w:tr>
      <w:tr>
        <w:trPr>
          <w:cantSplit/>
        </w:trPr>
        <w:tc>
          <w:tcPr>
            <w:tcW w:w="709" w:type="dxa"/>
          </w:tcPr>
          <w:p>
            <w:pPr>
              <w:pStyle w:val="yTableNAm"/>
              <w:jc w:val="center"/>
            </w:pPr>
            <w:r>
              <w:t>9.</w:t>
            </w:r>
          </w:p>
        </w:tc>
        <w:tc>
          <w:tcPr>
            <w:tcW w:w="4819" w:type="dxa"/>
          </w:tcPr>
          <w:p>
            <w:pPr>
              <w:pStyle w:val="yTableNAm"/>
            </w:pPr>
            <w:r>
              <w:t>For the use, other than casual daily use, of a floating alongside berth by a service vessel, an amount calculated per metre of the vessel’s length using the annual rate of</w:t>
            </w:r>
          </w:p>
        </w:tc>
        <w:tc>
          <w:tcPr>
            <w:tcW w:w="1276" w:type="dxa"/>
            <w:vAlign w:val="bottom"/>
          </w:tcPr>
          <w:p>
            <w:pPr>
              <w:pStyle w:val="yTableNAm"/>
              <w:jc w:val="center"/>
            </w:pPr>
            <w:r>
              <w:t>1 066.00</w:t>
            </w:r>
          </w:p>
        </w:tc>
      </w:tr>
      <w:tr>
        <w:trPr>
          <w:cantSplit/>
        </w:trPr>
        <w:tc>
          <w:tcPr>
            <w:tcW w:w="709" w:type="dxa"/>
          </w:tcPr>
          <w:p>
            <w:pPr>
              <w:pStyle w:val="yTableNAm"/>
              <w:keepNext/>
              <w:jc w:val="center"/>
            </w:pPr>
            <w:r>
              <w:t>10.</w:t>
            </w:r>
          </w:p>
        </w:tc>
        <w:tc>
          <w:tcPr>
            <w:tcW w:w="4819" w:type="dxa"/>
          </w:tcPr>
          <w:p>
            <w:pPr>
              <w:pStyle w:val="yTableNAm"/>
              <w:keepNext/>
              <w:keepLines/>
            </w:pPr>
            <w:r>
              <w:t xml:space="preserve">For the casual daily use of a pen or alongside berth — </w:t>
            </w:r>
          </w:p>
        </w:tc>
        <w:tc>
          <w:tcPr>
            <w:tcW w:w="1276" w:type="dxa"/>
            <w:vAlign w:val="bottom"/>
          </w:tcPr>
          <w:p>
            <w:pPr>
              <w:pStyle w:val="yTableNAm"/>
              <w:keepNext/>
              <w:jc w:val="center"/>
            </w:pPr>
          </w:p>
        </w:tc>
      </w:tr>
      <w:tr>
        <w:trPr>
          <w:cantSplit/>
        </w:trPr>
        <w:tc>
          <w:tcPr>
            <w:tcW w:w="709" w:type="dxa"/>
          </w:tcPr>
          <w:p>
            <w:pPr>
              <w:pStyle w:val="yTableNAm"/>
              <w:jc w:val="center"/>
            </w:pPr>
          </w:p>
        </w:tc>
        <w:tc>
          <w:tcPr>
            <w:tcW w:w="4819" w:type="dxa"/>
          </w:tcPr>
          <w:p>
            <w:pPr>
              <w:pStyle w:val="yTableNAm"/>
              <w:ind w:left="567" w:hanging="567"/>
            </w:pPr>
            <w:r>
              <w:t>•</w:t>
            </w:r>
            <w:r>
              <w:tab/>
              <w:t>by a Government vessel, tourism vessel or fishing vessel, an amount calculated using standard Rate 1</w:t>
            </w:r>
          </w:p>
        </w:tc>
        <w:tc>
          <w:tcPr>
            <w:tcW w:w="1276" w:type="dxa"/>
            <w:vAlign w:val="bottom"/>
          </w:tcPr>
          <w:p>
            <w:pPr>
              <w:pStyle w:val="yTableNAm"/>
              <w:jc w:val="center"/>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center"/>
            </w:pPr>
          </w:p>
        </w:tc>
      </w:tr>
      <w:tr>
        <w:trPr>
          <w:cantSplit/>
        </w:trPr>
        <w:tc>
          <w:tcPr>
            <w:tcW w:w="709" w:type="dxa"/>
          </w:tcPr>
          <w:p>
            <w:pPr>
              <w:pStyle w:val="yTableNAm"/>
              <w:jc w:val="center"/>
            </w:pPr>
            <w:r>
              <w:t>11.</w:t>
            </w:r>
          </w:p>
        </w:tc>
        <w:tc>
          <w:tcPr>
            <w:tcW w:w="4819" w:type="dxa"/>
          </w:tcPr>
          <w:p>
            <w:pPr>
              <w:pStyle w:val="yTableNAm"/>
            </w:pPr>
            <w:r>
              <w:t>For the short term use of an alongside berth on a service jetty by a vessel (other than a service vessel), an amount calculated using standard Rate 3</w:t>
            </w:r>
          </w:p>
        </w:tc>
        <w:tc>
          <w:tcPr>
            <w:tcW w:w="1276" w:type="dxa"/>
            <w:vAlign w:val="bottom"/>
          </w:tcPr>
          <w:p>
            <w:pPr>
              <w:pStyle w:val="yTableNAm"/>
              <w:jc w:val="center"/>
            </w:pPr>
          </w:p>
        </w:tc>
      </w:tr>
      <w:tr>
        <w:trPr>
          <w:cantSplit/>
        </w:trPr>
        <w:tc>
          <w:tcPr>
            <w:tcW w:w="709" w:type="dxa"/>
          </w:tcPr>
          <w:p>
            <w:pPr>
              <w:pStyle w:val="yTableNAm"/>
              <w:jc w:val="center"/>
            </w:pPr>
            <w:r>
              <w:t>12.</w:t>
            </w:r>
          </w:p>
        </w:tc>
        <w:tc>
          <w:tcPr>
            <w:tcW w:w="4819" w:type="dxa"/>
          </w:tcPr>
          <w:p>
            <w:pPr>
              <w:pStyle w:val="yTableNAm"/>
            </w:pPr>
            <w:r>
              <w:t>For the casual daily use of a pen or alongside berth, other than on a service jetty, by a service vessel, an amount calculated per metre of the vessel’s length using the daily rate of</w:t>
            </w:r>
          </w:p>
        </w:tc>
        <w:tc>
          <w:tcPr>
            <w:tcW w:w="1276" w:type="dxa"/>
            <w:vAlign w:val="bottom"/>
          </w:tcPr>
          <w:p>
            <w:pPr>
              <w:pStyle w:val="yTableNAm"/>
              <w:jc w:val="center"/>
            </w:pPr>
            <w:r>
              <w:t>11.75</w:t>
            </w:r>
          </w:p>
        </w:tc>
      </w:tr>
      <w:tr>
        <w:trPr>
          <w:cantSplit/>
        </w:trPr>
        <w:tc>
          <w:tcPr>
            <w:tcW w:w="709" w:type="dxa"/>
            <w:tcBorders>
              <w:bottom w:val="single" w:sz="4" w:space="0" w:color="auto"/>
            </w:tcBorders>
          </w:tcPr>
          <w:p>
            <w:pPr>
              <w:pStyle w:val="yTableNAm"/>
              <w:jc w:val="center"/>
            </w:pPr>
            <w:r>
              <w:t>13.</w:t>
            </w:r>
          </w:p>
        </w:tc>
        <w:tc>
          <w:tcPr>
            <w:tcW w:w="4819" w:type="dxa"/>
            <w:tcBorders>
              <w:bottom w:val="single" w:sz="4" w:space="0" w:color="auto"/>
            </w:tcBorders>
          </w:tcPr>
          <w:p>
            <w:pPr>
              <w:pStyle w:val="yTableNAm"/>
            </w:pPr>
            <w:r>
              <w:t>For the use of a service jetty, other than while refuelling, by a service vessel, an amount calculated per metre of the vessel’s length using the 12</w:t>
            </w:r>
            <w:r>
              <w:noBreakHyphen/>
              <w:t>hourly rate of</w:t>
            </w:r>
          </w:p>
        </w:tc>
        <w:tc>
          <w:tcPr>
            <w:tcW w:w="1276" w:type="dxa"/>
            <w:tcBorders>
              <w:bottom w:val="single" w:sz="4" w:space="0" w:color="auto"/>
            </w:tcBorders>
            <w:vAlign w:val="bottom"/>
          </w:tcPr>
          <w:p>
            <w:pPr>
              <w:pStyle w:val="yTableNAm"/>
              <w:jc w:val="center"/>
            </w:pPr>
            <w:r>
              <w:t>18.10</w:t>
            </w:r>
          </w:p>
        </w:tc>
      </w:tr>
    </w:tbl>
    <w:p>
      <w:pPr>
        <w:pStyle w:val="yFootnotesection"/>
      </w:pPr>
      <w:r>
        <w:tab/>
        <w:t>[Clause 16 inserted: Gazette 31 May 2019 p. 1768</w:t>
      </w:r>
      <w:r>
        <w:noBreakHyphen/>
        <w:t>70.]</w:t>
      </w:r>
    </w:p>
    <w:p>
      <w:pPr>
        <w:pStyle w:val="yHeading5"/>
      </w:pPr>
      <w:bookmarkStart w:id="299" w:name="_Toc12881371"/>
      <w:r>
        <w:rPr>
          <w:rStyle w:val="CharSClsNo"/>
        </w:rPr>
        <w:t>17</w:t>
      </w:r>
      <w:r>
        <w:t>.</w:t>
      </w:r>
      <w:r>
        <w:tab/>
        <w:t>Fremantle Fishing Boat Harbour</w:t>
      </w:r>
      <w:bookmarkEnd w:id="299"/>
    </w:p>
    <w:p>
      <w:pPr>
        <w:pStyle w:val="ySubsection"/>
      </w:pPr>
      <w:r>
        <w:tab/>
        <w:t>(1)</w:t>
      </w:r>
      <w:r>
        <w:tab/>
        <w:t>This clause applies to the Fremantle Fishing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jc w:val="center"/>
            </w:pPr>
            <w:r>
              <w:t>1.</w:t>
            </w:r>
          </w:p>
        </w:tc>
        <w:tc>
          <w:tcPr>
            <w:tcW w:w="4819" w:type="dxa"/>
          </w:tcPr>
          <w:p>
            <w:pPr>
              <w:pStyle w:val="yTableNAm"/>
            </w:pPr>
            <w:r>
              <w:t xml:space="preserve">For the use, other than casual daily use, of a fixed pen without a walkway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per metre of the pen’s length using the annual rate of</w:t>
            </w:r>
          </w:p>
        </w:tc>
        <w:tc>
          <w:tcPr>
            <w:tcW w:w="1276" w:type="dxa"/>
            <w:vAlign w:val="bottom"/>
          </w:tcPr>
          <w:p>
            <w:pPr>
              <w:pStyle w:val="yTableNAm"/>
              <w:jc w:val="center"/>
            </w:pPr>
            <w:r>
              <w:t>406.75</w:t>
            </w: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per metre of the pen’s length using the annual rate of</w:t>
            </w:r>
          </w:p>
        </w:tc>
        <w:tc>
          <w:tcPr>
            <w:tcW w:w="1276" w:type="dxa"/>
            <w:vAlign w:val="bottom"/>
          </w:tcPr>
          <w:p>
            <w:pPr>
              <w:pStyle w:val="yTableNAm"/>
              <w:jc w:val="center"/>
            </w:pPr>
            <w:r>
              <w:t>546.00</w:t>
            </w:r>
          </w:p>
        </w:tc>
      </w:tr>
      <w:tr>
        <w:trPr>
          <w:cantSplit/>
        </w:trPr>
        <w:tc>
          <w:tcPr>
            <w:tcW w:w="709" w:type="dxa"/>
          </w:tcPr>
          <w:p>
            <w:pPr>
              <w:pStyle w:val="yTableNAm"/>
              <w:jc w:val="center"/>
            </w:pPr>
            <w:r>
              <w:t>2.</w:t>
            </w:r>
          </w:p>
        </w:tc>
        <w:tc>
          <w:tcPr>
            <w:tcW w:w="4819" w:type="dxa"/>
          </w:tcPr>
          <w:p>
            <w:pPr>
              <w:pStyle w:val="yTableNAm"/>
            </w:pPr>
            <w:r>
              <w:t xml:space="preserve">For the use, other than casual daily use, of a fixed alongside berth — </w:t>
            </w:r>
          </w:p>
        </w:tc>
        <w:tc>
          <w:tcPr>
            <w:tcW w:w="1276" w:type="dxa"/>
            <w:vAlign w:val="bottom"/>
          </w:tcPr>
          <w:p>
            <w:pPr>
              <w:pStyle w:val="yTableNAm"/>
              <w:jc w:val="center"/>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per metre of the vessel’s length using the annual rate of</w:t>
            </w:r>
          </w:p>
        </w:tc>
        <w:tc>
          <w:tcPr>
            <w:tcW w:w="1276" w:type="dxa"/>
            <w:vAlign w:val="bottom"/>
          </w:tcPr>
          <w:p>
            <w:pPr>
              <w:pStyle w:val="yTableNAm"/>
              <w:jc w:val="center"/>
            </w:pPr>
            <w:r>
              <w:t>441.20</w:t>
            </w: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per metre of the vessel’s length using the annual rate of</w:t>
            </w:r>
          </w:p>
        </w:tc>
        <w:tc>
          <w:tcPr>
            <w:tcW w:w="1276" w:type="dxa"/>
            <w:vAlign w:val="bottom"/>
          </w:tcPr>
          <w:p>
            <w:pPr>
              <w:pStyle w:val="yTableNAm"/>
              <w:jc w:val="center"/>
            </w:pPr>
            <w:r>
              <w:t>588.20</w:t>
            </w:r>
          </w:p>
        </w:tc>
      </w:tr>
      <w:tr>
        <w:trPr>
          <w:cantSplit/>
        </w:trPr>
        <w:tc>
          <w:tcPr>
            <w:tcW w:w="709" w:type="dxa"/>
          </w:tcPr>
          <w:p>
            <w:pPr>
              <w:pStyle w:val="yTableNAm"/>
              <w:jc w:val="center"/>
            </w:pPr>
            <w:r>
              <w:t>3.</w:t>
            </w:r>
          </w:p>
        </w:tc>
        <w:tc>
          <w:tcPr>
            <w:tcW w:w="4819" w:type="dxa"/>
          </w:tcPr>
          <w:p>
            <w:pPr>
              <w:pStyle w:val="yTableNAm"/>
            </w:pPr>
            <w:r>
              <w:t>For the use, other than casual daily use, of a floating pen with a walkway by a vessel, an amount calculated per metre of the pen’s length using the annual rate of</w:t>
            </w:r>
          </w:p>
        </w:tc>
        <w:tc>
          <w:tcPr>
            <w:tcW w:w="1276" w:type="dxa"/>
            <w:vAlign w:val="bottom"/>
          </w:tcPr>
          <w:p>
            <w:pPr>
              <w:pStyle w:val="yTableNAm"/>
              <w:jc w:val="center"/>
            </w:pPr>
            <w:r>
              <w:t>826.00</w:t>
            </w:r>
          </w:p>
        </w:tc>
      </w:tr>
      <w:tr>
        <w:trPr>
          <w:cantSplit/>
        </w:trPr>
        <w:tc>
          <w:tcPr>
            <w:tcW w:w="709" w:type="dxa"/>
          </w:tcPr>
          <w:p>
            <w:pPr>
              <w:pStyle w:val="yTableNAm"/>
              <w:jc w:val="center"/>
            </w:pPr>
            <w:r>
              <w:t>4.</w:t>
            </w:r>
          </w:p>
        </w:tc>
        <w:tc>
          <w:tcPr>
            <w:tcW w:w="4819" w:type="dxa"/>
          </w:tcPr>
          <w:p>
            <w:pPr>
              <w:pStyle w:val="yTableNAm"/>
            </w:pPr>
            <w:r>
              <w:t>For the use, other than casual daily use, of a floating alongside berth by a vessel, an amount calculated per metre of the vessel’s length using the annual rate of</w:t>
            </w:r>
          </w:p>
        </w:tc>
        <w:tc>
          <w:tcPr>
            <w:tcW w:w="1276" w:type="dxa"/>
            <w:vAlign w:val="bottom"/>
          </w:tcPr>
          <w:p>
            <w:pPr>
              <w:pStyle w:val="yTableNAm"/>
              <w:jc w:val="center"/>
            </w:pPr>
            <w:r>
              <w:t>826.00</w:t>
            </w:r>
          </w:p>
        </w:tc>
      </w:tr>
      <w:tr>
        <w:trPr>
          <w:cantSplit/>
        </w:trPr>
        <w:tc>
          <w:tcPr>
            <w:tcW w:w="709" w:type="dxa"/>
          </w:tcPr>
          <w:p>
            <w:pPr>
              <w:pStyle w:val="yTableNAm"/>
              <w:keepNext/>
              <w:jc w:val="center"/>
            </w:pPr>
            <w:r>
              <w:t>5.</w:t>
            </w:r>
          </w:p>
        </w:tc>
        <w:tc>
          <w:tcPr>
            <w:tcW w:w="4819" w:type="dxa"/>
          </w:tcPr>
          <w:p>
            <w:pPr>
              <w:pStyle w:val="yTableNAm"/>
              <w:keepNext/>
            </w:pPr>
            <w:r>
              <w:t xml:space="preserve">For the casual daily use of a pen or alongside berth — </w:t>
            </w:r>
          </w:p>
        </w:tc>
        <w:tc>
          <w:tcPr>
            <w:tcW w:w="1276" w:type="dxa"/>
            <w:vAlign w:val="bottom"/>
          </w:tcPr>
          <w:p>
            <w:pPr>
              <w:pStyle w:val="yTableNAm"/>
              <w:keepNext/>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6.</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17 inserted: Gazette 31 May 2019 p. 1771</w:t>
      </w:r>
      <w:r>
        <w:noBreakHyphen/>
        <w:t>2.]</w:t>
      </w:r>
    </w:p>
    <w:p>
      <w:pPr>
        <w:pStyle w:val="yHeading5"/>
      </w:pPr>
      <w:bookmarkStart w:id="300" w:name="_Toc12881372"/>
      <w:r>
        <w:rPr>
          <w:rStyle w:val="CharSClsNo"/>
        </w:rPr>
        <w:t>18</w:t>
      </w:r>
      <w:r>
        <w:t>.</w:t>
      </w:r>
      <w:r>
        <w:tab/>
        <w:t xml:space="preserve">Geraldton,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00"/>
    </w:p>
    <w:p>
      <w:pPr>
        <w:pStyle w:val="ySubsection"/>
      </w:pPr>
      <w:r>
        <w:tab/>
        <w:t>(1)</w:t>
      </w:r>
      <w:r>
        <w:tab/>
        <w:t xml:space="preserve">This clause applies to the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Geraldton.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floating pen with a walkway by a vessel, an amount calculated per metre of the pen’s length using the annual rate of</w:t>
            </w:r>
          </w:p>
        </w:tc>
        <w:tc>
          <w:tcPr>
            <w:tcW w:w="1276" w:type="dxa"/>
            <w:vAlign w:val="bottom"/>
          </w:tcPr>
          <w:p>
            <w:pPr>
              <w:pStyle w:val="yTableNAm"/>
              <w:jc w:val="center"/>
            </w:pPr>
            <w:r>
              <w:t>706.00</w:t>
            </w:r>
          </w:p>
        </w:tc>
      </w:tr>
      <w:tr>
        <w:trPr>
          <w:cantSplit/>
        </w:trPr>
        <w:tc>
          <w:tcPr>
            <w:tcW w:w="709" w:type="dxa"/>
          </w:tcPr>
          <w:p>
            <w:pPr>
              <w:pStyle w:val="yTableNAm"/>
              <w:jc w:val="center"/>
            </w:pPr>
            <w:r>
              <w:t>2.</w:t>
            </w:r>
          </w:p>
        </w:tc>
        <w:tc>
          <w:tcPr>
            <w:tcW w:w="4819" w:type="dxa"/>
          </w:tcPr>
          <w:p>
            <w:pPr>
              <w:pStyle w:val="yTableNAm"/>
            </w:pPr>
            <w:r>
              <w:t>For the use, other than casual daily use, of a floating alongside berth by a vessel, an amount calculated per metre of the vessel’s length using the annual rate of</w:t>
            </w:r>
          </w:p>
        </w:tc>
        <w:tc>
          <w:tcPr>
            <w:tcW w:w="1276" w:type="dxa"/>
            <w:vAlign w:val="bottom"/>
          </w:tcPr>
          <w:p>
            <w:pPr>
              <w:pStyle w:val="yTableNAm"/>
              <w:jc w:val="center"/>
            </w:pPr>
            <w:r>
              <w:t>706.00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18 inserted: Gazette 31 May 2019 p. 1772</w:t>
      </w:r>
      <w:r>
        <w:noBreakHyphen/>
        <w:t>3.]</w:t>
      </w:r>
    </w:p>
    <w:p>
      <w:pPr>
        <w:pStyle w:val="yHeading5"/>
      </w:pPr>
      <w:bookmarkStart w:id="301" w:name="_Toc12881373"/>
      <w:r>
        <w:rPr>
          <w:rStyle w:val="CharSClsNo"/>
        </w:rPr>
        <w:t>19</w:t>
      </w:r>
      <w:r>
        <w:t>.</w:t>
      </w:r>
      <w:r>
        <w:tab/>
        <w:t>Green Head</w:t>
      </w:r>
      <w:bookmarkEnd w:id="301"/>
    </w:p>
    <w:p>
      <w:pPr>
        <w:pStyle w:val="ySubsection"/>
      </w:pPr>
      <w:r>
        <w:tab/>
        <w:t>(1)</w:t>
      </w:r>
      <w:r>
        <w:tab/>
        <w:t>This clause applies to Green Head.</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19 inserted: Gazette 31 May 2019 p. 1773.]</w:t>
      </w:r>
    </w:p>
    <w:p>
      <w:pPr>
        <w:pStyle w:val="yHeading5"/>
      </w:pPr>
      <w:bookmarkStart w:id="302" w:name="_Toc12881374"/>
      <w:r>
        <w:rPr>
          <w:rStyle w:val="CharSClsNo"/>
        </w:rPr>
        <w:t>20</w:t>
      </w:r>
      <w:r>
        <w:t>.</w:t>
      </w:r>
      <w:r>
        <w:tab/>
        <w:t>Hopetoun</w:t>
      </w:r>
      <w:bookmarkEnd w:id="302"/>
    </w:p>
    <w:p>
      <w:pPr>
        <w:pStyle w:val="ySubsection"/>
      </w:pPr>
      <w:r>
        <w:tab/>
        <w:t>(1)</w:t>
      </w:r>
      <w:r>
        <w:tab/>
        <w:t>This clause applies to Hopetoun.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20 inserted: Gazette 31 May 2019 p. 1773</w:t>
      </w:r>
      <w:r>
        <w:noBreakHyphen/>
        <w:t>4.]</w:t>
      </w:r>
    </w:p>
    <w:p>
      <w:pPr>
        <w:pStyle w:val="yHeading5"/>
      </w:pPr>
      <w:bookmarkStart w:id="303" w:name="_Toc12881375"/>
      <w:r>
        <w:rPr>
          <w:rStyle w:val="CharSClsNo"/>
        </w:rPr>
        <w:t>21</w:t>
      </w:r>
      <w:r>
        <w:t>.</w:t>
      </w:r>
      <w:r>
        <w:tab/>
        <w:t>Jurien Boat Harbour</w:t>
      </w:r>
      <w:bookmarkEnd w:id="303"/>
    </w:p>
    <w:p>
      <w:pPr>
        <w:pStyle w:val="ySubsection"/>
      </w:pPr>
      <w:r>
        <w:tab/>
        <w:t>(1)</w:t>
      </w:r>
      <w:r>
        <w:tab/>
        <w:t xml:space="preserve">This clause applies to the </w:t>
      </w:r>
      <w:smartTag w:uri="urn:schemas-microsoft-com:office:smarttags" w:element="place">
        <w:smartTag w:uri="urn:schemas-microsoft-com:office:smarttags" w:element="PlaceName">
          <w:r>
            <w:t>Jurien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518.50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560.80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21 inserted: Gazette 31 May 2019 p. 1774.]</w:t>
      </w:r>
    </w:p>
    <w:p>
      <w:pPr>
        <w:pStyle w:val="yHeading5"/>
      </w:pPr>
      <w:bookmarkStart w:id="304" w:name="_Toc12881376"/>
      <w:r>
        <w:rPr>
          <w:rStyle w:val="CharSClsNo"/>
        </w:rPr>
        <w:t>22</w:t>
      </w:r>
      <w:r>
        <w:t>.</w:t>
      </w:r>
      <w:r>
        <w:tab/>
        <w:t>Kalbarri Boat Harbour</w:t>
      </w:r>
      <w:bookmarkEnd w:id="304"/>
    </w:p>
    <w:p>
      <w:pPr>
        <w:pStyle w:val="ySubsection"/>
      </w:pPr>
      <w:r>
        <w:tab/>
        <w:t>(1)</w:t>
      </w:r>
      <w:r>
        <w:tab/>
        <w:t>This clause applies to the Kalbarri Boat Harbour.</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357.50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357.50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227" w:hanging="22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227" w:hanging="22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22 inserted: Gazette 31 May 2019 p. 1774</w:t>
      </w:r>
      <w:r>
        <w:noBreakHyphen/>
        <w:t>5.]</w:t>
      </w:r>
    </w:p>
    <w:p>
      <w:pPr>
        <w:pStyle w:val="yHeading5"/>
      </w:pPr>
      <w:bookmarkStart w:id="305" w:name="_Toc12881377"/>
      <w:r>
        <w:rPr>
          <w:rStyle w:val="CharSClsNo"/>
        </w:rPr>
        <w:t>23</w:t>
      </w:r>
      <w:r>
        <w:t>.</w:t>
      </w:r>
      <w:r>
        <w:tab/>
        <w:t>Lancelin</w:t>
      </w:r>
      <w:bookmarkEnd w:id="305"/>
    </w:p>
    <w:p>
      <w:pPr>
        <w:pStyle w:val="ySubsection"/>
      </w:pPr>
      <w:r>
        <w:tab/>
        <w:t>(1)</w:t>
      </w:r>
      <w:r>
        <w:tab/>
        <w:t>This clause applies to Lancelin.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23 inserted: Gazette 31 May 2019 p. 1775.]</w:t>
      </w:r>
    </w:p>
    <w:p>
      <w:pPr>
        <w:pStyle w:val="yHeading5"/>
      </w:pPr>
      <w:bookmarkStart w:id="306" w:name="_Toc12881378"/>
      <w:r>
        <w:rPr>
          <w:rStyle w:val="CharSClsNo"/>
        </w:rPr>
        <w:t>24</w:t>
      </w:r>
      <w:r>
        <w:t>.</w:t>
      </w:r>
      <w:r>
        <w:tab/>
        <w:t>Leeman</w:t>
      </w:r>
      <w:bookmarkEnd w:id="306"/>
    </w:p>
    <w:p>
      <w:pPr>
        <w:pStyle w:val="ySubsection"/>
      </w:pPr>
      <w:r>
        <w:tab/>
        <w:t>(1)</w:t>
      </w:r>
      <w:r>
        <w:tab/>
        <w:t>This clause applies to Leeman.</w:t>
      </w:r>
    </w:p>
    <w:p>
      <w:pPr>
        <w:pStyle w:val="ySubsection"/>
        <w:keepNext/>
      </w:pPr>
      <w:r>
        <w:tab/>
        <w:t>(2)</w:t>
      </w:r>
      <w:r>
        <w:tab/>
        <w:t xml:space="preserve">The berthing dues payable are set out in the Table. </w:t>
      </w:r>
    </w:p>
    <w:p>
      <w:pPr>
        <w:pStyle w:val="yTHeadingNAm"/>
      </w:pPr>
      <w:r>
        <w:t>Berthing</w:t>
      </w:r>
    </w:p>
    <w:tbl>
      <w:tblPr>
        <w:tblW w:w="7229" w:type="dxa"/>
        <w:tblInd w:w="199" w:type="dxa"/>
        <w:tblLayout w:type="fixed"/>
        <w:tblCellMar>
          <w:top w:w="57" w:type="dxa"/>
          <w:left w:w="57" w:type="dxa"/>
          <w:right w:w="57" w:type="dxa"/>
        </w:tblCellMar>
        <w:tblLook w:val="0000" w:firstRow="0" w:lastRow="0" w:firstColumn="0" w:lastColumn="0" w:noHBand="0" w:noVBand="0"/>
      </w:tblPr>
      <w:tblGrid>
        <w:gridCol w:w="709"/>
        <w:gridCol w:w="6520"/>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6520" w:type="dxa"/>
            <w:tcBorders>
              <w:top w:val="single" w:sz="4" w:space="0" w:color="auto"/>
              <w:bottom w:val="single" w:sz="4" w:space="0" w:color="auto"/>
            </w:tcBorders>
          </w:tcPr>
          <w:p>
            <w:pPr>
              <w:pStyle w:val="yTableNAm"/>
              <w:keepNext/>
              <w:ind w:right="84"/>
              <w:jc w:val="center"/>
              <w:rPr>
                <w:b/>
              </w:rPr>
            </w:pPr>
            <w:r>
              <w:rPr>
                <w:b/>
              </w:rPr>
              <w:t>Type of use</w:t>
            </w:r>
          </w:p>
        </w:tc>
      </w:tr>
      <w:tr>
        <w:trPr>
          <w:cantSplit/>
        </w:trPr>
        <w:tc>
          <w:tcPr>
            <w:tcW w:w="709" w:type="dxa"/>
          </w:tcPr>
          <w:p>
            <w:pPr>
              <w:pStyle w:val="yTableNAm"/>
              <w:keepNext/>
              <w:jc w:val="center"/>
            </w:pPr>
            <w:r>
              <w:t>1.</w:t>
            </w:r>
          </w:p>
        </w:tc>
        <w:tc>
          <w:tcPr>
            <w:tcW w:w="6520" w:type="dxa"/>
          </w:tcPr>
          <w:p>
            <w:pPr>
              <w:pStyle w:val="yTableNAm"/>
              <w:keepNext/>
              <w:ind w:right="84"/>
            </w:pPr>
            <w:r>
              <w:t xml:space="preserve">For the casual daily use of an alongside berth — </w:t>
            </w:r>
          </w:p>
        </w:tc>
      </w:tr>
      <w:tr>
        <w:trPr>
          <w:cantSplit/>
        </w:trPr>
        <w:tc>
          <w:tcPr>
            <w:tcW w:w="709" w:type="dxa"/>
          </w:tcPr>
          <w:p>
            <w:pPr>
              <w:pStyle w:val="yTableNAm"/>
              <w:keepNext/>
              <w:jc w:val="center"/>
            </w:pPr>
          </w:p>
        </w:tc>
        <w:tc>
          <w:tcPr>
            <w:tcW w:w="6520" w:type="dxa"/>
          </w:tcPr>
          <w:p>
            <w:pPr>
              <w:pStyle w:val="yTableNAm"/>
              <w:keepNext/>
              <w:ind w:left="567" w:right="84" w:hanging="567"/>
            </w:pPr>
            <w:r>
              <w:t>•</w:t>
            </w:r>
            <w:r>
              <w:tab/>
              <w:t>by a commercial vessel, an amount calculated using standard Rate 1</w:t>
            </w:r>
          </w:p>
        </w:tc>
      </w:tr>
      <w:tr>
        <w:trPr>
          <w:cantSplit/>
        </w:trPr>
        <w:tc>
          <w:tcPr>
            <w:tcW w:w="709" w:type="dxa"/>
          </w:tcPr>
          <w:p>
            <w:pPr>
              <w:pStyle w:val="yTableNAm"/>
              <w:jc w:val="center"/>
            </w:pPr>
          </w:p>
        </w:tc>
        <w:tc>
          <w:tcPr>
            <w:tcW w:w="6520" w:type="dxa"/>
          </w:tcPr>
          <w:p>
            <w:pPr>
              <w:pStyle w:val="yTableNAm"/>
              <w:ind w:left="567" w:right="84"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520" w:type="dxa"/>
            <w:tcBorders>
              <w:bottom w:val="single" w:sz="4" w:space="0" w:color="auto"/>
            </w:tcBorders>
          </w:tcPr>
          <w:p>
            <w:pPr>
              <w:pStyle w:val="yTableNAm"/>
              <w:ind w:right="84"/>
            </w:pPr>
            <w:r>
              <w:t>For the short term use of a service jetty, an amount calculated using standard Rate 3</w:t>
            </w:r>
          </w:p>
        </w:tc>
      </w:tr>
    </w:tbl>
    <w:p>
      <w:pPr>
        <w:pStyle w:val="yFootnotesection"/>
      </w:pPr>
      <w:r>
        <w:tab/>
        <w:t>[Clause 24 inserted: Gazette 31 May 2019 p. 1776.]</w:t>
      </w:r>
    </w:p>
    <w:p>
      <w:pPr>
        <w:pStyle w:val="yHeading5"/>
      </w:pPr>
      <w:bookmarkStart w:id="307" w:name="_Toc12881379"/>
      <w:r>
        <w:rPr>
          <w:rStyle w:val="CharSClsNo"/>
        </w:rPr>
        <w:t>25</w:t>
      </w:r>
      <w:r>
        <w:t>.</w:t>
      </w:r>
      <w:r>
        <w:tab/>
        <w:t>Onslow, Beadon Creek Boat Harbour</w:t>
      </w:r>
      <w:bookmarkEnd w:id="307"/>
    </w:p>
    <w:p>
      <w:pPr>
        <w:pStyle w:val="ySubsection"/>
      </w:pPr>
      <w:r>
        <w:tab/>
        <w:t>(1)</w:t>
      </w:r>
      <w:r>
        <w:tab/>
        <w:t>This clause applies to the Beadon Creek Boat Harbour at Onslow.</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Borders>
              <w:top w:val="single" w:sz="4" w:space="0" w:color="auto"/>
            </w:tcBorders>
          </w:tcPr>
          <w:p>
            <w:pPr>
              <w:pStyle w:val="yTableNAm"/>
              <w:jc w:val="center"/>
            </w:pPr>
            <w:r>
              <w:t>1.</w:t>
            </w:r>
          </w:p>
        </w:tc>
        <w:tc>
          <w:tcPr>
            <w:tcW w:w="4819" w:type="dxa"/>
            <w:tcBorders>
              <w:top w:val="single" w:sz="4" w:space="0" w:color="auto"/>
            </w:tcBorders>
          </w:tcPr>
          <w:p>
            <w:pPr>
              <w:pStyle w:val="yTableNAm"/>
            </w:pPr>
            <w:r>
              <w:t>For the use, other than casual daily use, of a pile mooring by a recreational vessel, Government vessel, tourism vessel or fishing vessel, an amount calculated per metre of the vessel’s length using the annual rate of</w:t>
            </w:r>
          </w:p>
        </w:tc>
        <w:tc>
          <w:tcPr>
            <w:tcW w:w="1276" w:type="dxa"/>
            <w:tcBorders>
              <w:top w:val="single" w:sz="4" w:space="0" w:color="auto"/>
            </w:tcBorders>
            <w:vAlign w:val="bottom"/>
          </w:tcPr>
          <w:p>
            <w:pPr>
              <w:pStyle w:val="yTableNAm"/>
              <w:jc w:val="center"/>
            </w:pPr>
            <w:r>
              <w:t>330.40</w:t>
            </w:r>
          </w:p>
        </w:tc>
      </w:tr>
      <w:tr>
        <w:trPr>
          <w:cantSplit/>
        </w:trPr>
        <w:tc>
          <w:tcPr>
            <w:tcW w:w="709" w:type="dxa"/>
          </w:tcPr>
          <w:p>
            <w:pPr>
              <w:pStyle w:val="yTableNAm"/>
              <w:jc w:val="center"/>
            </w:pPr>
            <w:r>
              <w:t>2.</w:t>
            </w:r>
          </w:p>
        </w:tc>
        <w:tc>
          <w:tcPr>
            <w:tcW w:w="4819" w:type="dxa"/>
          </w:tcPr>
          <w:p>
            <w:pPr>
              <w:pStyle w:val="yTableNAm"/>
            </w:pPr>
            <w:r>
              <w:t>For the use, other than casual daily use, of a pile mooring by a service vessel, an amount calculated per metre of the vessel’s length using the annual rate of</w:t>
            </w:r>
          </w:p>
        </w:tc>
        <w:tc>
          <w:tcPr>
            <w:tcW w:w="1276" w:type="dxa"/>
            <w:vAlign w:val="bottom"/>
          </w:tcPr>
          <w:p>
            <w:pPr>
              <w:pStyle w:val="yTableNAm"/>
              <w:jc w:val="center"/>
            </w:pPr>
            <w:r>
              <w:t>462.10</w:t>
            </w:r>
          </w:p>
        </w:tc>
      </w:tr>
      <w:tr>
        <w:trPr>
          <w:cantSplit/>
        </w:trPr>
        <w:tc>
          <w:tcPr>
            <w:tcW w:w="709" w:type="dxa"/>
          </w:tcPr>
          <w:p>
            <w:pPr>
              <w:pStyle w:val="yTableNAm"/>
              <w:keepNext/>
              <w:jc w:val="center"/>
            </w:pPr>
            <w:r>
              <w:t>3.</w:t>
            </w:r>
          </w:p>
        </w:tc>
        <w:tc>
          <w:tcPr>
            <w:tcW w:w="4819" w:type="dxa"/>
          </w:tcPr>
          <w:p>
            <w:pPr>
              <w:pStyle w:val="yTableNAm"/>
              <w:keepNext/>
            </w:pPr>
            <w:r>
              <w:t xml:space="preserve">For the casual daily use of an alongside berth or pile mooring — </w:t>
            </w:r>
          </w:p>
        </w:tc>
        <w:tc>
          <w:tcPr>
            <w:tcW w:w="1276" w:type="dxa"/>
            <w:vAlign w:val="bottom"/>
          </w:tcPr>
          <w:p>
            <w:pPr>
              <w:pStyle w:val="yTableNAm"/>
              <w:keepNext/>
              <w:jc w:val="center"/>
            </w:pPr>
          </w:p>
        </w:tc>
      </w:tr>
      <w:tr>
        <w:trPr>
          <w:cantSplit/>
        </w:trPr>
        <w:tc>
          <w:tcPr>
            <w:tcW w:w="709" w:type="dxa"/>
          </w:tcPr>
          <w:p>
            <w:pPr>
              <w:pStyle w:val="yTableNAm"/>
              <w:jc w:val="center"/>
            </w:pPr>
          </w:p>
        </w:tc>
        <w:tc>
          <w:tcPr>
            <w:tcW w:w="4819" w:type="dxa"/>
          </w:tcPr>
          <w:p>
            <w:pPr>
              <w:pStyle w:val="yTableNAm"/>
              <w:ind w:left="567" w:hanging="567"/>
            </w:pPr>
            <w:r>
              <w:t>•</w:t>
            </w:r>
            <w:r>
              <w:tab/>
              <w:t>by a Government vessel, tourism vessel or fishing vessel, an amount calculated using standard Rate 1</w:t>
            </w:r>
          </w:p>
        </w:tc>
        <w:tc>
          <w:tcPr>
            <w:tcW w:w="1276" w:type="dxa"/>
            <w:vAlign w:val="bottom"/>
          </w:tcPr>
          <w:p>
            <w:pPr>
              <w:pStyle w:val="yTableNAm"/>
              <w:jc w:val="center"/>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center"/>
            </w:pPr>
          </w:p>
        </w:tc>
      </w:tr>
      <w:tr>
        <w:trPr>
          <w:cantSplit/>
        </w:trPr>
        <w:tc>
          <w:tcPr>
            <w:tcW w:w="709" w:type="dxa"/>
          </w:tcPr>
          <w:p>
            <w:pPr>
              <w:pStyle w:val="yTableNAm"/>
              <w:jc w:val="center"/>
            </w:pPr>
            <w:r>
              <w:t>4.</w:t>
            </w:r>
          </w:p>
        </w:tc>
        <w:tc>
          <w:tcPr>
            <w:tcW w:w="4819" w:type="dxa"/>
          </w:tcPr>
          <w:p>
            <w:pPr>
              <w:pStyle w:val="yTableNAm"/>
            </w:pPr>
            <w:r>
              <w:t>For the short term use of a service jetty by a vessel (other than a service vessel), an amount calculated using standard Rate 3</w:t>
            </w:r>
          </w:p>
        </w:tc>
        <w:tc>
          <w:tcPr>
            <w:tcW w:w="1276" w:type="dxa"/>
            <w:vAlign w:val="bottom"/>
          </w:tcPr>
          <w:p>
            <w:pPr>
              <w:pStyle w:val="yTableNAm"/>
              <w:jc w:val="center"/>
            </w:pPr>
          </w:p>
        </w:tc>
      </w:tr>
      <w:tr>
        <w:trPr>
          <w:cantSplit/>
        </w:trPr>
        <w:tc>
          <w:tcPr>
            <w:tcW w:w="709" w:type="dxa"/>
          </w:tcPr>
          <w:p>
            <w:pPr>
              <w:pStyle w:val="yTableNAm"/>
              <w:jc w:val="center"/>
            </w:pPr>
            <w:r>
              <w:t>5.</w:t>
            </w:r>
          </w:p>
        </w:tc>
        <w:tc>
          <w:tcPr>
            <w:tcW w:w="4819" w:type="dxa"/>
          </w:tcPr>
          <w:p>
            <w:pPr>
              <w:pStyle w:val="yTableNAm"/>
            </w:pPr>
            <w:r>
              <w:t>For the casual daily use of a pile mooring by a service vessel, an amount calculated per metre of the vessel’s length using the daily rate of</w:t>
            </w:r>
          </w:p>
        </w:tc>
        <w:tc>
          <w:tcPr>
            <w:tcW w:w="1276" w:type="dxa"/>
            <w:vAlign w:val="bottom"/>
          </w:tcPr>
          <w:p>
            <w:pPr>
              <w:pStyle w:val="yTableNAm"/>
              <w:jc w:val="center"/>
            </w:pPr>
            <w:r>
              <w:t>10.50</w:t>
            </w:r>
          </w:p>
        </w:tc>
      </w:tr>
      <w:tr>
        <w:trPr>
          <w:cantSplit/>
        </w:trPr>
        <w:tc>
          <w:tcPr>
            <w:tcW w:w="709" w:type="dxa"/>
          </w:tcPr>
          <w:p>
            <w:pPr>
              <w:pStyle w:val="yTableNAm"/>
              <w:jc w:val="center"/>
            </w:pPr>
            <w:r>
              <w:t>6.</w:t>
            </w:r>
          </w:p>
        </w:tc>
        <w:tc>
          <w:tcPr>
            <w:tcW w:w="4819" w:type="dxa"/>
          </w:tcPr>
          <w:p>
            <w:pPr>
              <w:pStyle w:val="yTableNAm"/>
            </w:pPr>
            <w:r>
              <w:t>For the use, other than casual daily use, of a fixed alongside berth by a recreational vessel, Government vessel, tourism vessel or fishing vessel, an amount calculated per metre of the vessel’s length using the monthly rate of</w:t>
            </w:r>
          </w:p>
        </w:tc>
        <w:tc>
          <w:tcPr>
            <w:tcW w:w="1276" w:type="dxa"/>
            <w:vAlign w:val="bottom"/>
          </w:tcPr>
          <w:p>
            <w:pPr>
              <w:pStyle w:val="yTableNAm"/>
              <w:jc w:val="center"/>
            </w:pPr>
            <w:r>
              <w:t>87.70</w:t>
            </w:r>
          </w:p>
        </w:tc>
      </w:tr>
      <w:tr>
        <w:trPr>
          <w:cantSplit/>
        </w:trPr>
        <w:tc>
          <w:tcPr>
            <w:tcW w:w="709" w:type="dxa"/>
          </w:tcPr>
          <w:p>
            <w:pPr>
              <w:pStyle w:val="yTableNAm"/>
              <w:jc w:val="center"/>
            </w:pPr>
            <w:r>
              <w:t>7.</w:t>
            </w:r>
          </w:p>
        </w:tc>
        <w:tc>
          <w:tcPr>
            <w:tcW w:w="4819" w:type="dxa"/>
          </w:tcPr>
          <w:p>
            <w:pPr>
              <w:pStyle w:val="yTableNAm"/>
            </w:pPr>
            <w:r>
              <w:t>For the use, other than casual daily use, of a fixed alongside berth by a recreational vessel, Government vessel, tourism vessel or fishing vessel, an amount calculated per metre of the vessel’s length using the weekly rate of</w:t>
            </w:r>
          </w:p>
        </w:tc>
        <w:tc>
          <w:tcPr>
            <w:tcW w:w="1276" w:type="dxa"/>
            <w:vAlign w:val="bottom"/>
          </w:tcPr>
          <w:p>
            <w:pPr>
              <w:pStyle w:val="yTableNAm"/>
              <w:jc w:val="center"/>
            </w:pPr>
            <w:r>
              <w:t>26.30</w:t>
            </w:r>
          </w:p>
        </w:tc>
      </w:tr>
      <w:tr>
        <w:trPr>
          <w:cantSplit/>
        </w:trPr>
        <w:tc>
          <w:tcPr>
            <w:tcW w:w="709" w:type="dxa"/>
            <w:tcBorders>
              <w:bottom w:val="single" w:sz="4" w:space="0" w:color="auto"/>
            </w:tcBorders>
          </w:tcPr>
          <w:p>
            <w:pPr>
              <w:pStyle w:val="yTableNAm"/>
              <w:jc w:val="center"/>
            </w:pPr>
            <w:r>
              <w:t>8.</w:t>
            </w:r>
          </w:p>
        </w:tc>
        <w:tc>
          <w:tcPr>
            <w:tcW w:w="4819" w:type="dxa"/>
            <w:tcBorders>
              <w:bottom w:val="single" w:sz="4" w:space="0" w:color="auto"/>
            </w:tcBorders>
          </w:tcPr>
          <w:p>
            <w:pPr>
              <w:pStyle w:val="yTableNAm"/>
            </w:pPr>
            <w:r>
              <w:t>For the use of the service jetty by a service vessel, an amount calculated per metre of the vessel’s length using the 6</w:t>
            </w:r>
            <w:r>
              <w:noBreakHyphen/>
              <w:t>hourly rate of</w:t>
            </w:r>
          </w:p>
        </w:tc>
        <w:tc>
          <w:tcPr>
            <w:tcW w:w="1276" w:type="dxa"/>
            <w:tcBorders>
              <w:bottom w:val="single" w:sz="4" w:space="0" w:color="auto"/>
            </w:tcBorders>
            <w:vAlign w:val="bottom"/>
          </w:tcPr>
          <w:p>
            <w:pPr>
              <w:pStyle w:val="yTableNAm"/>
              <w:jc w:val="center"/>
            </w:pPr>
            <w:r>
              <w:t>9.05</w:t>
            </w:r>
          </w:p>
        </w:tc>
      </w:tr>
    </w:tbl>
    <w:p>
      <w:pPr>
        <w:pStyle w:val="yFootnotesection"/>
      </w:pPr>
      <w:r>
        <w:tab/>
        <w:t>[Clause 25 inserted: Gazette 31 May 2019 p. 1776</w:t>
      </w:r>
      <w:r>
        <w:noBreakHyphen/>
        <w:t>7.]</w:t>
      </w:r>
    </w:p>
    <w:p>
      <w:pPr>
        <w:pStyle w:val="yHeading5"/>
      </w:pPr>
      <w:bookmarkStart w:id="308" w:name="_Toc12881380"/>
      <w:r>
        <w:rPr>
          <w:rStyle w:val="CharSClsNo"/>
        </w:rPr>
        <w:t>26</w:t>
      </w:r>
      <w:r>
        <w:t>.</w:t>
      </w:r>
      <w:r>
        <w:tab/>
        <w:t>Point Samson, Johns Creek Boat Harbour</w:t>
      </w:r>
      <w:bookmarkEnd w:id="308"/>
    </w:p>
    <w:p>
      <w:pPr>
        <w:pStyle w:val="ySubsection"/>
      </w:pPr>
      <w:r>
        <w:tab/>
        <w:t>(1)</w:t>
      </w:r>
      <w:r>
        <w:tab/>
        <w:t>This clause applies to the Johns Creek Boat Harbour at Point Samson.</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alongside berth at a service jetty by a recreational vessel, Government vessel, tourism vessel or fishing vessel, an amount calculated per metre of the vessel’s length using the annual rate of</w:t>
            </w:r>
          </w:p>
        </w:tc>
        <w:tc>
          <w:tcPr>
            <w:tcW w:w="1276" w:type="dxa"/>
            <w:vAlign w:val="bottom"/>
          </w:tcPr>
          <w:p>
            <w:pPr>
              <w:pStyle w:val="yTableNAm"/>
              <w:jc w:val="center"/>
            </w:pPr>
            <w:r>
              <w:t>644.80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at a service jetty by a service vessel, an amount calculated per metre of the vessel’s length using the annual rate of</w:t>
            </w:r>
          </w:p>
        </w:tc>
        <w:tc>
          <w:tcPr>
            <w:tcW w:w="1276" w:type="dxa"/>
            <w:vAlign w:val="bottom"/>
          </w:tcPr>
          <w:p>
            <w:pPr>
              <w:pStyle w:val="yTableNAm"/>
              <w:jc w:val="center"/>
            </w:pPr>
            <w:r>
              <w:t>908.60</w:t>
            </w:r>
          </w:p>
        </w:tc>
      </w:tr>
      <w:tr>
        <w:trPr>
          <w:cantSplit/>
        </w:trPr>
        <w:tc>
          <w:tcPr>
            <w:tcW w:w="709" w:type="dxa"/>
          </w:tcPr>
          <w:p>
            <w:pPr>
              <w:pStyle w:val="yTableNAm"/>
              <w:jc w:val="center"/>
            </w:pPr>
            <w:r>
              <w:t>3.</w:t>
            </w:r>
          </w:p>
        </w:tc>
        <w:tc>
          <w:tcPr>
            <w:tcW w:w="4819" w:type="dxa"/>
          </w:tcPr>
          <w:p>
            <w:pPr>
              <w:pStyle w:val="yTableNAm"/>
            </w:pPr>
            <w:r>
              <w:t>For the casual daily use of a berth at a service jetty by a Government vessel, tourism vessel or fishing vessel, an amount calculated using standard Rate 1</w:t>
            </w:r>
          </w:p>
        </w:tc>
        <w:tc>
          <w:tcPr>
            <w:tcW w:w="1276" w:type="dxa"/>
            <w:vAlign w:val="bottom"/>
          </w:tcPr>
          <w:p>
            <w:pPr>
              <w:pStyle w:val="yTableNAm"/>
              <w:jc w:val="center"/>
            </w:pPr>
          </w:p>
        </w:tc>
      </w:tr>
      <w:tr>
        <w:trPr>
          <w:cantSplit/>
        </w:trPr>
        <w:tc>
          <w:tcPr>
            <w:tcW w:w="709" w:type="dxa"/>
          </w:tcPr>
          <w:p>
            <w:pPr>
              <w:pStyle w:val="yTableNAm"/>
              <w:jc w:val="center"/>
            </w:pPr>
            <w:r>
              <w:t>4.</w:t>
            </w:r>
          </w:p>
        </w:tc>
        <w:tc>
          <w:tcPr>
            <w:tcW w:w="4819" w:type="dxa"/>
          </w:tcPr>
          <w:p>
            <w:pPr>
              <w:pStyle w:val="yTableNAm"/>
            </w:pPr>
            <w:r>
              <w:t>For the casual daily use of a service jetty by a recreational vessel, an amount calculated using standard Rate 2</w:t>
            </w:r>
          </w:p>
        </w:tc>
        <w:tc>
          <w:tcPr>
            <w:tcW w:w="1276" w:type="dxa"/>
            <w:vAlign w:val="bottom"/>
          </w:tcPr>
          <w:p>
            <w:pPr>
              <w:pStyle w:val="yTableNAm"/>
              <w:jc w:val="center"/>
            </w:pPr>
          </w:p>
        </w:tc>
      </w:tr>
      <w:tr>
        <w:trPr>
          <w:cantSplit/>
        </w:trPr>
        <w:tc>
          <w:tcPr>
            <w:tcW w:w="709" w:type="dxa"/>
          </w:tcPr>
          <w:p>
            <w:pPr>
              <w:pStyle w:val="yTableNAm"/>
              <w:jc w:val="center"/>
            </w:pPr>
            <w:r>
              <w:t>5.</w:t>
            </w:r>
          </w:p>
        </w:tc>
        <w:tc>
          <w:tcPr>
            <w:tcW w:w="4819" w:type="dxa"/>
          </w:tcPr>
          <w:p>
            <w:pPr>
              <w:pStyle w:val="yTableNAm"/>
            </w:pPr>
            <w:r>
              <w:t>For the short term use of a berth at a service jetty by a vessel (other than a service vessel), an amount calculated using standard Rate 3</w:t>
            </w:r>
          </w:p>
        </w:tc>
        <w:tc>
          <w:tcPr>
            <w:tcW w:w="1276" w:type="dxa"/>
            <w:vAlign w:val="bottom"/>
          </w:tcPr>
          <w:p>
            <w:pPr>
              <w:pStyle w:val="yTableNAm"/>
              <w:jc w:val="center"/>
            </w:pPr>
          </w:p>
        </w:tc>
      </w:tr>
      <w:tr>
        <w:trPr>
          <w:cantSplit/>
        </w:trPr>
        <w:tc>
          <w:tcPr>
            <w:tcW w:w="709" w:type="dxa"/>
            <w:tcBorders>
              <w:bottom w:val="single" w:sz="4" w:space="0" w:color="auto"/>
            </w:tcBorders>
          </w:tcPr>
          <w:p>
            <w:pPr>
              <w:pStyle w:val="yTableNAm"/>
              <w:jc w:val="center"/>
            </w:pPr>
            <w:r>
              <w:t>6.</w:t>
            </w:r>
          </w:p>
        </w:tc>
        <w:tc>
          <w:tcPr>
            <w:tcW w:w="4819" w:type="dxa"/>
            <w:tcBorders>
              <w:bottom w:val="single" w:sz="4" w:space="0" w:color="auto"/>
            </w:tcBorders>
          </w:tcPr>
          <w:p>
            <w:pPr>
              <w:pStyle w:val="yTableNAm"/>
            </w:pPr>
            <w:r>
              <w:t>For the use of a berth at a service jetty by a service vessel, an amount calculated per metre of the vessel’s length using the 6</w:t>
            </w:r>
            <w:r>
              <w:noBreakHyphen/>
              <w:t>hourly rate of</w:t>
            </w:r>
          </w:p>
        </w:tc>
        <w:tc>
          <w:tcPr>
            <w:tcW w:w="1276" w:type="dxa"/>
            <w:tcBorders>
              <w:bottom w:val="single" w:sz="4" w:space="0" w:color="auto"/>
            </w:tcBorders>
            <w:vAlign w:val="bottom"/>
          </w:tcPr>
          <w:p>
            <w:pPr>
              <w:pStyle w:val="yTableNAm"/>
              <w:jc w:val="center"/>
            </w:pPr>
            <w:r>
              <w:t>9.05</w:t>
            </w:r>
          </w:p>
        </w:tc>
      </w:tr>
    </w:tbl>
    <w:p>
      <w:pPr>
        <w:pStyle w:val="ySubsection"/>
        <w:keepNext/>
      </w:pPr>
      <w:r>
        <w:tab/>
        <w:t>(4)</w:t>
      </w:r>
      <w:r>
        <w:tab/>
        <w:t>The charges payable under regulation 96 are set out in the Table.</w:t>
      </w:r>
    </w:p>
    <w:p>
      <w:pPr>
        <w:pStyle w:val="yTHeadingNAm"/>
      </w:pPr>
      <w:r>
        <w:t>Careening pad</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keepNext/>
              <w:jc w:val="center"/>
            </w:pPr>
            <w:r>
              <w:t>1.</w:t>
            </w:r>
          </w:p>
        </w:tc>
        <w:tc>
          <w:tcPr>
            <w:tcW w:w="4819" w:type="dxa"/>
          </w:tcPr>
          <w:p>
            <w:pPr>
              <w:pStyle w:val="yTableNAm"/>
              <w:keepNext/>
            </w:pPr>
            <w:r>
              <w:t xml:space="preserve">For the use of a careening pad by a vessel, an amount per day of — </w:t>
            </w:r>
          </w:p>
        </w:tc>
        <w:tc>
          <w:tcPr>
            <w:tcW w:w="1276" w:type="dxa"/>
            <w:vAlign w:val="bottom"/>
          </w:tcPr>
          <w:p>
            <w:pPr>
              <w:pStyle w:val="yTableNAm"/>
              <w:keepNext/>
              <w:jc w:val="right"/>
            </w:pPr>
          </w:p>
        </w:tc>
      </w:tr>
      <w:tr>
        <w:trPr>
          <w:cantSplit/>
        </w:trPr>
        <w:tc>
          <w:tcPr>
            <w:tcW w:w="709" w:type="dxa"/>
          </w:tcPr>
          <w:p>
            <w:pPr>
              <w:pStyle w:val="yTableNAm"/>
              <w:keepNext/>
              <w:jc w:val="center"/>
            </w:pPr>
          </w:p>
        </w:tc>
        <w:tc>
          <w:tcPr>
            <w:tcW w:w="4819" w:type="dxa"/>
          </w:tcPr>
          <w:p>
            <w:pPr>
              <w:pStyle w:val="yTableNAm"/>
              <w:keepNext/>
            </w:pPr>
            <w:r>
              <w:t>•</w:t>
            </w:r>
            <w:r>
              <w:tab/>
              <w:t>if the vessel is 15 m or less in length</w:t>
            </w:r>
          </w:p>
        </w:tc>
        <w:tc>
          <w:tcPr>
            <w:tcW w:w="1276" w:type="dxa"/>
            <w:vAlign w:val="bottom"/>
          </w:tcPr>
          <w:p>
            <w:pPr>
              <w:pStyle w:val="yTableNAm"/>
              <w:keepNext/>
              <w:jc w:val="center"/>
            </w:pPr>
            <w:r>
              <w:t>215.30</w:t>
            </w:r>
          </w:p>
        </w:tc>
      </w:tr>
      <w:tr>
        <w:trPr>
          <w:cantSplit/>
        </w:trPr>
        <w:tc>
          <w:tcPr>
            <w:tcW w:w="709" w:type="dxa"/>
            <w:tcBorders>
              <w:bottom w:val="single" w:sz="4" w:space="0" w:color="auto"/>
            </w:tcBorders>
          </w:tcPr>
          <w:p>
            <w:pPr>
              <w:pStyle w:val="yTableNAm"/>
              <w:jc w:val="center"/>
            </w:pPr>
          </w:p>
        </w:tc>
        <w:tc>
          <w:tcPr>
            <w:tcW w:w="4819" w:type="dxa"/>
            <w:tcBorders>
              <w:bottom w:val="single" w:sz="4" w:space="0" w:color="auto"/>
            </w:tcBorders>
          </w:tcPr>
          <w:p>
            <w:pPr>
              <w:pStyle w:val="yTableNAm"/>
            </w:pPr>
            <w:r>
              <w:t>•</w:t>
            </w:r>
            <w:r>
              <w:tab/>
              <w:t>if the vessel is over 15 m in length</w:t>
            </w:r>
          </w:p>
        </w:tc>
        <w:tc>
          <w:tcPr>
            <w:tcW w:w="1276" w:type="dxa"/>
            <w:tcBorders>
              <w:bottom w:val="single" w:sz="4" w:space="0" w:color="auto"/>
            </w:tcBorders>
            <w:vAlign w:val="bottom"/>
          </w:tcPr>
          <w:p>
            <w:pPr>
              <w:pStyle w:val="yTableNAm"/>
              <w:jc w:val="center"/>
            </w:pPr>
            <w:r>
              <w:t>314.35</w:t>
            </w:r>
          </w:p>
        </w:tc>
      </w:tr>
    </w:tbl>
    <w:p>
      <w:pPr>
        <w:pStyle w:val="yFootnotesection"/>
      </w:pPr>
      <w:r>
        <w:tab/>
        <w:t>[Clause 26 inserted: Gazette 31 May 2019 p. 1778</w:t>
      </w:r>
      <w:r>
        <w:noBreakHyphen/>
        <w:t>9.]</w:t>
      </w:r>
    </w:p>
    <w:p>
      <w:pPr>
        <w:pStyle w:val="yHeading5"/>
      </w:pPr>
      <w:bookmarkStart w:id="309" w:name="_Toc12881381"/>
      <w:r>
        <w:rPr>
          <w:rStyle w:val="CharSClsNo"/>
        </w:rPr>
        <w:t>27</w:t>
      </w:r>
      <w:r>
        <w:t>.</w:t>
      </w:r>
      <w:r>
        <w:tab/>
        <w:t>Port Denison</w:t>
      </w:r>
      <w:bookmarkEnd w:id="309"/>
    </w:p>
    <w:p>
      <w:pPr>
        <w:pStyle w:val="ySubsection"/>
      </w:pPr>
      <w:r>
        <w:tab/>
        <w:t>(1)</w:t>
      </w:r>
      <w:r>
        <w:tab/>
        <w:t>This clause applies to Port Denison.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368.75</w:t>
            </w:r>
          </w:p>
        </w:tc>
      </w:tr>
      <w:tr>
        <w:trPr>
          <w:cantSplit/>
        </w:trPr>
        <w:tc>
          <w:tcPr>
            <w:tcW w:w="709" w:type="dxa"/>
          </w:tcPr>
          <w:p>
            <w:pPr>
              <w:pStyle w:val="yTableNAm"/>
              <w:jc w:val="center"/>
            </w:pPr>
            <w:r>
              <w:t>2.</w:t>
            </w:r>
          </w:p>
        </w:tc>
        <w:tc>
          <w:tcPr>
            <w:tcW w:w="4819" w:type="dxa"/>
          </w:tcPr>
          <w:p>
            <w:pPr>
              <w:pStyle w:val="yTableNAm"/>
            </w:pPr>
            <w:r>
              <w:t>For the casual daily use of an alongside berth 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r>
              <w:t>3.</w:t>
            </w:r>
          </w:p>
        </w:tc>
        <w:tc>
          <w:tcPr>
            <w:tcW w:w="4819" w:type="dxa"/>
          </w:tcPr>
          <w:p>
            <w:pPr>
              <w:pStyle w:val="yTableNAm"/>
            </w:pPr>
            <w:r>
              <w:t>For the casual daily use of a pen or alongside berth 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by a vessel for which neither a swing mooring fee nor charge in item 1 has been paid,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27 inserted: Gazette 31 May 2019 p. 1779.]</w:t>
      </w:r>
    </w:p>
    <w:p>
      <w:pPr>
        <w:pStyle w:val="yHeading5"/>
      </w:pPr>
      <w:bookmarkStart w:id="310" w:name="_Toc12881382"/>
      <w:r>
        <w:rPr>
          <w:rStyle w:val="CharSClsNo"/>
        </w:rPr>
        <w:t>28</w:t>
      </w:r>
      <w:r>
        <w:t>.</w:t>
      </w:r>
      <w:r>
        <w:tab/>
        <w:t>Port Gregory</w:t>
      </w:r>
      <w:bookmarkEnd w:id="310"/>
    </w:p>
    <w:p>
      <w:pPr>
        <w:pStyle w:val="ySubsection"/>
      </w:pPr>
      <w:r>
        <w:tab/>
        <w:t>(1)</w:t>
      </w:r>
      <w:r>
        <w:tab/>
        <w:t>This clause applies to Port Gregory.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28 inserted: Gazette 31 May 2019 p. 1779</w:t>
      </w:r>
      <w:r>
        <w:noBreakHyphen/>
        <w:t>80.]</w:t>
      </w:r>
    </w:p>
    <w:p>
      <w:pPr>
        <w:pStyle w:val="yHeading5"/>
      </w:pPr>
      <w:bookmarkStart w:id="311" w:name="_Toc12881383"/>
      <w:r>
        <w:rPr>
          <w:rStyle w:val="CharSClsNo"/>
        </w:rPr>
        <w:t>29</w:t>
      </w:r>
      <w:r>
        <w:t>.</w:t>
      </w:r>
      <w:r>
        <w:tab/>
        <w:t>Two Rocks Marina</w:t>
      </w:r>
      <w:bookmarkEnd w:id="311"/>
    </w:p>
    <w:p>
      <w:pPr>
        <w:pStyle w:val="ySubsection"/>
      </w:pPr>
      <w:r>
        <w:tab/>
        <w:t>(1)</w:t>
      </w:r>
      <w:r>
        <w:tab/>
        <w:t>This clause applies to the Two Rocks Marina.</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532.80</w:t>
            </w: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520.20</w:t>
            </w:r>
          </w:p>
        </w:tc>
      </w:tr>
      <w:tr>
        <w:trPr>
          <w:cantSplit/>
        </w:trPr>
        <w:tc>
          <w:tcPr>
            <w:tcW w:w="709" w:type="dxa"/>
          </w:tcPr>
          <w:p>
            <w:pPr>
              <w:pStyle w:val="yTableNAm"/>
              <w:jc w:val="center"/>
            </w:pPr>
            <w:r>
              <w:t>3.</w:t>
            </w:r>
          </w:p>
        </w:tc>
        <w:tc>
          <w:tcPr>
            <w:tcW w:w="4819" w:type="dxa"/>
          </w:tcPr>
          <w:p>
            <w:pPr>
              <w:pStyle w:val="yTableNAm"/>
            </w:pPr>
            <w:r>
              <w:t>For the use, other than casual daily use, of a floating pen with a walkway, an amount calculated per metre of the pen’s length using the annual rate of</w:t>
            </w:r>
          </w:p>
        </w:tc>
        <w:tc>
          <w:tcPr>
            <w:tcW w:w="1276" w:type="dxa"/>
            <w:vAlign w:val="bottom"/>
          </w:tcPr>
          <w:p>
            <w:pPr>
              <w:pStyle w:val="yTableNAm"/>
              <w:jc w:val="center"/>
            </w:pPr>
            <w:r>
              <w:t>699.50</w:t>
            </w:r>
          </w:p>
        </w:tc>
      </w:tr>
      <w:tr>
        <w:trPr>
          <w:cantSplit/>
        </w:trPr>
        <w:tc>
          <w:tcPr>
            <w:tcW w:w="709" w:type="dxa"/>
          </w:tcPr>
          <w:p>
            <w:pPr>
              <w:pStyle w:val="yTableNAm"/>
              <w:jc w:val="center"/>
            </w:pPr>
            <w:r>
              <w:t>4.</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532.80</w:t>
            </w:r>
          </w:p>
        </w:tc>
      </w:tr>
      <w:tr>
        <w:trPr>
          <w:cantSplit/>
        </w:trPr>
        <w:tc>
          <w:tcPr>
            <w:tcW w:w="709" w:type="dxa"/>
          </w:tcPr>
          <w:p>
            <w:pPr>
              <w:pStyle w:val="yTableNAm"/>
              <w:jc w:val="center"/>
            </w:pPr>
            <w:r>
              <w:t>5.</w:t>
            </w:r>
          </w:p>
        </w:tc>
        <w:tc>
          <w:tcPr>
            <w:tcW w:w="4819" w:type="dxa"/>
          </w:tcPr>
          <w:p>
            <w:pPr>
              <w:pStyle w:val="yTableNAm"/>
            </w:pPr>
            <w:r>
              <w:t>For the use, other than casual daily use, of a floating alongside berth, an amount calculated per metre of the vessel’s length using the annual rate of</w:t>
            </w:r>
          </w:p>
        </w:tc>
        <w:tc>
          <w:tcPr>
            <w:tcW w:w="1276" w:type="dxa"/>
            <w:vAlign w:val="bottom"/>
          </w:tcPr>
          <w:p>
            <w:pPr>
              <w:pStyle w:val="yTableNAm"/>
              <w:jc w:val="center"/>
            </w:pPr>
            <w:r>
              <w:t>699.50</w:t>
            </w:r>
          </w:p>
        </w:tc>
      </w:tr>
      <w:tr>
        <w:trPr>
          <w:cantSplit/>
        </w:trPr>
        <w:tc>
          <w:tcPr>
            <w:tcW w:w="709" w:type="dxa"/>
          </w:tcPr>
          <w:p>
            <w:pPr>
              <w:pStyle w:val="yTableNAm"/>
              <w:jc w:val="center"/>
            </w:pPr>
            <w:r>
              <w:t>6.</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7.</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29 inserted: Gazette 31 May 2019 p. 1780</w:t>
      </w:r>
      <w:r>
        <w:noBreakHyphen/>
        <w:t>1.]</w:t>
      </w:r>
    </w:p>
    <w:p>
      <w:pPr>
        <w:pStyle w:val="yHeading5"/>
      </w:pPr>
      <w:bookmarkStart w:id="312" w:name="_Toc12881384"/>
      <w:r>
        <w:rPr>
          <w:rStyle w:val="CharSClsNo"/>
        </w:rPr>
        <w:t>30</w:t>
      </w:r>
      <w:r>
        <w:t>.</w:t>
      </w:r>
      <w:r>
        <w:tab/>
        <w:t>Port of Wyndham</w:t>
      </w:r>
      <w:bookmarkEnd w:id="312"/>
    </w:p>
    <w:p>
      <w:pPr>
        <w:pStyle w:val="ySubsection"/>
      </w:pPr>
      <w:r>
        <w:tab/>
        <w:t>(1)</w:t>
      </w:r>
      <w:r>
        <w:tab/>
        <w:t xml:space="preserve">This clause applies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Wyndham</w:t>
          </w:r>
        </w:smartTag>
      </w:smartTag>
      <w:r>
        <w:t>.</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2268"/>
        <w:gridCol w:w="2551"/>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2268" w:type="dxa"/>
            <w:tcBorders>
              <w:top w:val="single" w:sz="4" w:space="0" w:color="auto"/>
              <w:bottom w:val="single" w:sz="4" w:space="0" w:color="auto"/>
            </w:tcBorders>
          </w:tcPr>
          <w:p>
            <w:pPr>
              <w:pStyle w:val="yTableNAm"/>
              <w:jc w:val="center"/>
              <w:rPr>
                <w:b/>
              </w:rPr>
            </w:pPr>
            <w:r>
              <w:rPr>
                <w:b/>
              </w:rPr>
              <w:t>Vessel</w:t>
            </w:r>
          </w:p>
        </w:tc>
        <w:tc>
          <w:tcPr>
            <w:tcW w:w="2551" w:type="dxa"/>
            <w:tcBorders>
              <w:top w:val="single" w:sz="4" w:space="0" w:color="auto"/>
              <w:bottom w:val="single" w:sz="4" w:space="0" w:color="auto"/>
            </w:tcBorders>
          </w:tcPr>
          <w:p>
            <w:pPr>
              <w:pStyle w:val="yTableNAm"/>
              <w:jc w:val="center"/>
              <w:rPr>
                <w:b/>
              </w:rPr>
            </w:pPr>
            <w:r>
              <w:rPr>
                <w:b/>
              </w:rPr>
              <w:t>Dues</w:t>
            </w:r>
          </w:p>
        </w:tc>
        <w:tc>
          <w:tcPr>
            <w:tcW w:w="1276" w:type="dxa"/>
            <w:tcBorders>
              <w:top w:val="single" w:sz="4" w:space="0" w:color="auto"/>
              <w:bottom w:val="single" w:sz="4" w:space="0" w:color="auto"/>
            </w:tcBorders>
          </w:tcPr>
          <w:p>
            <w:pPr>
              <w:pStyle w:val="yTableNAm"/>
              <w:jc w:val="center"/>
              <w:rPr>
                <w:b/>
              </w:rPr>
            </w:pPr>
            <w:r>
              <w:rPr>
                <w:b/>
              </w:rPr>
              <w:t>Minimum per day ($)</w:t>
            </w:r>
          </w:p>
        </w:tc>
      </w:tr>
      <w:tr>
        <w:trPr>
          <w:cantSplit/>
        </w:trPr>
        <w:tc>
          <w:tcPr>
            <w:tcW w:w="709" w:type="dxa"/>
          </w:tcPr>
          <w:p>
            <w:pPr>
              <w:pStyle w:val="yTableNAm"/>
              <w:jc w:val="center"/>
            </w:pPr>
            <w:r>
              <w:t>1.</w:t>
            </w:r>
          </w:p>
        </w:tc>
        <w:tc>
          <w:tcPr>
            <w:tcW w:w="2268" w:type="dxa"/>
          </w:tcPr>
          <w:p>
            <w:pPr>
              <w:pStyle w:val="yTableNAm"/>
            </w:pPr>
            <w:r>
              <w:t>Vessel of 300 gross registered tonnes or over</w:t>
            </w:r>
          </w:p>
        </w:tc>
        <w:tc>
          <w:tcPr>
            <w:tcW w:w="2551" w:type="dxa"/>
          </w:tcPr>
          <w:p>
            <w:pPr>
              <w:pStyle w:val="yTableNAm"/>
            </w:pPr>
            <w:r>
              <w:t>$1.29 per tonne, per cubic metre, or per kilolitre, at option of officer in charge, on all cargo landed or shipped</w:t>
            </w:r>
          </w:p>
        </w:tc>
        <w:tc>
          <w:tcPr>
            <w:tcW w:w="1276" w:type="dxa"/>
            <w:vAlign w:val="bottom"/>
          </w:tcPr>
          <w:p>
            <w:pPr>
              <w:pStyle w:val="yTableNAm"/>
              <w:jc w:val="center"/>
            </w:pPr>
            <w:r>
              <w:t>193.19</w:t>
            </w:r>
          </w:p>
        </w:tc>
      </w:tr>
      <w:tr>
        <w:trPr>
          <w:cantSplit/>
        </w:trPr>
        <w:tc>
          <w:tcPr>
            <w:tcW w:w="709" w:type="dxa"/>
          </w:tcPr>
          <w:p>
            <w:pPr>
              <w:pStyle w:val="yTableNAm"/>
              <w:jc w:val="center"/>
            </w:pPr>
            <w:r>
              <w:t>2.</w:t>
            </w:r>
          </w:p>
        </w:tc>
        <w:tc>
          <w:tcPr>
            <w:tcW w:w="2268" w:type="dxa"/>
          </w:tcPr>
          <w:p>
            <w:pPr>
              <w:pStyle w:val="yTableNAm"/>
            </w:pPr>
            <w:r>
              <w:t>Vessel under 300 gross registered tonnes</w:t>
            </w:r>
          </w:p>
        </w:tc>
        <w:tc>
          <w:tcPr>
            <w:tcW w:w="2551" w:type="dxa"/>
          </w:tcPr>
          <w:p>
            <w:pPr>
              <w:pStyle w:val="yTableNAm"/>
            </w:pPr>
            <w:r>
              <w:t>$6.99 per metre of the vessel’s length, per day</w:t>
            </w:r>
          </w:p>
        </w:tc>
        <w:tc>
          <w:tcPr>
            <w:tcW w:w="1276" w:type="dxa"/>
            <w:vAlign w:val="bottom"/>
          </w:tcPr>
          <w:p>
            <w:pPr>
              <w:pStyle w:val="yTableNAm"/>
              <w:jc w:val="center"/>
            </w:pPr>
            <w:r>
              <w:t>128.74</w:t>
            </w:r>
          </w:p>
        </w:tc>
      </w:tr>
      <w:tr>
        <w:trPr>
          <w:cantSplit/>
        </w:trPr>
        <w:tc>
          <w:tcPr>
            <w:tcW w:w="709" w:type="dxa"/>
          </w:tcPr>
          <w:p>
            <w:pPr>
              <w:pStyle w:val="yTableNAm"/>
              <w:jc w:val="center"/>
            </w:pPr>
            <w:r>
              <w:t>3.</w:t>
            </w:r>
          </w:p>
        </w:tc>
        <w:tc>
          <w:tcPr>
            <w:tcW w:w="2268" w:type="dxa"/>
          </w:tcPr>
          <w:p>
            <w:pPr>
              <w:pStyle w:val="yTableNAm"/>
            </w:pPr>
            <w:r>
              <w:t>Vessel using berth for purposes other than handling cargo</w:t>
            </w:r>
          </w:p>
        </w:tc>
        <w:tc>
          <w:tcPr>
            <w:tcW w:w="2551" w:type="dxa"/>
          </w:tcPr>
          <w:p>
            <w:pPr>
              <w:pStyle w:val="yTableNAm"/>
            </w:pPr>
            <w:r>
              <w:t>$6.99 per metre of the vessel’s length, per day</w:t>
            </w:r>
          </w:p>
        </w:tc>
        <w:tc>
          <w:tcPr>
            <w:tcW w:w="1276" w:type="dxa"/>
            <w:vAlign w:val="bottom"/>
          </w:tcPr>
          <w:p>
            <w:pPr>
              <w:pStyle w:val="yTableNAm"/>
              <w:jc w:val="center"/>
            </w:pPr>
            <w:r>
              <w:t>128.74</w:t>
            </w:r>
          </w:p>
        </w:tc>
      </w:tr>
      <w:tr>
        <w:trPr>
          <w:cantSplit/>
        </w:trPr>
        <w:tc>
          <w:tcPr>
            <w:tcW w:w="709" w:type="dxa"/>
            <w:tcBorders>
              <w:bottom w:val="single" w:sz="4" w:space="0" w:color="auto"/>
            </w:tcBorders>
          </w:tcPr>
          <w:p>
            <w:pPr>
              <w:pStyle w:val="yTableNAm"/>
              <w:jc w:val="center"/>
            </w:pPr>
            <w:r>
              <w:t>4.</w:t>
            </w:r>
          </w:p>
        </w:tc>
        <w:tc>
          <w:tcPr>
            <w:tcW w:w="2268" w:type="dxa"/>
            <w:tcBorders>
              <w:bottom w:val="single" w:sz="4" w:space="0" w:color="auto"/>
            </w:tcBorders>
          </w:tcPr>
          <w:p>
            <w:pPr>
              <w:pStyle w:val="yTableNAm"/>
            </w:pPr>
            <w:r>
              <w:t>Vessel carrying containers</w:t>
            </w:r>
          </w:p>
        </w:tc>
        <w:tc>
          <w:tcPr>
            <w:tcW w:w="2551" w:type="dxa"/>
            <w:tcBorders>
              <w:bottom w:val="single" w:sz="4" w:space="0" w:color="auto"/>
            </w:tcBorders>
          </w:tcPr>
          <w:p>
            <w:pPr>
              <w:pStyle w:val="yTableNAm"/>
            </w:pPr>
            <w:r>
              <w:t>$10.03 per empty container</w:t>
            </w:r>
          </w:p>
          <w:p>
            <w:pPr>
              <w:pStyle w:val="yTableNAm"/>
            </w:pPr>
            <w:r>
              <w:t>$32.26 per loaded container</w:t>
            </w:r>
          </w:p>
        </w:tc>
        <w:tc>
          <w:tcPr>
            <w:tcW w:w="1276" w:type="dxa"/>
            <w:tcBorders>
              <w:bottom w:val="single" w:sz="4" w:space="0" w:color="auto"/>
            </w:tcBorders>
            <w:vAlign w:val="bottom"/>
          </w:tcPr>
          <w:p>
            <w:pPr>
              <w:pStyle w:val="yTableNAm"/>
              <w:jc w:val="right"/>
            </w:pPr>
          </w:p>
        </w:tc>
      </w:tr>
    </w:tbl>
    <w:p>
      <w:pPr>
        <w:pStyle w:val="ySubsection"/>
      </w:pPr>
      <w:r>
        <w:tab/>
        <w:t>(3)</w:t>
      </w:r>
      <w:r>
        <w:tab/>
        <w:t xml:space="preserve">The wharfage dues payable are set out in the Table. </w:t>
      </w:r>
    </w:p>
    <w:p>
      <w:pPr>
        <w:pStyle w:val="yTHeadingNAm"/>
      </w:pPr>
      <w:r>
        <w:t>Wharfage</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Goods</w:t>
            </w:r>
          </w:p>
        </w:tc>
        <w:tc>
          <w:tcPr>
            <w:tcW w:w="1276" w:type="dxa"/>
            <w:tcBorders>
              <w:top w:val="single" w:sz="4" w:space="0" w:color="auto"/>
              <w:bottom w:val="single" w:sz="4" w:space="0" w:color="auto"/>
            </w:tcBorders>
          </w:tcPr>
          <w:p>
            <w:pPr>
              <w:pStyle w:val="yTableNAm"/>
              <w:tabs>
                <w:tab w:val="clear" w:pos="567"/>
                <w:tab w:val="left" w:pos="-13665"/>
              </w:tabs>
              <w:jc w:val="center"/>
              <w:rPr>
                <w:b/>
              </w:rPr>
            </w:pPr>
            <w:r>
              <w:rPr>
                <w:b/>
              </w:rPr>
              <w:t>$</w:t>
            </w:r>
          </w:p>
        </w:tc>
      </w:tr>
      <w:tr>
        <w:trPr>
          <w:cantSplit/>
        </w:trPr>
        <w:tc>
          <w:tcPr>
            <w:tcW w:w="709" w:type="dxa"/>
          </w:tcPr>
          <w:p>
            <w:pPr>
              <w:pStyle w:val="yTableNAm"/>
              <w:jc w:val="center"/>
            </w:pPr>
            <w:r>
              <w:t>1.</w:t>
            </w:r>
          </w:p>
        </w:tc>
        <w:tc>
          <w:tcPr>
            <w:tcW w:w="4819" w:type="dxa"/>
          </w:tcPr>
          <w:p>
            <w:pPr>
              <w:pStyle w:val="yTableNAm"/>
            </w:pPr>
            <w:r>
              <w:t xml:space="preserve">Cargo in 20 feet equivalent unit (TEU) containers — </w:t>
            </w:r>
          </w:p>
        </w:tc>
        <w:tc>
          <w:tcPr>
            <w:tcW w:w="1276" w:type="dxa"/>
            <w:vAlign w:val="bottom"/>
          </w:tcPr>
          <w:p>
            <w:pPr>
              <w:pStyle w:val="yTableNAm"/>
              <w:tabs>
                <w:tab w:val="clear" w:pos="567"/>
                <w:tab w:val="left" w:pos="-13665"/>
              </w:tabs>
              <w:jc w:val="center"/>
            </w:pPr>
          </w:p>
        </w:tc>
      </w:tr>
      <w:tr>
        <w:trPr>
          <w:cantSplit/>
        </w:trPr>
        <w:tc>
          <w:tcPr>
            <w:tcW w:w="709" w:type="dxa"/>
          </w:tcPr>
          <w:p>
            <w:pPr>
              <w:pStyle w:val="yTableNAm"/>
              <w:jc w:val="center"/>
            </w:pPr>
          </w:p>
        </w:tc>
        <w:tc>
          <w:tcPr>
            <w:tcW w:w="4819" w:type="dxa"/>
          </w:tcPr>
          <w:p>
            <w:pPr>
              <w:pStyle w:val="yTableNAm"/>
              <w:ind w:left="567" w:hanging="567"/>
            </w:pPr>
            <w:r>
              <w:t>•</w:t>
            </w:r>
            <w:r>
              <w:tab/>
              <w:t>fertiliser, per TEU</w:t>
            </w:r>
          </w:p>
        </w:tc>
        <w:tc>
          <w:tcPr>
            <w:tcW w:w="1276" w:type="dxa"/>
            <w:vAlign w:val="bottom"/>
          </w:tcPr>
          <w:p>
            <w:pPr>
              <w:pStyle w:val="yTableNAm"/>
              <w:tabs>
                <w:tab w:val="clear" w:pos="567"/>
                <w:tab w:val="left" w:pos="-13665"/>
                <w:tab w:val="decimal" w:pos="-11539"/>
              </w:tabs>
              <w:jc w:val="center"/>
            </w:pPr>
            <w:r>
              <w:t>112.00</w:t>
            </w:r>
          </w:p>
        </w:tc>
      </w:tr>
      <w:tr>
        <w:trPr>
          <w:cantSplit/>
        </w:trPr>
        <w:tc>
          <w:tcPr>
            <w:tcW w:w="709" w:type="dxa"/>
          </w:tcPr>
          <w:p>
            <w:pPr>
              <w:pStyle w:val="yTableNAm"/>
              <w:jc w:val="center"/>
            </w:pPr>
          </w:p>
        </w:tc>
        <w:tc>
          <w:tcPr>
            <w:tcW w:w="4819" w:type="dxa"/>
          </w:tcPr>
          <w:p>
            <w:pPr>
              <w:pStyle w:val="yTableNAm"/>
              <w:ind w:left="567" w:hanging="567"/>
            </w:pPr>
            <w:r>
              <w:t>•</w:t>
            </w:r>
            <w:r>
              <w:tab/>
              <w:t>explosives, per TEU</w:t>
            </w:r>
          </w:p>
        </w:tc>
        <w:tc>
          <w:tcPr>
            <w:tcW w:w="1276" w:type="dxa"/>
            <w:vAlign w:val="bottom"/>
          </w:tcPr>
          <w:p>
            <w:pPr>
              <w:pStyle w:val="yTableNAm"/>
              <w:tabs>
                <w:tab w:val="clear" w:pos="567"/>
                <w:tab w:val="left" w:pos="-13665"/>
                <w:tab w:val="decimal" w:pos="-12815"/>
              </w:tabs>
              <w:jc w:val="center"/>
            </w:pPr>
            <w:r>
              <w:t>138.56</w:t>
            </w:r>
          </w:p>
        </w:tc>
      </w:tr>
      <w:tr>
        <w:trPr>
          <w:cantSplit/>
        </w:trPr>
        <w:tc>
          <w:tcPr>
            <w:tcW w:w="709" w:type="dxa"/>
          </w:tcPr>
          <w:p>
            <w:pPr>
              <w:pStyle w:val="yTableNAm"/>
              <w:jc w:val="center"/>
            </w:pPr>
          </w:p>
        </w:tc>
        <w:tc>
          <w:tcPr>
            <w:tcW w:w="4819" w:type="dxa"/>
          </w:tcPr>
          <w:p>
            <w:pPr>
              <w:pStyle w:val="yTableNAm"/>
              <w:ind w:left="567" w:hanging="567"/>
            </w:pPr>
            <w:r>
              <w:t>•</w:t>
            </w:r>
            <w:r>
              <w:tab/>
              <w:t>products of the soil (not otherwise specified), per TEU</w:t>
            </w:r>
          </w:p>
        </w:tc>
        <w:tc>
          <w:tcPr>
            <w:tcW w:w="1276" w:type="dxa"/>
            <w:vAlign w:val="bottom"/>
          </w:tcPr>
          <w:p>
            <w:pPr>
              <w:pStyle w:val="yTableNAm"/>
              <w:tabs>
                <w:tab w:val="clear" w:pos="567"/>
                <w:tab w:val="left" w:pos="-13665"/>
              </w:tabs>
              <w:jc w:val="center"/>
            </w:pPr>
            <w:r>
              <w:t>70.31</w:t>
            </w:r>
          </w:p>
        </w:tc>
      </w:tr>
      <w:tr>
        <w:trPr>
          <w:cantSplit/>
        </w:trPr>
        <w:tc>
          <w:tcPr>
            <w:tcW w:w="709" w:type="dxa"/>
          </w:tcPr>
          <w:p>
            <w:pPr>
              <w:pStyle w:val="yTableNAm"/>
              <w:jc w:val="center"/>
            </w:pPr>
          </w:p>
        </w:tc>
        <w:tc>
          <w:tcPr>
            <w:tcW w:w="4819" w:type="dxa"/>
          </w:tcPr>
          <w:p>
            <w:pPr>
              <w:pStyle w:val="yTableNAm"/>
              <w:ind w:left="567" w:hanging="567"/>
            </w:pPr>
            <w:r>
              <w:t>•</w:t>
            </w:r>
            <w:r>
              <w:tab/>
              <w:t>not otherwise specified in this item, per TEU</w:t>
            </w:r>
          </w:p>
        </w:tc>
        <w:tc>
          <w:tcPr>
            <w:tcW w:w="1276" w:type="dxa"/>
            <w:vAlign w:val="bottom"/>
          </w:tcPr>
          <w:p>
            <w:pPr>
              <w:pStyle w:val="yTableNAm"/>
              <w:tabs>
                <w:tab w:val="clear" w:pos="567"/>
                <w:tab w:val="left" w:pos="-13665"/>
              </w:tabs>
              <w:jc w:val="center"/>
            </w:pPr>
            <w:r>
              <w:t>222.07</w:t>
            </w:r>
          </w:p>
        </w:tc>
      </w:tr>
      <w:tr>
        <w:trPr>
          <w:cantSplit/>
        </w:trPr>
        <w:tc>
          <w:tcPr>
            <w:tcW w:w="709" w:type="dxa"/>
          </w:tcPr>
          <w:p>
            <w:pPr>
              <w:pStyle w:val="yTableNAm"/>
              <w:jc w:val="center"/>
            </w:pPr>
            <w:r>
              <w:t>2.</w:t>
            </w:r>
          </w:p>
        </w:tc>
        <w:tc>
          <w:tcPr>
            <w:tcW w:w="4819" w:type="dxa"/>
          </w:tcPr>
          <w:p>
            <w:pPr>
              <w:pStyle w:val="yTableNAm"/>
            </w:pPr>
            <w:r>
              <w:t>Empty TEU containers, per TEU</w:t>
            </w:r>
          </w:p>
        </w:tc>
        <w:tc>
          <w:tcPr>
            <w:tcW w:w="1276" w:type="dxa"/>
            <w:vAlign w:val="bottom"/>
          </w:tcPr>
          <w:p>
            <w:pPr>
              <w:pStyle w:val="yTableNAm"/>
              <w:tabs>
                <w:tab w:val="clear" w:pos="567"/>
                <w:tab w:val="left" w:pos="-13665"/>
              </w:tabs>
              <w:jc w:val="center"/>
            </w:pPr>
            <w:r>
              <w:t>64.54</w:t>
            </w:r>
          </w:p>
        </w:tc>
      </w:tr>
      <w:tr>
        <w:trPr>
          <w:cantSplit/>
        </w:trPr>
        <w:tc>
          <w:tcPr>
            <w:tcW w:w="709" w:type="dxa"/>
          </w:tcPr>
          <w:p>
            <w:pPr>
              <w:pStyle w:val="yTableNAm"/>
              <w:jc w:val="center"/>
            </w:pPr>
            <w:r>
              <w:t>3.</w:t>
            </w:r>
          </w:p>
        </w:tc>
        <w:tc>
          <w:tcPr>
            <w:tcW w:w="4819" w:type="dxa"/>
          </w:tcPr>
          <w:p>
            <w:pPr>
              <w:pStyle w:val="yTableNAm"/>
            </w:pPr>
            <w:r>
              <w:t>Cargo, whether in containers (not TEU containers) or otherwise —</w:t>
            </w:r>
          </w:p>
        </w:tc>
        <w:tc>
          <w:tcPr>
            <w:tcW w:w="1276" w:type="dxa"/>
            <w:vAlign w:val="bottom"/>
          </w:tcPr>
          <w:p>
            <w:pPr>
              <w:pStyle w:val="yTableNAm"/>
              <w:tabs>
                <w:tab w:val="clear" w:pos="567"/>
                <w:tab w:val="left" w:pos="-13665"/>
              </w:tabs>
              <w:jc w:val="center"/>
            </w:pPr>
          </w:p>
        </w:tc>
      </w:tr>
      <w:tr>
        <w:trPr>
          <w:cantSplit/>
        </w:trPr>
        <w:tc>
          <w:tcPr>
            <w:tcW w:w="709" w:type="dxa"/>
          </w:tcPr>
          <w:p>
            <w:pPr>
              <w:pStyle w:val="yTableNAm"/>
              <w:jc w:val="center"/>
            </w:pPr>
          </w:p>
        </w:tc>
        <w:tc>
          <w:tcPr>
            <w:tcW w:w="4819" w:type="dxa"/>
          </w:tcPr>
          <w:p>
            <w:pPr>
              <w:pStyle w:val="yTableNAm"/>
            </w:pPr>
            <w:r>
              <w:t>•</w:t>
            </w:r>
            <w:r>
              <w:tab/>
              <w:t xml:space="preserve">animals, live — </w:t>
            </w:r>
          </w:p>
        </w:tc>
        <w:tc>
          <w:tcPr>
            <w:tcW w:w="1276" w:type="dxa"/>
            <w:vAlign w:val="bottom"/>
          </w:tcPr>
          <w:p>
            <w:pPr>
              <w:pStyle w:val="yTableNAm"/>
              <w:tabs>
                <w:tab w:val="clear" w:pos="567"/>
                <w:tab w:val="left" w:pos="-13665"/>
              </w:tabs>
              <w:jc w:val="center"/>
            </w:pPr>
          </w:p>
        </w:tc>
      </w:tr>
      <w:tr>
        <w:trPr>
          <w:cantSplit/>
        </w:trPr>
        <w:tc>
          <w:tcPr>
            <w:tcW w:w="709" w:type="dxa"/>
          </w:tcPr>
          <w:p>
            <w:pPr>
              <w:pStyle w:val="yTableNAm"/>
              <w:jc w:val="center"/>
            </w:pPr>
          </w:p>
        </w:tc>
        <w:tc>
          <w:tcPr>
            <w:tcW w:w="4819" w:type="dxa"/>
          </w:tcPr>
          <w:p>
            <w:pPr>
              <w:pStyle w:val="yTableNAm"/>
              <w:tabs>
                <w:tab w:val="clear" w:pos="567"/>
                <w:tab w:val="left" w:pos="-4027"/>
              </w:tabs>
              <w:ind w:left="935" w:hanging="425"/>
            </w:pPr>
            <w:r>
              <w:t>◦</w:t>
            </w:r>
            <w:r>
              <w:tab/>
              <w:t>cattle (bullocks, cows, etc.), per head</w:t>
            </w:r>
          </w:p>
        </w:tc>
        <w:tc>
          <w:tcPr>
            <w:tcW w:w="1276" w:type="dxa"/>
            <w:vAlign w:val="bottom"/>
          </w:tcPr>
          <w:p>
            <w:pPr>
              <w:pStyle w:val="yTableNAm"/>
              <w:tabs>
                <w:tab w:val="clear" w:pos="567"/>
                <w:tab w:val="left" w:pos="-13665"/>
              </w:tabs>
              <w:jc w:val="center"/>
            </w:pPr>
            <w:r>
              <w:t>2.75</w:t>
            </w:r>
          </w:p>
        </w:tc>
      </w:tr>
      <w:tr>
        <w:trPr>
          <w:cantSplit/>
        </w:trPr>
        <w:tc>
          <w:tcPr>
            <w:tcW w:w="709" w:type="dxa"/>
          </w:tcPr>
          <w:p>
            <w:pPr>
              <w:pStyle w:val="yTableNAm"/>
              <w:jc w:val="center"/>
            </w:pPr>
          </w:p>
        </w:tc>
        <w:tc>
          <w:tcPr>
            <w:tcW w:w="4819" w:type="dxa"/>
          </w:tcPr>
          <w:p>
            <w:pPr>
              <w:pStyle w:val="yTableNAm"/>
              <w:tabs>
                <w:tab w:val="clear" w:pos="567"/>
                <w:tab w:val="left" w:pos="-4027"/>
              </w:tabs>
              <w:ind w:left="935" w:hanging="425"/>
            </w:pPr>
            <w:r>
              <w:t>◦</w:t>
            </w:r>
            <w:r>
              <w:tab/>
              <w:t>dogs, goats, pigs, sheep, per head</w:t>
            </w:r>
          </w:p>
        </w:tc>
        <w:tc>
          <w:tcPr>
            <w:tcW w:w="1276" w:type="dxa"/>
            <w:vAlign w:val="bottom"/>
          </w:tcPr>
          <w:p>
            <w:pPr>
              <w:pStyle w:val="yTableNAm"/>
              <w:tabs>
                <w:tab w:val="clear" w:pos="567"/>
                <w:tab w:val="left" w:pos="-13665"/>
              </w:tabs>
              <w:jc w:val="center"/>
            </w:pPr>
            <w:r>
              <w:t>0.56</w:t>
            </w:r>
          </w:p>
        </w:tc>
      </w:tr>
      <w:tr>
        <w:trPr>
          <w:cantSplit/>
        </w:trPr>
        <w:tc>
          <w:tcPr>
            <w:tcW w:w="709" w:type="dxa"/>
          </w:tcPr>
          <w:p>
            <w:pPr>
              <w:pStyle w:val="yTableNAm"/>
              <w:jc w:val="center"/>
            </w:pPr>
          </w:p>
        </w:tc>
        <w:tc>
          <w:tcPr>
            <w:tcW w:w="4819" w:type="dxa"/>
          </w:tcPr>
          <w:p>
            <w:pPr>
              <w:pStyle w:val="yTableNAm"/>
            </w:pPr>
            <w:r>
              <w:t>•</w:t>
            </w:r>
            <w:r>
              <w:tab/>
              <w:t>bulk, by pipeline, per kilolitre</w:t>
            </w:r>
          </w:p>
        </w:tc>
        <w:tc>
          <w:tcPr>
            <w:tcW w:w="1276" w:type="dxa"/>
            <w:vAlign w:val="bottom"/>
          </w:tcPr>
          <w:p>
            <w:pPr>
              <w:pStyle w:val="yTableNAm"/>
              <w:tabs>
                <w:tab w:val="clear" w:pos="567"/>
                <w:tab w:val="left" w:pos="-13665"/>
              </w:tabs>
              <w:jc w:val="center"/>
            </w:pPr>
            <w:r>
              <w:t>11.74</w:t>
            </w:r>
          </w:p>
        </w:tc>
      </w:tr>
      <w:tr>
        <w:trPr>
          <w:cantSplit/>
        </w:trPr>
        <w:tc>
          <w:tcPr>
            <w:tcW w:w="709" w:type="dxa"/>
          </w:tcPr>
          <w:p>
            <w:pPr>
              <w:pStyle w:val="yTableNAm"/>
              <w:jc w:val="center"/>
            </w:pPr>
          </w:p>
        </w:tc>
        <w:tc>
          <w:tcPr>
            <w:tcW w:w="4819" w:type="dxa"/>
          </w:tcPr>
          <w:p>
            <w:pPr>
              <w:pStyle w:val="yTableNAm"/>
              <w:ind w:left="567" w:hanging="567"/>
            </w:pPr>
            <w:r>
              <w:t>•</w:t>
            </w:r>
            <w:r>
              <w:tab/>
              <w:t>bulk, by pipeline using road tanker on jetty, per kilolitre</w:t>
            </w:r>
          </w:p>
        </w:tc>
        <w:tc>
          <w:tcPr>
            <w:tcW w:w="1276" w:type="dxa"/>
            <w:vAlign w:val="bottom"/>
          </w:tcPr>
          <w:p>
            <w:pPr>
              <w:pStyle w:val="yTableNAm"/>
              <w:tabs>
                <w:tab w:val="clear" w:pos="567"/>
                <w:tab w:val="left" w:pos="-13665"/>
              </w:tabs>
              <w:jc w:val="center"/>
            </w:pPr>
            <w:r>
              <w:t>12.23</w:t>
            </w:r>
          </w:p>
        </w:tc>
      </w:tr>
      <w:tr>
        <w:trPr>
          <w:cantSplit/>
        </w:trPr>
        <w:tc>
          <w:tcPr>
            <w:tcW w:w="709" w:type="dxa"/>
          </w:tcPr>
          <w:p>
            <w:pPr>
              <w:pStyle w:val="yTableNAm"/>
              <w:jc w:val="center"/>
            </w:pPr>
          </w:p>
        </w:tc>
        <w:tc>
          <w:tcPr>
            <w:tcW w:w="4819" w:type="dxa"/>
          </w:tcPr>
          <w:p>
            <w:pPr>
              <w:pStyle w:val="yTableNAm"/>
              <w:ind w:left="567" w:hanging="567"/>
            </w:pPr>
            <w:r>
              <w:t>•</w:t>
            </w:r>
            <w:r>
              <w:tab/>
              <w:t>containers (not TEU containers), empty, per tonne, per cubic metre</w:t>
            </w:r>
          </w:p>
        </w:tc>
        <w:tc>
          <w:tcPr>
            <w:tcW w:w="1276" w:type="dxa"/>
            <w:vAlign w:val="bottom"/>
          </w:tcPr>
          <w:p>
            <w:pPr>
              <w:pStyle w:val="yTableNAm"/>
              <w:tabs>
                <w:tab w:val="clear" w:pos="567"/>
                <w:tab w:val="left" w:pos="-13665"/>
              </w:tabs>
              <w:jc w:val="center"/>
            </w:pPr>
            <w:r>
              <w:t>2.75</w:t>
            </w:r>
          </w:p>
        </w:tc>
      </w:tr>
      <w:tr>
        <w:trPr>
          <w:cantSplit/>
        </w:trPr>
        <w:tc>
          <w:tcPr>
            <w:tcW w:w="709" w:type="dxa"/>
          </w:tcPr>
          <w:p>
            <w:pPr>
              <w:pStyle w:val="yTableNAm"/>
              <w:jc w:val="center"/>
            </w:pPr>
          </w:p>
        </w:tc>
        <w:tc>
          <w:tcPr>
            <w:tcW w:w="4819" w:type="dxa"/>
          </w:tcPr>
          <w:p>
            <w:pPr>
              <w:pStyle w:val="yTableNAm"/>
              <w:ind w:left="567" w:hanging="567"/>
            </w:pPr>
            <w:r>
              <w:t>•</w:t>
            </w:r>
            <w:r>
              <w:tab/>
              <w:t>explosives, per tonne, per cubic metre</w:t>
            </w:r>
          </w:p>
        </w:tc>
        <w:tc>
          <w:tcPr>
            <w:tcW w:w="1276" w:type="dxa"/>
            <w:vAlign w:val="bottom"/>
          </w:tcPr>
          <w:p>
            <w:pPr>
              <w:pStyle w:val="yTableNAm"/>
              <w:tabs>
                <w:tab w:val="clear" w:pos="567"/>
                <w:tab w:val="left" w:pos="-13665"/>
              </w:tabs>
              <w:jc w:val="center"/>
            </w:pPr>
            <w:r>
              <w:t>4.76</w:t>
            </w:r>
          </w:p>
        </w:tc>
      </w:tr>
      <w:tr>
        <w:trPr>
          <w:cantSplit/>
        </w:trPr>
        <w:tc>
          <w:tcPr>
            <w:tcW w:w="709" w:type="dxa"/>
          </w:tcPr>
          <w:p>
            <w:pPr>
              <w:pStyle w:val="yTableNAm"/>
              <w:jc w:val="center"/>
            </w:pPr>
          </w:p>
        </w:tc>
        <w:tc>
          <w:tcPr>
            <w:tcW w:w="4819" w:type="dxa"/>
          </w:tcPr>
          <w:p>
            <w:pPr>
              <w:pStyle w:val="yTableNAm"/>
            </w:pPr>
            <w:r>
              <w:t>•</w:t>
            </w:r>
            <w:r>
              <w:tab/>
              <w:t>fertiliser, per tonne, per cubic metre</w:t>
            </w:r>
          </w:p>
        </w:tc>
        <w:tc>
          <w:tcPr>
            <w:tcW w:w="1276" w:type="dxa"/>
            <w:vAlign w:val="bottom"/>
          </w:tcPr>
          <w:p>
            <w:pPr>
              <w:pStyle w:val="yTableNAm"/>
              <w:tabs>
                <w:tab w:val="clear" w:pos="567"/>
                <w:tab w:val="left" w:pos="-13665"/>
              </w:tabs>
              <w:jc w:val="center"/>
            </w:pPr>
            <w:r>
              <w:t>3.87</w:t>
            </w:r>
          </w:p>
        </w:tc>
      </w:tr>
      <w:tr>
        <w:trPr>
          <w:cantSplit/>
        </w:trPr>
        <w:tc>
          <w:tcPr>
            <w:tcW w:w="709" w:type="dxa"/>
          </w:tcPr>
          <w:p>
            <w:pPr>
              <w:pStyle w:val="yTableNAm"/>
              <w:jc w:val="center"/>
            </w:pPr>
          </w:p>
        </w:tc>
        <w:tc>
          <w:tcPr>
            <w:tcW w:w="4819" w:type="dxa"/>
          </w:tcPr>
          <w:p>
            <w:pPr>
              <w:pStyle w:val="yTableNAm"/>
              <w:ind w:left="567" w:hanging="567"/>
            </w:pPr>
            <w:r>
              <w:t>•</w:t>
            </w:r>
            <w:r>
              <w:tab/>
              <w:t>meat, chilled or frozen, per tonne, per cubic metre</w:t>
            </w:r>
          </w:p>
        </w:tc>
        <w:tc>
          <w:tcPr>
            <w:tcW w:w="1276" w:type="dxa"/>
            <w:vAlign w:val="bottom"/>
          </w:tcPr>
          <w:p>
            <w:pPr>
              <w:pStyle w:val="yTableNAm"/>
              <w:tabs>
                <w:tab w:val="clear" w:pos="567"/>
                <w:tab w:val="left" w:pos="-13665"/>
              </w:tabs>
              <w:jc w:val="center"/>
            </w:pPr>
            <w:r>
              <w:t>4.56</w:t>
            </w:r>
          </w:p>
        </w:tc>
      </w:tr>
      <w:tr>
        <w:trPr>
          <w:cantSplit/>
        </w:trPr>
        <w:tc>
          <w:tcPr>
            <w:tcW w:w="709" w:type="dxa"/>
          </w:tcPr>
          <w:p>
            <w:pPr>
              <w:pStyle w:val="yTableNAm"/>
              <w:jc w:val="center"/>
            </w:pPr>
          </w:p>
        </w:tc>
        <w:tc>
          <w:tcPr>
            <w:tcW w:w="4819" w:type="dxa"/>
          </w:tcPr>
          <w:p>
            <w:pPr>
              <w:pStyle w:val="yTableNAm"/>
            </w:pPr>
            <w:r>
              <w:t>•</w:t>
            </w:r>
            <w:r>
              <w:tab/>
              <w:t>ore, per tonne</w:t>
            </w:r>
          </w:p>
        </w:tc>
        <w:tc>
          <w:tcPr>
            <w:tcW w:w="1276" w:type="dxa"/>
            <w:vAlign w:val="bottom"/>
          </w:tcPr>
          <w:p>
            <w:pPr>
              <w:pStyle w:val="yTableNAm"/>
              <w:tabs>
                <w:tab w:val="clear" w:pos="567"/>
                <w:tab w:val="left" w:pos="-13665"/>
              </w:tabs>
              <w:jc w:val="center"/>
            </w:pPr>
            <w:r>
              <w:t>3.76</w:t>
            </w:r>
          </w:p>
        </w:tc>
      </w:tr>
      <w:tr>
        <w:trPr>
          <w:cantSplit/>
        </w:trPr>
        <w:tc>
          <w:tcPr>
            <w:tcW w:w="709" w:type="dxa"/>
          </w:tcPr>
          <w:p>
            <w:pPr>
              <w:pStyle w:val="yTableNAm"/>
              <w:jc w:val="center"/>
            </w:pPr>
          </w:p>
        </w:tc>
        <w:tc>
          <w:tcPr>
            <w:tcW w:w="4819" w:type="dxa"/>
          </w:tcPr>
          <w:p>
            <w:pPr>
              <w:pStyle w:val="yTableNAm"/>
              <w:ind w:left="567" w:hanging="567"/>
            </w:pPr>
            <w:r>
              <w:t>•</w:t>
            </w:r>
            <w:r>
              <w:tab/>
              <w:t>products of the soil (not otherwise specified), per tonne, per cubic metre</w:t>
            </w:r>
          </w:p>
        </w:tc>
        <w:tc>
          <w:tcPr>
            <w:tcW w:w="1276" w:type="dxa"/>
            <w:vAlign w:val="bottom"/>
          </w:tcPr>
          <w:p>
            <w:pPr>
              <w:pStyle w:val="yTableNAm"/>
              <w:tabs>
                <w:tab w:val="clear" w:pos="567"/>
                <w:tab w:val="left" w:pos="-13665"/>
              </w:tabs>
              <w:jc w:val="center"/>
            </w:pPr>
            <w:r>
              <w:t>2.59</w:t>
            </w:r>
          </w:p>
        </w:tc>
      </w:tr>
      <w:tr>
        <w:trPr>
          <w:cantSplit/>
        </w:trPr>
        <w:tc>
          <w:tcPr>
            <w:tcW w:w="709" w:type="dxa"/>
          </w:tcPr>
          <w:p>
            <w:pPr>
              <w:pStyle w:val="yTableNAm"/>
              <w:jc w:val="center"/>
            </w:pPr>
          </w:p>
        </w:tc>
        <w:tc>
          <w:tcPr>
            <w:tcW w:w="4819" w:type="dxa"/>
          </w:tcPr>
          <w:p>
            <w:pPr>
              <w:pStyle w:val="yTableNAm"/>
            </w:pPr>
            <w:r>
              <w:t>•</w:t>
            </w:r>
            <w:r>
              <w:tab/>
              <w:t xml:space="preserve">vehicles — </w:t>
            </w:r>
          </w:p>
        </w:tc>
        <w:tc>
          <w:tcPr>
            <w:tcW w:w="1276" w:type="dxa"/>
            <w:vAlign w:val="bottom"/>
          </w:tcPr>
          <w:p>
            <w:pPr>
              <w:pStyle w:val="yTableNAm"/>
              <w:tabs>
                <w:tab w:val="clear" w:pos="567"/>
                <w:tab w:val="left" w:pos="-13665"/>
              </w:tabs>
              <w:jc w:val="center"/>
            </w:pPr>
          </w:p>
        </w:tc>
      </w:tr>
      <w:tr>
        <w:trPr>
          <w:cantSplit/>
        </w:trPr>
        <w:tc>
          <w:tcPr>
            <w:tcW w:w="709" w:type="dxa"/>
          </w:tcPr>
          <w:p>
            <w:pPr>
              <w:pStyle w:val="yTableNAm"/>
              <w:jc w:val="center"/>
            </w:pPr>
          </w:p>
        </w:tc>
        <w:tc>
          <w:tcPr>
            <w:tcW w:w="4819" w:type="dxa"/>
          </w:tcPr>
          <w:p>
            <w:pPr>
              <w:pStyle w:val="yTableNAm"/>
              <w:tabs>
                <w:tab w:val="clear" w:pos="567"/>
                <w:tab w:val="left" w:pos="-4027"/>
              </w:tabs>
              <w:ind w:left="935" w:hanging="425"/>
            </w:pPr>
            <w:r>
              <w:t>◦</w:t>
            </w:r>
            <w:r>
              <w:tab/>
              <w:t>commercial vehicles on own wheels, per tonne, per cubic metre</w:t>
            </w:r>
          </w:p>
        </w:tc>
        <w:tc>
          <w:tcPr>
            <w:tcW w:w="1276" w:type="dxa"/>
            <w:vAlign w:val="bottom"/>
          </w:tcPr>
          <w:p>
            <w:pPr>
              <w:pStyle w:val="yTableNAm"/>
              <w:tabs>
                <w:tab w:val="clear" w:pos="567"/>
                <w:tab w:val="left" w:pos="-13665"/>
              </w:tabs>
              <w:jc w:val="center"/>
            </w:pPr>
            <w:r>
              <w:t>4.54</w:t>
            </w:r>
          </w:p>
        </w:tc>
      </w:tr>
      <w:tr>
        <w:trPr>
          <w:cantSplit/>
        </w:trPr>
        <w:tc>
          <w:tcPr>
            <w:tcW w:w="709" w:type="dxa"/>
          </w:tcPr>
          <w:p>
            <w:pPr>
              <w:pStyle w:val="yTableNAm"/>
              <w:jc w:val="center"/>
            </w:pPr>
          </w:p>
        </w:tc>
        <w:tc>
          <w:tcPr>
            <w:tcW w:w="4819" w:type="dxa"/>
          </w:tcPr>
          <w:p>
            <w:pPr>
              <w:pStyle w:val="yTableNAm"/>
              <w:tabs>
                <w:tab w:val="clear" w:pos="567"/>
                <w:tab w:val="left" w:pos="-4027"/>
              </w:tabs>
              <w:ind w:left="935" w:hanging="425"/>
            </w:pPr>
            <w:r>
              <w:t>◦</w:t>
            </w:r>
            <w:r>
              <w:tab/>
              <w:t>other vehicles on own wheels, per tonne, per cubic metre</w:t>
            </w:r>
          </w:p>
        </w:tc>
        <w:tc>
          <w:tcPr>
            <w:tcW w:w="1276" w:type="dxa"/>
            <w:vAlign w:val="bottom"/>
          </w:tcPr>
          <w:p>
            <w:pPr>
              <w:pStyle w:val="yTableNAm"/>
              <w:tabs>
                <w:tab w:val="clear" w:pos="567"/>
                <w:tab w:val="left" w:pos="-13665"/>
              </w:tabs>
              <w:jc w:val="center"/>
            </w:pPr>
            <w:r>
              <w:t>4.33</w:t>
            </w:r>
          </w:p>
        </w:tc>
      </w:tr>
      <w:tr>
        <w:trPr>
          <w:cantSplit/>
        </w:trPr>
        <w:tc>
          <w:tcPr>
            <w:tcW w:w="709" w:type="dxa"/>
          </w:tcPr>
          <w:p>
            <w:pPr>
              <w:pStyle w:val="yTableNAm"/>
              <w:jc w:val="center"/>
            </w:pPr>
          </w:p>
        </w:tc>
        <w:tc>
          <w:tcPr>
            <w:tcW w:w="4819" w:type="dxa"/>
          </w:tcPr>
          <w:p>
            <w:pPr>
              <w:pStyle w:val="yTableNAm"/>
              <w:ind w:left="567" w:hanging="567"/>
            </w:pPr>
            <w:r>
              <w:t>•</w:t>
            </w:r>
            <w:r>
              <w:tab/>
              <w:t>recreational vessel, per metre of the vessel’s length</w:t>
            </w:r>
          </w:p>
        </w:tc>
        <w:tc>
          <w:tcPr>
            <w:tcW w:w="1276" w:type="dxa"/>
            <w:vAlign w:val="bottom"/>
          </w:tcPr>
          <w:p>
            <w:pPr>
              <w:pStyle w:val="yTableNAm"/>
              <w:tabs>
                <w:tab w:val="clear" w:pos="567"/>
                <w:tab w:val="left" w:pos="-13665"/>
              </w:tabs>
              <w:jc w:val="center"/>
            </w:pPr>
            <w:r>
              <w:t>17.19</w:t>
            </w:r>
          </w:p>
        </w:tc>
      </w:tr>
      <w:tr>
        <w:trPr>
          <w:cantSplit/>
        </w:trPr>
        <w:tc>
          <w:tcPr>
            <w:tcW w:w="709" w:type="dxa"/>
            <w:tcBorders>
              <w:bottom w:val="single" w:sz="4" w:space="0" w:color="auto"/>
            </w:tcBorders>
          </w:tcPr>
          <w:p>
            <w:pPr>
              <w:pStyle w:val="yTableNAm"/>
              <w:jc w:val="center"/>
            </w:pPr>
          </w:p>
        </w:tc>
        <w:tc>
          <w:tcPr>
            <w:tcW w:w="4819" w:type="dxa"/>
            <w:tcBorders>
              <w:bottom w:val="single" w:sz="4" w:space="0" w:color="auto"/>
            </w:tcBorders>
          </w:tcPr>
          <w:p>
            <w:pPr>
              <w:pStyle w:val="yTableNAm"/>
              <w:ind w:left="567" w:hanging="567"/>
            </w:pPr>
            <w:r>
              <w:t>•</w:t>
            </w:r>
            <w:r>
              <w:tab/>
              <w:t>not otherwise specified in this item, per tonne, per cubic metre</w:t>
            </w:r>
          </w:p>
        </w:tc>
        <w:tc>
          <w:tcPr>
            <w:tcW w:w="1276" w:type="dxa"/>
            <w:tcBorders>
              <w:bottom w:val="single" w:sz="4" w:space="0" w:color="auto"/>
            </w:tcBorders>
            <w:vAlign w:val="bottom"/>
          </w:tcPr>
          <w:p>
            <w:pPr>
              <w:pStyle w:val="yTableNAm"/>
              <w:tabs>
                <w:tab w:val="clear" w:pos="567"/>
                <w:tab w:val="left" w:pos="-13665"/>
              </w:tabs>
              <w:jc w:val="center"/>
            </w:pPr>
            <w:r>
              <w:t>7.49</w:t>
            </w:r>
          </w:p>
        </w:tc>
      </w:tr>
    </w:tbl>
    <w:p>
      <w:pPr>
        <w:pStyle w:val="ySubsection"/>
      </w:pPr>
      <w:r>
        <w:tab/>
        <w:t>(4)</w:t>
      </w:r>
      <w:r>
        <w:tab/>
        <w:t xml:space="preserve">The dues payable under regulation 11 are set out in the Table. </w:t>
      </w:r>
    </w:p>
    <w:p>
      <w:pPr>
        <w:pStyle w:val="yTHeadingNAm"/>
      </w:pPr>
      <w:r>
        <w:t>Transhipment</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Goods</w:t>
            </w:r>
          </w:p>
        </w:tc>
        <w:tc>
          <w:tcPr>
            <w:tcW w:w="1276" w:type="dxa"/>
            <w:tcBorders>
              <w:top w:val="single" w:sz="4" w:space="0" w:color="auto"/>
              <w:bottom w:val="single" w:sz="4" w:space="0" w:color="auto"/>
            </w:tcBorders>
          </w:tcPr>
          <w:p>
            <w:pPr>
              <w:pStyle w:val="yTableNAm"/>
              <w:jc w:val="center"/>
              <w:rPr>
                <w:b/>
              </w:rPr>
            </w:pPr>
            <w:r>
              <w:rPr>
                <w:b/>
              </w:rPr>
              <w:t>Dues</w:t>
            </w:r>
          </w:p>
        </w:tc>
      </w:tr>
      <w:tr>
        <w:trPr>
          <w:cantSplit/>
        </w:trPr>
        <w:tc>
          <w:tcPr>
            <w:tcW w:w="709" w:type="dxa"/>
          </w:tcPr>
          <w:p>
            <w:pPr>
              <w:pStyle w:val="yTableNAm"/>
              <w:jc w:val="center"/>
            </w:pPr>
            <w:r>
              <w:t>1.</w:t>
            </w:r>
          </w:p>
        </w:tc>
        <w:tc>
          <w:tcPr>
            <w:tcW w:w="4819" w:type="dxa"/>
          </w:tcPr>
          <w:p>
            <w:pPr>
              <w:pStyle w:val="yTableNAm"/>
            </w:pPr>
            <w:r>
              <w:t xml:space="preserve">For cargo — </w:t>
            </w:r>
          </w:p>
        </w:tc>
        <w:tc>
          <w:tcPr>
            <w:tcW w:w="1276" w:type="dxa"/>
          </w:tcPr>
          <w:p>
            <w:pPr>
              <w:pStyle w:val="yTableNAm"/>
            </w:pPr>
          </w:p>
        </w:tc>
      </w:tr>
      <w:tr>
        <w:trPr>
          <w:cantSplit/>
        </w:trPr>
        <w:tc>
          <w:tcPr>
            <w:tcW w:w="709" w:type="dxa"/>
          </w:tcPr>
          <w:p>
            <w:pPr>
              <w:pStyle w:val="yTableNAm"/>
              <w:jc w:val="center"/>
            </w:pPr>
          </w:p>
        </w:tc>
        <w:tc>
          <w:tcPr>
            <w:tcW w:w="4819" w:type="dxa"/>
          </w:tcPr>
          <w:p>
            <w:pPr>
              <w:pStyle w:val="yTableNAm"/>
              <w:ind w:left="567" w:hanging="567"/>
            </w:pPr>
            <w:r>
              <w:t>•</w:t>
            </w:r>
            <w:r>
              <w:tab/>
              <w:t>loaded over the side of a vessel to another vessel</w:t>
            </w:r>
          </w:p>
        </w:tc>
        <w:tc>
          <w:tcPr>
            <w:tcW w:w="1276" w:type="dxa"/>
          </w:tcPr>
          <w:p>
            <w:pPr>
              <w:pStyle w:val="yTableNAm"/>
            </w:pPr>
            <w:r>
              <w:t>50% of wharfage for the cargo</w:t>
            </w:r>
          </w:p>
        </w:tc>
      </w:tr>
      <w:tr>
        <w:trPr>
          <w:cantSplit/>
        </w:trPr>
        <w:tc>
          <w:tcPr>
            <w:tcW w:w="709" w:type="dxa"/>
            <w:tcBorders>
              <w:bottom w:val="single" w:sz="4" w:space="0" w:color="auto"/>
            </w:tcBorders>
          </w:tcPr>
          <w:p>
            <w:pPr>
              <w:pStyle w:val="yTableNAm"/>
              <w:jc w:val="center"/>
            </w:pPr>
          </w:p>
        </w:tc>
        <w:tc>
          <w:tcPr>
            <w:tcW w:w="4819" w:type="dxa"/>
            <w:tcBorders>
              <w:bottom w:val="single" w:sz="4" w:space="0" w:color="auto"/>
            </w:tcBorders>
          </w:tcPr>
          <w:p>
            <w:pPr>
              <w:pStyle w:val="yTableNAm"/>
              <w:ind w:left="567" w:hanging="567"/>
            </w:pPr>
            <w:r>
              <w:t>•</w:t>
            </w:r>
            <w:r>
              <w:tab/>
              <w:t>landed on jetty</w:t>
            </w:r>
          </w:p>
        </w:tc>
        <w:tc>
          <w:tcPr>
            <w:tcW w:w="1276" w:type="dxa"/>
            <w:tcBorders>
              <w:bottom w:val="single" w:sz="4" w:space="0" w:color="auto"/>
            </w:tcBorders>
          </w:tcPr>
          <w:p>
            <w:pPr>
              <w:pStyle w:val="yTableNAm"/>
            </w:pPr>
            <w:r>
              <w:t>100% of wharfage for the cargo</w:t>
            </w:r>
          </w:p>
        </w:tc>
      </w:tr>
    </w:tbl>
    <w:p>
      <w:pPr>
        <w:pStyle w:val="ySubsection"/>
        <w:keepNext/>
      </w:pPr>
      <w:r>
        <w:tab/>
        <w:t>(5)</w:t>
      </w:r>
      <w:r>
        <w:tab/>
        <w:t xml:space="preserve">The charges payable under regulation 25 are set out in the Table. </w:t>
      </w:r>
    </w:p>
    <w:p>
      <w:pPr>
        <w:pStyle w:val="yTHeadingNAm"/>
      </w:pPr>
      <w:r>
        <w:t>Storage</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Goods</w:t>
            </w:r>
          </w:p>
        </w:tc>
        <w:tc>
          <w:tcPr>
            <w:tcW w:w="1276" w:type="dxa"/>
            <w:tcBorders>
              <w:top w:val="single" w:sz="4" w:space="0" w:color="auto"/>
              <w:bottom w:val="single" w:sz="4" w:space="0" w:color="auto"/>
            </w:tcBorders>
          </w:tcPr>
          <w:p>
            <w:pPr>
              <w:pStyle w:val="yTableNAm"/>
              <w:tabs>
                <w:tab w:val="clear" w:pos="567"/>
              </w:tabs>
              <w:jc w:val="center"/>
              <w:rPr>
                <w:b/>
              </w:rPr>
            </w:pPr>
            <w:r>
              <w:rPr>
                <w:b/>
              </w:rPr>
              <w:t>$</w:t>
            </w:r>
          </w:p>
        </w:tc>
      </w:tr>
      <w:tr>
        <w:trPr>
          <w:cantSplit/>
        </w:trPr>
        <w:tc>
          <w:tcPr>
            <w:tcW w:w="709" w:type="dxa"/>
          </w:tcPr>
          <w:p>
            <w:pPr>
              <w:pStyle w:val="yTableNAm"/>
              <w:jc w:val="center"/>
            </w:pPr>
            <w:r>
              <w:t>1.</w:t>
            </w:r>
          </w:p>
        </w:tc>
        <w:tc>
          <w:tcPr>
            <w:tcW w:w="4819" w:type="dxa"/>
          </w:tcPr>
          <w:p>
            <w:pPr>
              <w:pStyle w:val="yTableNAm"/>
            </w:pPr>
            <w:r>
              <w:t>Goods in transit not removed from a goods shed within 3 days after being received, per tonne, per day</w:t>
            </w:r>
          </w:p>
        </w:tc>
        <w:tc>
          <w:tcPr>
            <w:tcW w:w="1276" w:type="dxa"/>
            <w:vAlign w:val="bottom"/>
          </w:tcPr>
          <w:p>
            <w:pPr>
              <w:pStyle w:val="yTableNAm"/>
              <w:tabs>
                <w:tab w:val="clear" w:pos="567"/>
              </w:tabs>
              <w:jc w:val="center"/>
            </w:pPr>
            <w:r>
              <w:t>0.76</w:t>
            </w:r>
          </w:p>
        </w:tc>
      </w:tr>
      <w:tr>
        <w:trPr>
          <w:cantSplit/>
        </w:trPr>
        <w:tc>
          <w:tcPr>
            <w:tcW w:w="709" w:type="dxa"/>
          </w:tcPr>
          <w:p>
            <w:pPr>
              <w:pStyle w:val="yTableNAm"/>
              <w:jc w:val="center"/>
            </w:pPr>
            <w:r>
              <w:t>2.</w:t>
            </w:r>
          </w:p>
        </w:tc>
        <w:tc>
          <w:tcPr>
            <w:tcW w:w="4819" w:type="dxa"/>
          </w:tcPr>
          <w:p>
            <w:pPr>
              <w:pStyle w:val="yTableNAm"/>
            </w:pPr>
            <w:r>
              <w:t xml:space="preserve">Goods being transhipped — </w:t>
            </w:r>
          </w:p>
        </w:tc>
        <w:tc>
          <w:tcPr>
            <w:tcW w:w="1276" w:type="dxa"/>
            <w:vAlign w:val="bottom"/>
          </w:tcPr>
          <w:p>
            <w:pPr>
              <w:pStyle w:val="yTableNAm"/>
              <w:tabs>
                <w:tab w:val="clear" w:pos="567"/>
              </w:tabs>
              <w:jc w:val="center"/>
            </w:pPr>
          </w:p>
        </w:tc>
      </w:tr>
      <w:tr>
        <w:trPr>
          <w:cantSplit/>
        </w:trPr>
        <w:tc>
          <w:tcPr>
            <w:tcW w:w="709" w:type="dxa"/>
          </w:tcPr>
          <w:p>
            <w:pPr>
              <w:pStyle w:val="yTableNAm"/>
              <w:jc w:val="center"/>
            </w:pPr>
          </w:p>
        </w:tc>
        <w:tc>
          <w:tcPr>
            <w:tcW w:w="4819" w:type="dxa"/>
          </w:tcPr>
          <w:p>
            <w:pPr>
              <w:pStyle w:val="yTableNAm"/>
              <w:ind w:left="567" w:hanging="567"/>
            </w:pPr>
            <w:r>
              <w:t>•</w:t>
            </w:r>
            <w:r>
              <w:tab/>
              <w:t>for first 2 weeks, per tonne, per cubic metre, per week</w:t>
            </w:r>
          </w:p>
        </w:tc>
        <w:tc>
          <w:tcPr>
            <w:tcW w:w="1276" w:type="dxa"/>
            <w:vAlign w:val="bottom"/>
          </w:tcPr>
          <w:p>
            <w:pPr>
              <w:pStyle w:val="yTableNAm"/>
              <w:tabs>
                <w:tab w:val="clear" w:pos="567"/>
              </w:tabs>
              <w:jc w:val="center"/>
            </w:pPr>
            <w:r>
              <w:t>0.76</w:t>
            </w:r>
          </w:p>
        </w:tc>
      </w:tr>
      <w:tr>
        <w:trPr>
          <w:cantSplit/>
        </w:trPr>
        <w:tc>
          <w:tcPr>
            <w:tcW w:w="709" w:type="dxa"/>
          </w:tcPr>
          <w:p>
            <w:pPr>
              <w:pStyle w:val="yTableNAm"/>
              <w:jc w:val="center"/>
            </w:pPr>
          </w:p>
        </w:tc>
        <w:tc>
          <w:tcPr>
            <w:tcW w:w="4819" w:type="dxa"/>
          </w:tcPr>
          <w:p>
            <w:pPr>
              <w:pStyle w:val="yTableNAm"/>
              <w:ind w:left="567" w:hanging="567"/>
            </w:pPr>
            <w:r>
              <w:t>•</w:t>
            </w:r>
            <w:r>
              <w:tab/>
              <w:t>after the first 2 weeks, per tonne, per cubic metre, per day</w:t>
            </w:r>
          </w:p>
        </w:tc>
        <w:tc>
          <w:tcPr>
            <w:tcW w:w="1276" w:type="dxa"/>
            <w:vAlign w:val="bottom"/>
          </w:tcPr>
          <w:p>
            <w:pPr>
              <w:pStyle w:val="yTableNAm"/>
              <w:tabs>
                <w:tab w:val="clear" w:pos="567"/>
              </w:tabs>
              <w:jc w:val="center"/>
            </w:pPr>
            <w:r>
              <w:t>0.76</w:t>
            </w:r>
          </w:p>
        </w:tc>
      </w:tr>
      <w:tr>
        <w:trPr>
          <w:cantSplit/>
        </w:trPr>
        <w:tc>
          <w:tcPr>
            <w:tcW w:w="709" w:type="dxa"/>
            <w:tcBorders>
              <w:bottom w:val="single" w:sz="4" w:space="0" w:color="auto"/>
            </w:tcBorders>
          </w:tcPr>
          <w:p>
            <w:pPr>
              <w:pStyle w:val="yTableNAm"/>
              <w:jc w:val="center"/>
            </w:pPr>
            <w:r>
              <w:t>3.</w:t>
            </w:r>
          </w:p>
        </w:tc>
        <w:tc>
          <w:tcPr>
            <w:tcW w:w="4819" w:type="dxa"/>
            <w:tcBorders>
              <w:bottom w:val="single" w:sz="4" w:space="0" w:color="auto"/>
            </w:tcBorders>
          </w:tcPr>
          <w:p>
            <w:pPr>
              <w:pStyle w:val="yTableNAm"/>
            </w:pPr>
            <w:r>
              <w:t>Goods at container park, Wyndham, per loaded container</w:t>
            </w:r>
          </w:p>
        </w:tc>
        <w:tc>
          <w:tcPr>
            <w:tcW w:w="1276" w:type="dxa"/>
            <w:tcBorders>
              <w:bottom w:val="single" w:sz="4" w:space="0" w:color="auto"/>
            </w:tcBorders>
            <w:vAlign w:val="bottom"/>
          </w:tcPr>
          <w:p>
            <w:pPr>
              <w:pStyle w:val="yTableNAm"/>
              <w:tabs>
                <w:tab w:val="clear" w:pos="567"/>
              </w:tabs>
              <w:jc w:val="center"/>
            </w:pPr>
            <w:r>
              <w:t>41.12</w:t>
            </w:r>
          </w:p>
        </w:tc>
      </w:tr>
    </w:tbl>
    <w:p>
      <w:pPr>
        <w:pStyle w:val="ySubsection"/>
      </w:pPr>
      <w:r>
        <w:tab/>
        <w:t>(6)</w:t>
      </w:r>
      <w:r>
        <w:tab/>
        <w:t xml:space="preserve">The charges payable under regulation 105I are set out in the Table. </w:t>
      </w:r>
    </w:p>
    <w:p>
      <w:pPr>
        <w:pStyle w:val="yTHeadingNAm"/>
      </w:pPr>
      <w:r>
        <w:t>Weighbridge use</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961" w:type="dxa"/>
            <w:tcBorders>
              <w:top w:val="single" w:sz="4" w:space="0" w:color="auto"/>
              <w:bottom w:val="single" w:sz="4" w:space="0" w:color="auto"/>
            </w:tcBorders>
          </w:tcPr>
          <w:p>
            <w:pPr>
              <w:pStyle w:val="yTableNAm"/>
              <w:jc w:val="center"/>
              <w:rPr>
                <w:b/>
              </w:rPr>
            </w:pPr>
            <w:r>
              <w:rPr>
                <w:b/>
              </w:rPr>
              <w:t>Service</w:t>
            </w:r>
          </w:p>
        </w:tc>
        <w:tc>
          <w:tcPr>
            <w:tcW w:w="1134" w:type="dxa"/>
            <w:tcBorders>
              <w:top w:val="single" w:sz="4" w:space="0" w:color="auto"/>
              <w:bottom w:val="single" w:sz="4" w:space="0" w:color="auto"/>
            </w:tcBorders>
          </w:tcPr>
          <w:p>
            <w:pPr>
              <w:pStyle w:val="yTableNAm"/>
              <w:tabs>
                <w:tab w:val="clear" w:pos="567"/>
              </w:tabs>
              <w:jc w:val="center"/>
              <w:rPr>
                <w:b/>
              </w:rPr>
            </w:pPr>
            <w:r>
              <w:rPr>
                <w:b/>
              </w:rPr>
              <w:t>$</w:t>
            </w:r>
          </w:p>
        </w:tc>
      </w:tr>
      <w:tr>
        <w:trPr>
          <w:cantSplit/>
        </w:trPr>
        <w:tc>
          <w:tcPr>
            <w:tcW w:w="709" w:type="dxa"/>
          </w:tcPr>
          <w:p>
            <w:pPr>
              <w:pStyle w:val="yTableNAm"/>
              <w:jc w:val="center"/>
            </w:pPr>
            <w:r>
              <w:t>1.</w:t>
            </w:r>
          </w:p>
        </w:tc>
        <w:tc>
          <w:tcPr>
            <w:tcW w:w="4961" w:type="dxa"/>
          </w:tcPr>
          <w:p>
            <w:pPr>
              <w:pStyle w:val="yTableNAm"/>
            </w:pPr>
            <w:r>
              <w:t xml:space="preserve">Use of weighbridge — </w:t>
            </w:r>
          </w:p>
        </w:tc>
        <w:tc>
          <w:tcPr>
            <w:tcW w:w="1134" w:type="dxa"/>
            <w:vAlign w:val="bottom"/>
          </w:tcPr>
          <w:p>
            <w:pPr>
              <w:pStyle w:val="yTableNAm"/>
              <w:tabs>
                <w:tab w:val="clear" w:pos="567"/>
              </w:tabs>
              <w:jc w:val="right"/>
            </w:pPr>
          </w:p>
        </w:tc>
      </w:tr>
      <w:tr>
        <w:trPr>
          <w:cantSplit/>
        </w:trPr>
        <w:tc>
          <w:tcPr>
            <w:tcW w:w="709" w:type="dxa"/>
          </w:tcPr>
          <w:p>
            <w:pPr>
              <w:pStyle w:val="yTableNAm"/>
              <w:jc w:val="center"/>
            </w:pPr>
          </w:p>
        </w:tc>
        <w:tc>
          <w:tcPr>
            <w:tcW w:w="4961" w:type="dxa"/>
          </w:tcPr>
          <w:p>
            <w:pPr>
              <w:pStyle w:val="yTableNAm"/>
            </w:pPr>
            <w:r>
              <w:t>•</w:t>
            </w:r>
            <w:r>
              <w:tab/>
              <w:t>for not over 10 t</w:t>
            </w:r>
          </w:p>
        </w:tc>
        <w:tc>
          <w:tcPr>
            <w:tcW w:w="1134" w:type="dxa"/>
            <w:vAlign w:val="bottom"/>
          </w:tcPr>
          <w:p>
            <w:pPr>
              <w:pStyle w:val="yTableNAm"/>
              <w:tabs>
                <w:tab w:val="clear" w:pos="567"/>
              </w:tabs>
              <w:jc w:val="center"/>
            </w:pPr>
            <w:r>
              <w:rPr>
                <w:szCs w:val="22"/>
              </w:rPr>
              <w:t>14.74</w:t>
            </w:r>
          </w:p>
        </w:tc>
      </w:tr>
      <w:tr>
        <w:trPr>
          <w:cantSplit/>
        </w:trPr>
        <w:tc>
          <w:tcPr>
            <w:tcW w:w="709" w:type="dxa"/>
          </w:tcPr>
          <w:p>
            <w:pPr>
              <w:pStyle w:val="yTableNAm"/>
              <w:jc w:val="center"/>
            </w:pPr>
          </w:p>
        </w:tc>
        <w:tc>
          <w:tcPr>
            <w:tcW w:w="4961" w:type="dxa"/>
          </w:tcPr>
          <w:p>
            <w:pPr>
              <w:pStyle w:val="yTableNAm"/>
            </w:pPr>
            <w:r>
              <w:t>•</w:t>
            </w:r>
            <w:r>
              <w:tab/>
              <w:t>for over 10 t but not over 30 t</w:t>
            </w:r>
          </w:p>
        </w:tc>
        <w:tc>
          <w:tcPr>
            <w:tcW w:w="1134" w:type="dxa"/>
            <w:vAlign w:val="bottom"/>
          </w:tcPr>
          <w:p>
            <w:pPr>
              <w:pStyle w:val="yTableNAm"/>
              <w:tabs>
                <w:tab w:val="clear" w:pos="567"/>
              </w:tabs>
              <w:jc w:val="center"/>
            </w:pPr>
            <w:r>
              <w:rPr>
                <w:szCs w:val="22"/>
              </w:rPr>
              <w:t>16.79</w:t>
            </w:r>
          </w:p>
        </w:tc>
      </w:tr>
      <w:tr>
        <w:trPr>
          <w:cantSplit/>
        </w:trPr>
        <w:tc>
          <w:tcPr>
            <w:tcW w:w="709" w:type="dxa"/>
            <w:tcBorders>
              <w:bottom w:val="single" w:sz="4" w:space="0" w:color="auto"/>
            </w:tcBorders>
          </w:tcPr>
          <w:p>
            <w:pPr>
              <w:pStyle w:val="yTableNAm"/>
              <w:jc w:val="center"/>
            </w:pPr>
          </w:p>
        </w:tc>
        <w:tc>
          <w:tcPr>
            <w:tcW w:w="4961" w:type="dxa"/>
            <w:tcBorders>
              <w:bottom w:val="single" w:sz="4" w:space="0" w:color="auto"/>
            </w:tcBorders>
          </w:tcPr>
          <w:p>
            <w:pPr>
              <w:pStyle w:val="yTableNAm"/>
            </w:pPr>
            <w:r>
              <w:t>•</w:t>
            </w:r>
            <w:r>
              <w:tab/>
              <w:t>for over 30 t</w:t>
            </w:r>
          </w:p>
        </w:tc>
        <w:tc>
          <w:tcPr>
            <w:tcW w:w="1134" w:type="dxa"/>
            <w:tcBorders>
              <w:bottom w:val="single" w:sz="4" w:space="0" w:color="auto"/>
            </w:tcBorders>
            <w:vAlign w:val="bottom"/>
          </w:tcPr>
          <w:p>
            <w:pPr>
              <w:pStyle w:val="yTableNAm"/>
              <w:tabs>
                <w:tab w:val="clear" w:pos="567"/>
              </w:tabs>
              <w:jc w:val="center"/>
            </w:pPr>
            <w:r>
              <w:rPr>
                <w:szCs w:val="22"/>
              </w:rPr>
              <w:t>20.94</w:t>
            </w:r>
          </w:p>
        </w:tc>
      </w:tr>
    </w:tbl>
    <w:p>
      <w:pPr>
        <w:pStyle w:val="ySubsection"/>
        <w:keepNext/>
      </w:pPr>
      <w:r>
        <w:tab/>
        <w:t>(7)</w:t>
      </w:r>
      <w:r>
        <w:tab/>
        <w:t xml:space="preserve">The charges payable for lighting, per hour or part of an hour, are set out in the Table. </w:t>
      </w:r>
    </w:p>
    <w:p>
      <w:pPr>
        <w:pStyle w:val="yTHeadingNAm"/>
      </w:pPr>
      <w:r>
        <w:t>Lighting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961" w:type="dxa"/>
            <w:tcBorders>
              <w:top w:val="single" w:sz="4" w:space="0" w:color="auto"/>
              <w:bottom w:val="single" w:sz="4" w:space="0" w:color="auto"/>
            </w:tcBorders>
          </w:tcPr>
          <w:p>
            <w:pPr>
              <w:pStyle w:val="yTableNAm"/>
              <w:jc w:val="center"/>
              <w:rPr>
                <w:b/>
              </w:rPr>
            </w:pPr>
            <w:r>
              <w:rPr>
                <w:b/>
              </w:rPr>
              <w:t>Service</w:t>
            </w:r>
          </w:p>
        </w:tc>
        <w:tc>
          <w:tcPr>
            <w:tcW w:w="1134"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961" w:type="dxa"/>
          </w:tcPr>
          <w:p>
            <w:pPr>
              <w:pStyle w:val="yTableNAm"/>
            </w:pPr>
            <w:r>
              <w:t>For jetty, shed and yard</w:t>
            </w:r>
          </w:p>
        </w:tc>
        <w:tc>
          <w:tcPr>
            <w:tcW w:w="1134" w:type="dxa"/>
            <w:vAlign w:val="bottom"/>
          </w:tcPr>
          <w:p>
            <w:pPr>
              <w:pStyle w:val="yTableNAm"/>
              <w:jc w:val="center"/>
            </w:pPr>
            <w:r>
              <w:t>35.56</w:t>
            </w:r>
          </w:p>
        </w:tc>
      </w:tr>
      <w:tr>
        <w:trPr>
          <w:cantSplit/>
        </w:trPr>
        <w:tc>
          <w:tcPr>
            <w:tcW w:w="709" w:type="dxa"/>
          </w:tcPr>
          <w:p>
            <w:pPr>
              <w:pStyle w:val="yTableNAm"/>
              <w:jc w:val="center"/>
            </w:pPr>
            <w:r>
              <w:t>2.</w:t>
            </w:r>
          </w:p>
        </w:tc>
        <w:tc>
          <w:tcPr>
            <w:tcW w:w="4961" w:type="dxa"/>
          </w:tcPr>
          <w:p>
            <w:pPr>
              <w:pStyle w:val="yTableNAm"/>
            </w:pPr>
            <w:r>
              <w:t>For jetty only</w:t>
            </w:r>
          </w:p>
        </w:tc>
        <w:tc>
          <w:tcPr>
            <w:tcW w:w="1134" w:type="dxa"/>
            <w:vAlign w:val="bottom"/>
          </w:tcPr>
          <w:p>
            <w:pPr>
              <w:pStyle w:val="yTableNAm"/>
              <w:jc w:val="center"/>
            </w:pPr>
            <w:r>
              <w:t>11.42</w:t>
            </w:r>
          </w:p>
        </w:tc>
      </w:tr>
      <w:tr>
        <w:trPr>
          <w:cantSplit/>
        </w:trPr>
        <w:tc>
          <w:tcPr>
            <w:tcW w:w="709" w:type="dxa"/>
            <w:tcBorders>
              <w:bottom w:val="single" w:sz="4" w:space="0" w:color="auto"/>
            </w:tcBorders>
          </w:tcPr>
          <w:p>
            <w:pPr>
              <w:pStyle w:val="yTableNAm"/>
              <w:jc w:val="center"/>
            </w:pPr>
            <w:r>
              <w:t>3.</w:t>
            </w:r>
          </w:p>
        </w:tc>
        <w:tc>
          <w:tcPr>
            <w:tcW w:w="4961" w:type="dxa"/>
            <w:tcBorders>
              <w:bottom w:val="single" w:sz="4" w:space="0" w:color="auto"/>
            </w:tcBorders>
          </w:tcPr>
          <w:p>
            <w:pPr>
              <w:pStyle w:val="yTableNAm"/>
            </w:pPr>
            <w:r>
              <w:t>For reduced lighting</w:t>
            </w:r>
          </w:p>
        </w:tc>
        <w:tc>
          <w:tcPr>
            <w:tcW w:w="1134" w:type="dxa"/>
            <w:tcBorders>
              <w:bottom w:val="single" w:sz="4" w:space="0" w:color="auto"/>
            </w:tcBorders>
            <w:vAlign w:val="bottom"/>
          </w:tcPr>
          <w:p>
            <w:pPr>
              <w:pStyle w:val="yTableNAm"/>
              <w:jc w:val="center"/>
            </w:pPr>
            <w:r>
              <w:t>3.76</w:t>
            </w:r>
          </w:p>
        </w:tc>
      </w:tr>
    </w:tbl>
    <w:p>
      <w:pPr>
        <w:pStyle w:val="yFootnotesection"/>
      </w:pPr>
      <w:r>
        <w:tab/>
        <w:t>[Clause 30 inserted: Gazette 31 May 2019 p. 1781</w:t>
      </w:r>
      <w:r>
        <w:noBreakHyphen/>
        <w:t>5.]</w:t>
      </w:r>
    </w:p>
    <w:p>
      <w:pPr>
        <w:pStyle w:val="yHeading3"/>
      </w:pPr>
      <w:bookmarkStart w:id="313" w:name="_Toc11766689"/>
      <w:bookmarkStart w:id="314" w:name="_Toc11768630"/>
      <w:bookmarkStart w:id="315" w:name="_Toc11828421"/>
      <w:bookmarkStart w:id="316" w:name="_Toc12028187"/>
      <w:bookmarkStart w:id="317" w:name="_Toc12881385"/>
      <w:r>
        <w:rPr>
          <w:rStyle w:val="CharSDivNo"/>
        </w:rPr>
        <w:t>Division 3</w:t>
      </w:r>
      <w:r>
        <w:t> — </w:t>
      </w:r>
      <w:r>
        <w:rPr>
          <w:rStyle w:val="CharSDivText"/>
        </w:rPr>
        <w:t>State-wide charges</w:t>
      </w:r>
      <w:bookmarkEnd w:id="313"/>
      <w:bookmarkEnd w:id="314"/>
      <w:bookmarkEnd w:id="315"/>
      <w:bookmarkEnd w:id="316"/>
      <w:bookmarkEnd w:id="317"/>
    </w:p>
    <w:p>
      <w:pPr>
        <w:pStyle w:val="yFootnoteheading"/>
        <w:rPr>
          <w:snapToGrid w:val="0"/>
        </w:rPr>
      </w:pPr>
      <w:r>
        <w:rPr>
          <w:snapToGrid w:val="0"/>
        </w:rPr>
        <w:tab/>
        <w:t xml:space="preserve">[Heading inserted: Gazette </w:t>
      </w:r>
      <w:r>
        <w:t>31 May 2019 p. 1785</w:t>
      </w:r>
      <w:r>
        <w:rPr>
          <w:snapToGrid w:val="0"/>
        </w:rPr>
        <w:t>.]</w:t>
      </w:r>
    </w:p>
    <w:p>
      <w:pPr>
        <w:pStyle w:val="yHeading5"/>
      </w:pPr>
      <w:bookmarkStart w:id="318" w:name="_Toc12881386"/>
      <w:r>
        <w:rPr>
          <w:rStyle w:val="CharSClsNo"/>
        </w:rPr>
        <w:t>31</w:t>
      </w:r>
      <w:r>
        <w:t>.</w:t>
      </w:r>
      <w:r>
        <w:tab/>
        <w:t>Wyndham excluded</w:t>
      </w:r>
      <w:bookmarkEnd w:id="318"/>
    </w:p>
    <w:p>
      <w:pPr>
        <w:pStyle w:val="ySubsection"/>
      </w:pPr>
      <w:r>
        <w:tab/>
      </w:r>
      <w:r>
        <w:tab/>
        <w:t>This Division does not apply to a vessel in the Port of Wyndham.</w:t>
      </w:r>
    </w:p>
    <w:p>
      <w:pPr>
        <w:pStyle w:val="yFootnotesection"/>
      </w:pPr>
      <w:r>
        <w:tab/>
        <w:t>[Clause 31 inserted: Gazette 31 May 2019 p. 1785.]</w:t>
      </w:r>
    </w:p>
    <w:p>
      <w:pPr>
        <w:pStyle w:val="yHeading5"/>
      </w:pPr>
      <w:bookmarkStart w:id="319" w:name="_Toc12881387"/>
      <w:r>
        <w:rPr>
          <w:rStyle w:val="CharSClsNo"/>
        </w:rPr>
        <w:t>32</w:t>
      </w:r>
      <w:r>
        <w:t>.</w:t>
      </w:r>
      <w:r>
        <w:tab/>
        <w:t>Living on vessel</w:t>
      </w:r>
      <w:bookmarkEnd w:id="319"/>
    </w:p>
    <w:p>
      <w:pPr>
        <w:pStyle w:val="ySubsection"/>
      </w:pPr>
      <w:r>
        <w:tab/>
        <w:t>(1)</w:t>
      </w:r>
      <w:r>
        <w:tab/>
        <w:t xml:space="preserve">In this clause — </w:t>
      </w:r>
    </w:p>
    <w:p>
      <w:pPr>
        <w:pStyle w:val="yDefstart"/>
      </w:pPr>
      <w:r>
        <w:tab/>
      </w:r>
      <w:r>
        <w:rPr>
          <w:rStyle w:val="CharDefText"/>
        </w:rPr>
        <w:t>enhanced facilities</w:t>
      </w:r>
      <w:r>
        <w:t xml:space="preserve"> means toilet, shower and laundry facilities.</w:t>
      </w:r>
    </w:p>
    <w:p>
      <w:pPr>
        <w:pStyle w:val="ySubsection"/>
      </w:pPr>
      <w:r>
        <w:tab/>
        <w:t>(2)</w:t>
      </w:r>
      <w:r>
        <w:tab/>
        <w:t xml:space="preserve">The charges relating to living on a vessel in a place are set out in the Table. </w:t>
      </w:r>
    </w:p>
    <w:p>
      <w:pPr>
        <w:pStyle w:val="yTHeadingNAm"/>
      </w:pPr>
      <w:r>
        <w:t>Living on vessel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961" w:type="dxa"/>
            <w:tcBorders>
              <w:top w:val="single" w:sz="4" w:space="0" w:color="auto"/>
              <w:bottom w:val="single" w:sz="4" w:space="0" w:color="auto"/>
            </w:tcBorders>
          </w:tcPr>
          <w:p>
            <w:pPr>
              <w:pStyle w:val="yTableNAm"/>
              <w:keepNext/>
              <w:jc w:val="center"/>
              <w:rPr>
                <w:b/>
              </w:rPr>
            </w:pPr>
            <w:r>
              <w:rPr>
                <w:b/>
              </w:rPr>
              <w:t>Service</w:t>
            </w:r>
          </w:p>
        </w:tc>
        <w:tc>
          <w:tcPr>
            <w:tcW w:w="1134"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keepNext/>
              <w:jc w:val="center"/>
            </w:pPr>
            <w:r>
              <w:t>1.</w:t>
            </w:r>
          </w:p>
        </w:tc>
        <w:tc>
          <w:tcPr>
            <w:tcW w:w="4961" w:type="dxa"/>
          </w:tcPr>
          <w:p>
            <w:pPr>
              <w:pStyle w:val="yTableNAm"/>
              <w:keepNext/>
            </w:pPr>
            <w:r>
              <w:t xml:space="preserve">For living on a vessel — </w:t>
            </w:r>
          </w:p>
        </w:tc>
        <w:tc>
          <w:tcPr>
            <w:tcW w:w="1134" w:type="dxa"/>
            <w:vAlign w:val="bottom"/>
          </w:tcPr>
          <w:p>
            <w:pPr>
              <w:pStyle w:val="yTableNAm"/>
              <w:keepNext/>
              <w:jc w:val="center"/>
            </w:pPr>
          </w:p>
        </w:tc>
      </w:tr>
      <w:tr>
        <w:trPr>
          <w:cantSplit/>
        </w:trPr>
        <w:tc>
          <w:tcPr>
            <w:tcW w:w="709" w:type="dxa"/>
          </w:tcPr>
          <w:p>
            <w:pPr>
              <w:pStyle w:val="yTableNAm"/>
              <w:jc w:val="center"/>
            </w:pPr>
          </w:p>
        </w:tc>
        <w:tc>
          <w:tcPr>
            <w:tcW w:w="4961" w:type="dxa"/>
          </w:tcPr>
          <w:p>
            <w:pPr>
              <w:pStyle w:val="yTableNAm"/>
              <w:ind w:left="227" w:hanging="227"/>
            </w:pPr>
            <w:r>
              <w:t>•</w:t>
            </w:r>
            <w:r>
              <w:tab/>
              <w:t>without enhanced facilities, an amount calculated using the monthly rate per vessel of</w:t>
            </w:r>
          </w:p>
        </w:tc>
        <w:tc>
          <w:tcPr>
            <w:tcW w:w="1134" w:type="dxa"/>
            <w:vAlign w:val="bottom"/>
          </w:tcPr>
          <w:p>
            <w:pPr>
              <w:pStyle w:val="yTableNAm"/>
              <w:tabs>
                <w:tab w:val="clear" w:pos="567"/>
              </w:tabs>
              <w:jc w:val="center"/>
            </w:pPr>
            <w:r>
              <w:rPr>
                <w:szCs w:val="22"/>
              </w:rPr>
              <w:t>48.90</w:t>
            </w:r>
          </w:p>
        </w:tc>
      </w:tr>
      <w:tr>
        <w:trPr>
          <w:cantSplit/>
        </w:trPr>
        <w:tc>
          <w:tcPr>
            <w:tcW w:w="709" w:type="dxa"/>
            <w:tcBorders>
              <w:bottom w:val="single" w:sz="4" w:space="0" w:color="auto"/>
            </w:tcBorders>
          </w:tcPr>
          <w:p>
            <w:pPr>
              <w:pStyle w:val="yTableNAm"/>
              <w:jc w:val="center"/>
            </w:pPr>
          </w:p>
        </w:tc>
        <w:tc>
          <w:tcPr>
            <w:tcW w:w="4961" w:type="dxa"/>
            <w:tcBorders>
              <w:bottom w:val="single" w:sz="4" w:space="0" w:color="auto"/>
            </w:tcBorders>
          </w:tcPr>
          <w:p>
            <w:pPr>
              <w:pStyle w:val="yTableNAm"/>
              <w:ind w:left="227" w:hanging="227"/>
            </w:pPr>
            <w:r>
              <w:t>•</w:t>
            </w:r>
            <w:r>
              <w:tab/>
              <w:t>with enhanced facilities, an amount calculated using the monthly rate per vessel of</w:t>
            </w:r>
          </w:p>
        </w:tc>
        <w:tc>
          <w:tcPr>
            <w:tcW w:w="1134" w:type="dxa"/>
            <w:tcBorders>
              <w:bottom w:val="single" w:sz="4" w:space="0" w:color="auto"/>
            </w:tcBorders>
            <w:vAlign w:val="bottom"/>
          </w:tcPr>
          <w:p>
            <w:pPr>
              <w:pStyle w:val="yTableNAm"/>
              <w:jc w:val="center"/>
            </w:pPr>
            <w:r>
              <w:rPr>
                <w:szCs w:val="22"/>
              </w:rPr>
              <w:t>148.90</w:t>
            </w:r>
          </w:p>
        </w:tc>
      </w:tr>
    </w:tbl>
    <w:p>
      <w:pPr>
        <w:pStyle w:val="yFootnotesection"/>
      </w:pPr>
      <w:r>
        <w:tab/>
        <w:t>[Clause 32 inserted: Gazette 31 May 2019 p. 1785.]</w:t>
      </w:r>
    </w:p>
    <w:p>
      <w:pPr>
        <w:pStyle w:val="yHeading5"/>
      </w:pPr>
      <w:bookmarkStart w:id="320" w:name="_Toc12881388"/>
      <w:r>
        <w:rPr>
          <w:rStyle w:val="CharSClsNo"/>
        </w:rPr>
        <w:t>33</w:t>
      </w:r>
      <w:r>
        <w:t>.</w:t>
      </w:r>
      <w:r>
        <w:tab/>
        <w:t>Electricity supply</w:t>
      </w:r>
      <w:bookmarkEnd w:id="320"/>
    </w:p>
    <w:p>
      <w:pPr>
        <w:pStyle w:val="ySubsection"/>
      </w:pPr>
      <w:r>
        <w:tab/>
      </w:r>
      <w:r>
        <w:tab/>
        <w:t xml:space="preserve">The charges for electricity supply to a vessel in a place are set out in the Table. </w:t>
      </w:r>
    </w:p>
    <w:p>
      <w:pPr>
        <w:pStyle w:val="yTHeadingNAm"/>
      </w:pPr>
      <w:r>
        <w:t>Electricity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961" w:type="dxa"/>
            <w:tcBorders>
              <w:top w:val="single" w:sz="4" w:space="0" w:color="auto"/>
              <w:bottom w:val="single" w:sz="4" w:space="0" w:color="auto"/>
            </w:tcBorders>
          </w:tcPr>
          <w:p>
            <w:pPr>
              <w:pStyle w:val="yTableNAm"/>
              <w:keepNext/>
              <w:jc w:val="center"/>
              <w:rPr>
                <w:b/>
              </w:rPr>
            </w:pPr>
            <w:r>
              <w:rPr>
                <w:b/>
              </w:rPr>
              <w:t>Service</w:t>
            </w:r>
          </w:p>
        </w:tc>
        <w:tc>
          <w:tcPr>
            <w:tcW w:w="1134" w:type="dxa"/>
            <w:tcBorders>
              <w:top w:val="single" w:sz="4" w:space="0" w:color="auto"/>
              <w:bottom w:val="single" w:sz="4" w:space="0" w:color="auto"/>
            </w:tcBorders>
          </w:tcPr>
          <w:p>
            <w:pPr>
              <w:pStyle w:val="yTableNAm"/>
              <w:keepNext/>
              <w:tabs>
                <w:tab w:val="clear" w:pos="567"/>
              </w:tabs>
              <w:jc w:val="center"/>
              <w:rPr>
                <w:b/>
              </w:rPr>
            </w:pPr>
            <w:r>
              <w:rPr>
                <w:b/>
              </w:rPr>
              <w:t>$</w:t>
            </w:r>
          </w:p>
        </w:tc>
      </w:tr>
      <w:tr>
        <w:trPr>
          <w:cantSplit/>
        </w:trPr>
        <w:tc>
          <w:tcPr>
            <w:tcW w:w="709" w:type="dxa"/>
          </w:tcPr>
          <w:p>
            <w:pPr>
              <w:pStyle w:val="yTableNAm"/>
              <w:keepNext/>
              <w:jc w:val="center"/>
            </w:pPr>
            <w:r>
              <w:t>1.</w:t>
            </w:r>
          </w:p>
        </w:tc>
        <w:tc>
          <w:tcPr>
            <w:tcW w:w="4961" w:type="dxa"/>
          </w:tcPr>
          <w:p>
            <w:pPr>
              <w:pStyle w:val="yTableNAm"/>
              <w:keepNext/>
            </w:pPr>
            <w:r>
              <w:t xml:space="preserve">For electricity supply that is — </w:t>
            </w:r>
          </w:p>
        </w:tc>
        <w:tc>
          <w:tcPr>
            <w:tcW w:w="1134" w:type="dxa"/>
            <w:vAlign w:val="bottom"/>
          </w:tcPr>
          <w:p>
            <w:pPr>
              <w:pStyle w:val="yTableNAm"/>
              <w:keepNext/>
              <w:tabs>
                <w:tab w:val="clear" w:pos="567"/>
              </w:tabs>
              <w:jc w:val="center"/>
            </w:pPr>
          </w:p>
        </w:tc>
      </w:tr>
      <w:tr>
        <w:trPr>
          <w:cantSplit/>
        </w:trPr>
        <w:tc>
          <w:tcPr>
            <w:tcW w:w="709" w:type="dxa"/>
          </w:tcPr>
          <w:p>
            <w:pPr>
              <w:pStyle w:val="yTableNAm"/>
              <w:keepNext/>
              <w:jc w:val="center"/>
            </w:pPr>
          </w:p>
        </w:tc>
        <w:tc>
          <w:tcPr>
            <w:tcW w:w="4961" w:type="dxa"/>
          </w:tcPr>
          <w:p>
            <w:pPr>
              <w:pStyle w:val="yTableNAm"/>
              <w:keepNext/>
              <w:ind w:left="227" w:hanging="227"/>
            </w:pPr>
            <w:r>
              <w:t>•</w:t>
            </w:r>
            <w:r>
              <w:tab/>
              <w:t>single phase (metered)</w:t>
            </w:r>
          </w:p>
        </w:tc>
        <w:tc>
          <w:tcPr>
            <w:tcW w:w="1134" w:type="dxa"/>
            <w:vAlign w:val="bottom"/>
          </w:tcPr>
          <w:p>
            <w:pPr>
              <w:pStyle w:val="yTableNAm"/>
              <w:keepNext/>
              <w:tabs>
                <w:tab w:val="clear" w:pos="567"/>
              </w:tabs>
              <w:jc w:val="center"/>
            </w:pPr>
            <w:r>
              <w:t>cost</w:t>
            </w:r>
          </w:p>
        </w:tc>
      </w:tr>
      <w:tr>
        <w:trPr>
          <w:cantSplit/>
        </w:trPr>
        <w:tc>
          <w:tcPr>
            <w:tcW w:w="709" w:type="dxa"/>
            <w:tcBorders>
              <w:bottom w:val="single" w:sz="4" w:space="0" w:color="auto"/>
            </w:tcBorders>
          </w:tcPr>
          <w:p>
            <w:pPr>
              <w:pStyle w:val="yTableNAm"/>
              <w:keepNext/>
              <w:ind w:left="227" w:hanging="227"/>
              <w:jc w:val="center"/>
            </w:pPr>
          </w:p>
        </w:tc>
        <w:tc>
          <w:tcPr>
            <w:tcW w:w="4961" w:type="dxa"/>
            <w:tcBorders>
              <w:bottom w:val="single" w:sz="4" w:space="0" w:color="auto"/>
            </w:tcBorders>
          </w:tcPr>
          <w:p>
            <w:pPr>
              <w:pStyle w:val="yTableNAm"/>
              <w:keepNext/>
              <w:ind w:left="227" w:hanging="227"/>
            </w:pPr>
            <w:r>
              <w:t>•</w:t>
            </w:r>
            <w:r>
              <w:tab/>
              <w:t>3</w:t>
            </w:r>
            <w:r>
              <w:noBreakHyphen/>
              <w:t>phase (whether metered or unmetered)</w:t>
            </w:r>
          </w:p>
        </w:tc>
        <w:tc>
          <w:tcPr>
            <w:tcW w:w="1134" w:type="dxa"/>
            <w:tcBorders>
              <w:bottom w:val="single" w:sz="4" w:space="0" w:color="auto"/>
            </w:tcBorders>
            <w:vAlign w:val="bottom"/>
          </w:tcPr>
          <w:p>
            <w:pPr>
              <w:pStyle w:val="yTableNAm"/>
              <w:keepNext/>
              <w:tabs>
                <w:tab w:val="clear" w:pos="567"/>
              </w:tabs>
              <w:jc w:val="center"/>
            </w:pPr>
            <w:r>
              <w:t>cost</w:t>
            </w:r>
          </w:p>
        </w:tc>
      </w:tr>
    </w:tbl>
    <w:p>
      <w:pPr>
        <w:pStyle w:val="yFootnotesection"/>
      </w:pPr>
      <w:r>
        <w:tab/>
        <w:t>[Clause 33 inserted: Gazette 31 May 2019 p. 1785</w:t>
      </w:r>
      <w:r>
        <w:noBreakHyphen/>
        <w:t>6.]</w:t>
      </w:r>
    </w:p>
    <w:p>
      <w:pPr>
        <w:pStyle w:val="yHeading5"/>
      </w:pPr>
      <w:bookmarkStart w:id="321" w:name="_Toc12881389"/>
      <w:r>
        <w:rPr>
          <w:rStyle w:val="CharSClsNo"/>
        </w:rPr>
        <w:t>34</w:t>
      </w:r>
      <w:r>
        <w:t>.</w:t>
      </w:r>
      <w:r>
        <w:tab/>
        <w:t>Water supply</w:t>
      </w:r>
      <w:bookmarkEnd w:id="321"/>
    </w:p>
    <w:p>
      <w:pPr>
        <w:pStyle w:val="ySubsection"/>
      </w:pPr>
      <w:r>
        <w:tab/>
      </w:r>
      <w:r>
        <w:tab/>
        <w:t xml:space="preserve">The charge for water supply to a vessel in a place is set out in the Table. </w:t>
      </w:r>
    </w:p>
    <w:p>
      <w:pPr>
        <w:pStyle w:val="yTHeadingNAm"/>
      </w:pPr>
      <w:r>
        <w:t>Water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961" w:type="dxa"/>
            <w:tcBorders>
              <w:top w:val="single" w:sz="4" w:space="0" w:color="auto"/>
              <w:bottom w:val="single" w:sz="4" w:space="0" w:color="auto"/>
            </w:tcBorders>
          </w:tcPr>
          <w:p>
            <w:pPr>
              <w:pStyle w:val="yTableNAm"/>
              <w:jc w:val="center"/>
              <w:rPr>
                <w:b/>
              </w:rPr>
            </w:pPr>
            <w:r>
              <w:rPr>
                <w:b/>
              </w:rPr>
              <w:t>Service</w:t>
            </w:r>
          </w:p>
        </w:tc>
        <w:tc>
          <w:tcPr>
            <w:tcW w:w="1134" w:type="dxa"/>
            <w:tcBorders>
              <w:top w:val="single" w:sz="4" w:space="0" w:color="auto"/>
              <w:bottom w:val="single" w:sz="4" w:space="0" w:color="auto"/>
            </w:tcBorders>
          </w:tcPr>
          <w:p>
            <w:pPr>
              <w:pStyle w:val="yTableNAm"/>
              <w:jc w:val="center"/>
              <w:rPr>
                <w:b/>
              </w:rPr>
            </w:pPr>
            <w:r>
              <w:rPr>
                <w:b/>
              </w:rPr>
              <w:t>$</w:t>
            </w:r>
          </w:p>
        </w:tc>
      </w:tr>
      <w:tr>
        <w:trPr>
          <w:cantSplit/>
        </w:trPr>
        <w:tc>
          <w:tcPr>
            <w:tcW w:w="709" w:type="dxa"/>
            <w:tcBorders>
              <w:top w:val="single" w:sz="4" w:space="0" w:color="auto"/>
              <w:bottom w:val="single" w:sz="4" w:space="0" w:color="auto"/>
            </w:tcBorders>
          </w:tcPr>
          <w:p>
            <w:pPr>
              <w:pStyle w:val="yTableNAm"/>
              <w:jc w:val="center"/>
            </w:pPr>
            <w:r>
              <w:t>1.</w:t>
            </w:r>
          </w:p>
        </w:tc>
        <w:tc>
          <w:tcPr>
            <w:tcW w:w="4961" w:type="dxa"/>
            <w:tcBorders>
              <w:top w:val="single" w:sz="4" w:space="0" w:color="auto"/>
              <w:bottom w:val="single" w:sz="4" w:space="0" w:color="auto"/>
            </w:tcBorders>
          </w:tcPr>
          <w:p>
            <w:pPr>
              <w:pStyle w:val="yTableNAm"/>
            </w:pPr>
            <w:r>
              <w:t>For water supply (metered)</w:t>
            </w:r>
          </w:p>
        </w:tc>
        <w:tc>
          <w:tcPr>
            <w:tcW w:w="1134" w:type="dxa"/>
            <w:tcBorders>
              <w:top w:val="single" w:sz="4" w:space="0" w:color="auto"/>
              <w:bottom w:val="single" w:sz="4" w:space="0" w:color="auto"/>
            </w:tcBorders>
            <w:vAlign w:val="bottom"/>
          </w:tcPr>
          <w:p>
            <w:pPr>
              <w:pStyle w:val="yTableNAm"/>
              <w:keepNext/>
              <w:jc w:val="center"/>
            </w:pPr>
            <w:r>
              <w:t>cost</w:t>
            </w:r>
          </w:p>
        </w:tc>
      </w:tr>
    </w:tbl>
    <w:p>
      <w:pPr>
        <w:pStyle w:val="yFootnotesection"/>
      </w:pPr>
      <w:r>
        <w:tab/>
        <w:t>[Clause 34 inserted: Gazette 31 May 2019 p. 1786.]</w:t>
      </w:r>
    </w:p>
    <w:p>
      <w:pPr>
        <w:pStyle w:val="yHeading5"/>
      </w:pPr>
      <w:bookmarkStart w:id="322" w:name="_Toc12881390"/>
      <w:r>
        <w:rPr>
          <w:rStyle w:val="CharSClsNo"/>
        </w:rPr>
        <w:t>35</w:t>
      </w:r>
      <w:r>
        <w:t>.</w:t>
      </w:r>
      <w:r>
        <w:tab/>
        <w:t>Rubbish removal</w:t>
      </w:r>
      <w:bookmarkEnd w:id="322"/>
      <w:r>
        <w:t xml:space="preserve"> </w:t>
      </w:r>
    </w:p>
    <w:p>
      <w:pPr>
        <w:pStyle w:val="ySubsection"/>
      </w:pPr>
      <w:r>
        <w:tab/>
      </w:r>
      <w:r>
        <w:tab/>
        <w:t xml:space="preserve">The charges payable under regulation 53A are set out in the Table. </w:t>
      </w:r>
    </w:p>
    <w:p>
      <w:pPr>
        <w:pStyle w:val="yTHeadingNAm"/>
      </w:pPr>
      <w:r>
        <w:t>Rubbish removal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961" w:type="dxa"/>
            <w:tcBorders>
              <w:top w:val="single" w:sz="4" w:space="0" w:color="auto"/>
              <w:bottom w:val="single" w:sz="4" w:space="0" w:color="auto"/>
            </w:tcBorders>
          </w:tcPr>
          <w:p>
            <w:pPr>
              <w:pStyle w:val="yTableNAm"/>
              <w:jc w:val="center"/>
              <w:rPr>
                <w:b/>
              </w:rPr>
            </w:pPr>
            <w:r>
              <w:rPr>
                <w:b/>
              </w:rPr>
              <w:t>Service</w:t>
            </w:r>
          </w:p>
        </w:tc>
        <w:tc>
          <w:tcPr>
            <w:tcW w:w="1134"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pPr>
            <w:r>
              <w:t>1.</w:t>
            </w:r>
          </w:p>
        </w:tc>
        <w:tc>
          <w:tcPr>
            <w:tcW w:w="4961" w:type="dxa"/>
          </w:tcPr>
          <w:p>
            <w:pPr>
              <w:pStyle w:val="yTableNAm"/>
            </w:pPr>
            <w:r>
              <w:t xml:space="preserve">For rubbish removal — </w:t>
            </w:r>
          </w:p>
        </w:tc>
        <w:tc>
          <w:tcPr>
            <w:tcW w:w="1134" w:type="dxa"/>
          </w:tcPr>
          <w:p>
            <w:pPr>
              <w:pStyle w:val="yTableNAm"/>
            </w:pPr>
          </w:p>
        </w:tc>
      </w:tr>
      <w:tr>
        <w:trPr>
          <w:cantSplit/>
        </w:trPr>
        <w:tc>
          <w:tcPr>
            <w:tcW w:w="709" w:type="dxa"/>
          </w:tcPr>
          <w:p>
            <w:pPr>
              <w:pStyle w:val="yTableNAm"/>
            </w:pPr>
          </w:p>
        </w:tc>
        <w:tc>
          <w:tcPr>
            <w:tcW w:w="4961" w:type="dxa"/>
          </w:tcPr>
          <w:p>
            <w:pPr>
              <w:pStyle w:val="yTableNAm"/>
              <w:tabs>
                <w:tab w:val="clear" w:pos="567"/>
                <w:tab w:val="left" w:pos="248"/>
              </w:tabs>
              <w:ind w:left="248" w:hanging="248"/>
            </w:pPr>
            <w:r>
              <w:t>•</w:t>
            </w:r>
            <w:r>
              <w:tab/>
              <w:t>excess quantity, or from a source other than a vessel for which charges for using the harbour have been paid, per half skip supplied and emptied</w:t>
            </w:r>
          </w:p>
        </w:tc>
        <w:tc>
          <w:tcPr>
            <w:tcW w:w="1134" w:type="dxa"/>
            <w:vAlign w:val="bottom"/>
          </w:tcPr>
          <w:p>
            <w:pPr>
              <w:pStyle w:val="yTableNAm"/>
              <w:keepNext/>
              <w:jc w:val="center"/>
            </w:pPr>
            <w:r>
              <w:t>cost</w:t>
            </w:r>
          </w:p>
        </w:tc>
      </w:tr>
      <w:tr>
        <w:trPr>
          <w:cantSplit/>
        </w:trPr>
        <w:tc>
          <w:tcPr>
            <w:tcW w:w="709" w:type="dxa"/>
          </w:tcPr>
          <w:p>
            <w:pPr>
              <w:pStyle w:val="yTableNAm"/>
            </w:pPr>
          </w:p>
        </w:tc>
        <w:tc>
          <w:tcPr>
            <w:tcW w:w="4961" w:type="dxa"/>
          </w:tcPr>
          <w:p>
            <w:pPr>
              <w:pStyle w:val="yTableNAm"/>
              <w:tabs>
                <w:tab w:val="clear" w:pos="567"/>
                <w:tab w:val="left" w:pos="248"/>
              </w:tabs>
              <w:ind w:left="248" w:hanging="248"/>
            </w:pPr>
            <w:r>
              <w:t>•</w:t>
            </w:r>
            <w:r>
              <w:tab/>
              <w:t>waste oil from vessels in excess of 150 L</w:t>
            </w:r>
          </w:p>
        </w:tc>
        <w:tc>
          <w:tcPr>
            <w:tcW w:w="1134" w:type="dxa"/>
            <w:vAlign w:val="bottom"/>
          </w:tcPr>
          <w:p>
            <w:pPr>
              <w:pStyle w:val="yTableNAm"/>
              <w:keepNext/>
              <w:jc w:val="center"/>
            </w:pPr>
            <w:r>
              <w:t>cost</w:t>
            </w:r>
          </w:p>
        </w:tc>
      </w:tr>
      <w:tr>
        <w:trPr>
          <w:cantSplit/>
        </w:trPr>
        <w:tc>
          <w:tcPr>
            <w:tcW w:w="709" w:type="dxa"/>
          </w:tcPr>
          <w:p>
            <w:pPr>
              <w:pStyle w:val="yTableNAm"/>
            </w:pPr>
          </w:p>
        </w:tc>
        <w:tc>
          <w:tcPr>
            <w:tcW w:w="4961" w:type="dxa"/>
          </w:tcPr>
          <w:p>
            <w:pPr>
              <w:pStyle w:val="yTableNAm"/>
              <w:tabs>
                <w:tab w:val="clear" w:pos="567"/>
                <w:tab w:val="left" w:pos="248"/>
              </w:tabs>
              <w:ind w:left="248" w:hanging="248"/>
            </w:pPr>
            <w:r>
              <w:t>•</w:t>
            </w:r>
            <w:r>
              <w:tab/>
              <w:t>waste oil drum or other container not removed by owner, per drum or container</w:t>
            </w:r>
          </w:p>
        </w:tc>
        <w:tc>
          <w:tcPr>
            <w:tcW w:w="1134" w:type="dxa"/>
            <w:vAlign w:val="bottom"/>
          </w:tcPr>
          <w:p>
            <w:pPr>
              <w:pStyle w:val="yTableNAm"/>
              <w:keepNext/>
              <w:jc w:val="center"/>
            </w:pPr>
            <w:r>
              <w:t>cost</w:t>
            </w:r>
          </w:p>
        </w:tc>
      </w:tr>
      <w:tr>
        <w:trPr>
          <w:cantSplit/>
        </w:trPr>
        <w:tc>
          <w:tcPr>
            <w:tcW w:w="709" w:type="dxa"/>
            <w:tcBorders>
              <w:bottom w:val="single" w:sz="4" w:space="0" w:color="auto"/>
            </w:tcBorders>
          </w:tcPr>
          <w:p>
            <w:pPr>
              <w:pStyle w:val="yTableNAm"/>
            </w:pPr>
          </w:p>
        </w:tc>
        <w:tc>
          <w:tcPr>
            <w:tcW w:w="4961" w:type="dxa"/>
            <w:tcBorders>
              <w:bottom w:val="single" w:sz="4" w:space="0" w:color="auto"/>
            </w:tcBorders>
          </w:tcPr>
          <w:p>
            <w:pPr>
              <w:pStyle w:val="yTableNAm"/>
              <w:tabs>
                <w:tab w:val="clear" w:pos="567"/>
                <w:tab w:val="left" w:pos="248"/>
              </w:tabs>
              <w:ind w:left="248" w:hanging="248"/>
            </w:pPr>
            <w:r>
              <w:t>•</w:t>
            </w:r>
            <w:r>
              <w:tab/>
              <w:t>rubbish not put in supplied bins</w:t>
            </w:r>
          </w:p>
        </w:tc>
        <w:tc>
          <w:tcPr>
            <w:tcW w:w="1134" w:type="dxa"/>
            <w:tcBorders>
              <w:bottom w:val="single" w:sz="4" w:space="0" w:color="auto"/>
            </w:tcBorders>
            <w:vAlign w:val="bottom"/>
          </w:tcPr>
          <w:p>
            <w:pPr>
              <w:pStyle w:val="yTableNAm"/>
              <w:keepNext/>
              <w:jc w:val="center"/>
            </w:pPr>
            <w:r>
              <w:t>cost</w:t>
            </w:r>
          </w:p>
        </w:tc>
      </w:tr>
    </w:tbl>
    <w:p>
      <w:pPr>
        <w:pStyle w:val="yFootnotesection"/>
      </w:pPr>
      <w:r>
        <w:tab/>
        <w:t>[Clause 35 inserted: Gazette 31 May 2019 p. 1786.]</w:t>
      </w:r>
    </w:p>
    <w:p>
      <w:pPr>
        <w:pStyle w:val="yHeading5"/>
      </w:pPr>
      <w:bookmarkStart w:id="323" w:name="_Toc12881391"/>
      <w:r>
        <w:rPr>
          <w:rStyle w:val="CharSClsNo"/>
        </w:rPr>
        <w:t>36</w:t>
      </w:r>
      <w:r>
        <w:t>.</w:t>
      </w:r>
      <w:r>
        <w:tab/>
        <w:t>Passengers and cargo</w:t>
      </w:r>
      <w:bookmarkEnd w:id="323"/>
    </w:p>
    <w:p>
      <w:pPr>
        <w:pStyle w:val="ySubsection"/>
      </w:pPr>
      <w:r>
        <w:tab/>
      </w:r>
      <w:r>
        <w:tab/>
        <w:t>The charges payable for the loading and unloading of passengers and cargo are set out in the Table.</w:t>
      </w:r>
    </w:p>
    <w:p>
      <w:pPr>
        <w:pStyle w:val="yTHeadingNAm"/>
      </w:pPr>
      <w:r>
        <w:t>Passengers and cargo</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961" w:type="dxa"/>
            <w:tcBorders>
              <w:top w:val="single" w:sz="4" w:space="0" w:color="auto"/>
              <w:bottom w:val="single" w:sz="4" w:space="0" w:color="auto"/>
            </w:tcBorders>
          </w:tcPr>
          <w:p>
            <w:pPr>
              <w:pStyle w:val="yTableNAm"/>
              <w:jc w:val="center"/>
              <w:rPr>
                <w:b/>
              </w:rPr>
            </w:pPr>
            <w:r>
              <w:rPr>
                <w:b/>
              </w:rPr>
              <w:t>Service</w:t>
            </w:r>
          </w:p>
        </w:tc>
        <w:tc>
          <w:tcPr>
            <w:tcW w:w="1134"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tabs>
                <w:tab w:val="clear" w:pos="567"/>
                <w:tab w:val="left" w:pos="248"/>
              </w:tabs>
              <w:ind w:left="248" w:hanging="248"/>
            </w:pPr>
            <w:r>
              <w:t>1.</w:t>
            </w:r>
          </w:p>
        </w:tc>
        <w:tc>
          <w:tcPr>
            <w:tcW w:w="4961" w:type="dxa"/>
          </w:tcPr>
          <w:p>
            <w:pPr>
              <w:pStyle w:val="yTableNAm"/>
              <w:tabs>
                <w:tab w:val="clear" w:pos="567"/>
                <w:tab w:val="left" w:pos="341"/>
              </w:tabs>
            </w:pPr>
            <w:r>
              <w:t xml:space="preserve">For the use of a pen, berth or service jetty by a cruise liner transfer vessel to load or unload passengers — </w:t>
            </w:r>
          </w:p>
        </w:tc>
        <w:tc>
          <w:tcPr>
            <w:tcW w:w="1134" w:type="dxa"/>
            <w:vAlign w:val="bottom"/>
          </w:tcPr>
          <w:p>
            <w:pPr>
              <w:pStyle w:val="yTableNAm"/>
              <w:tabs>
                <w:tab w:val="clear" w:pos="567"/>
                <w:tab w:val="left" w:pos="248"/>
              </w:tabs>
              <w:ind w:left="248" w:hanging="248"/>
              <w:jc w:val="right"/>
            </w:pPr>
          </w:p>
        </w:tc>
      </w:tr>
      <w:tr>
        <w:trPr>
          <w:cantSplit/>
        </w:trPr>
        <w:tc>
          <w:tcPr>
            <w:tcW w:w="709" w:type="dxa"/>
          </w:tcPr>
          <w:p>
            <w:pPr>
              <w:pStyle w:val="yTableNAm"/>
              <w:tabs>
                <w:tab w:val="clear" w:pos="567"/>
                <w:tab w:val="left" w:pos="248"/>
              </w:tabs>
              <w:ind w:left="248" w:hanging="248"/>
            </w:pPr>
          </w:p>
        </w:tc>
        <w:tc>
          <w:tcPr>
            <w:tcW w:w="4961" w:type="dxa"/>
          </w:tcPr>
          <w:p>
            <w:pPr>
              <w:pStyle w:val="yTableNAm"/>
              <w:tabs>
                <w:tab w:val="clear" w:pos="567"/>
                <w:tab w:val="left" w:pos="341"/>
              </w:tabs>
              <w:ind w:left="341" w:hanging="341"/>
            </w:pPr>
            <w:r>
              <w:t>•</w:t>
            </w:r>
            <w:r>
              <w:tab/>
              <w:t>an amount calculated per metre of the vessel’s length using the daily rate of</w:t>
            </w:r>
          </w:p>
        </w:tc>
        <w:tc>
          <w:tcPr>
            <w:tcW w:w="1134" w:type="dxa"/>
            <w:vAlign w:val="bottom"/>
          </w:tcPr>
          <w:p>
            <w:pPr>
              <w:pStyle w:val="yTableNAm"/>
              <w:tabs>
                <w:tab w:val="clear" w:pos="567"/>
              </w:tabs>
              <w:jc w:val="center"/>
            </w:pPr>
            <w:r>
              <w:t>11.00</w:t>
            </w:r>
          </w:p>
        </w:tc>
      </w:tr>
      <w:tr>
        <w:trPr>
          <w:cantSplit/>
        </w:trPr>
        <w:tc>
          <w:tcPr>
            <w:tcW w:w="709" w:type="dxa"/>
          </w:tcPr>
          <w:p>
            <w:pPr>
              <w:pStyle w:val="yTableNAm"/>
              <w:tabs>
                <w:tab w:val="clear" w:pos="567"/>
                <w:tab w:val="left" w:pos="248"/>
              </w:tabs>
              <w:ind w:left="248" w:hanging="248"/>
            </w:pPr>
          </w:p>
        </w:tc>
        <w:tc>
          <w:tcPr>
            <w:tcW w:w="4961" w:type="dxa"/>
          </w:tcPr>
          <w:p>
            <w:pPr>
              <w:pStyle w:val="yTableNAm"/>
              <w:tabs>
                <w:tab w:val="clear" w:pos="567"/>
                <w:tab w:val="left" w:pos="341"/>
              </w:tabs>
            </w:pPr>
            <w:r>
              <w:t>•</w:t>
            </w:r>
            <w:r>
              <w:tab/>
              <w:t>plus a charge per passenger of</w:t>
            </w:r>
          </w:p>
        </w:tc>
        <w:tc>
          <w:tcPr>
            <w:tcW w:w="1134" w:type="dxa"/>
            <w:vAlign w:val="bottom"/>
          </w:tcPr>
          <w:p>
            <w:pPr>
              <w:pStyle w:val="yTableNAm"/>
              <w:tabs>
                <w:tab w:val="clear" w:pos="567"/>
              </w:tabs>
              <w:jc w:val="center"/>
            </w:pPr>
            <w:r>
              <w:t>4.60</w:t>
            </w:r>
          </w:p>
        </w:tc>
      </w:tr>
      <w:tr>
        <w:trPr>
          <w:cantSplit/>
        </w:trPr>
        <w:tc>
          <w:tcPr>
            <w:tcW w:w="709" w:type="dxa"/>
          </w:tcPr>
          <w:p>
            <w:pPr>
              <w:pStyle w:val="yTableNAm"/>
              <w:tabs>
                <w:tab w:val="clear" w:pos="567"/>
                <w:tab w:val="left" w:pos="248"/>
              </w:tabs>
              <w:ind w:left="248" w:hanging="248"/>
            </w:pPr>
            <w:r>
              <w:t>2.</w:t>
            </w:r>
          </w:p>
        </w:tc>
        <w:tc>
          <w:tcPr>
            <w:tcW w:w="4961" w:type="dxa"/>
          </w:tcPr>
          <w:p>
            <w:pPr>
              <w:pStyle w:val="yTableNAm"/>
              <w:tabs>
                <w:tab w:val="clear" w:pos="567"/>
                <w:tab w:val="left" w:pos="341"/>
              </w:tabs>
            </w:pPr>
            <w:r>
              <w:t>For the loading or unloading of general cargo from or to a vessel at a service jetty, or an appurtenant area, an amount calculated per tonne, per cubic metre, or per kilolitre, using the rate of</w:t>
            </w:r>
          </w:p>
        </w:tc>
        <w:tc>
          <w:tcPr>
            <w:tcW w:w="1134" w:type="dxa"/>
            <w:vAlign w:val="bottom"/>
          </w:tcPr>
          <w:p>
            <w:pPr>
              <w:pStyle w:val="yTableNAm"/>
              <w:tabs>
                <w:tab w:val="clear" w:pos="567"/>
              </w:tabs>
              <w:jc w:val="center"/>
            </w:pPr>
            <w:r>
              <w:t>7.25</w:t>
            </w:r>
          </w:p>
        </w:tc>
      </w:tr>
      <w:tr>
        <w:trPr>
          <w:cantSplit/>
        </w:trPr>
        <w:tc>
          <w:tcPr>
            <w:tcW w:w="709" w:type="dxa"/>
            <w:tcBorders>
              <w:bottom w:val="single" w:sz="4" w:space="0" w:color="auto"/>
            </w:tcBorders>
          </w:tcPr>
          <w:p>
            <w:pPr>
              <w:pStyle w:val="yTableNAm"/>
              <w:tabs>
                <w:tab w:val="clear" w:pos="567"/>
                <w:tab w:val="left" w:pos="248"/>
              </w:tabs>
              <w:ind w:left="248" w:hanging="248"/>
            </w:pPr>
            <w:r>
              <w:t>3.</w:t>
            </w:r>
          </w:p>
        </w:tc>
        <w:tc>
          <w:tcPr>
            <w:tcW w:w="4961" w:type="dxa"/>
            <w:tcBorders>
              <w:bottom w:val="single" w:sz="4" w:space="0" w:color="auto"/>
            </w:tcBorders>
          </w:tcPr>
          <w:p>
            <w:pPr>
              <w:pStyle w:val="yTableNAm"/>
              <w:tabs>
                <w:tab w:val="clear" w:pos="567"/>
                <w:tab w:val="left" w:pos="341"/>
              </w:tabs>
            </w:pPr>
            <w:r>
              <w:t>If a vessel is lifted at a service jetty, or an appurtenant area, an amount calculated per metre of the vessel’s length using the rate of</w:t>
            </w:r>
          </w:p>
        </w:tc>
        <w:tc>
          <w:tcPr>
            <w:tcW w:w="1134" w:type="dxa"/>
            <w:tcBorders>
              <w:bottom w:val="single" w:sz="4" w:space="0" w:color="auto"/>
            </w:tcBorders>
            <w:vAlign w:val="bottom"/>
          </w:tcPr>
          <w:p>
            <w:pPr>
              <w:pStyle w:val="yTableNAm"/>
              <w:tabs>
                <w:tab w:val="clear" w:pos="567"/>
              </w:tabs>
              <w:jc w:val="center"/>
            </w:pPr>
            <w:r>
              <w:t>16.05</w:t>
            </w:r>
          </w:p>
        </w:tc>
      </w:tr>
    </w:tbl>
    <w:p>
      <w:pPr>
        <w:pStyle w:val="yFootnotesection"/>
      </w:pPr>
      <w:r>
        <w:tab/>
        <w:t>[Clause 36 inserted: Gazette 31 May 2019 p. 1787.]</w:t>
      </w:r>
    </w:p>
    <w:p>
      <w:pPr>
        <w:pStyle w:val="yHeading5"/>
      </w:pPr>
      <w:bookmarkStart w:id="324" w:name="_Toc12881392"/>
      <w:r>
        <w:rPr>
          <w:rStyle w:val="CharSClsNo"/>
        </w:rPr>
        <w:t>37</w:t>
      </w:r>
      <w:r>
        <w:t>.</w:t>
      </w:r>
      <w:r>
        <w:tab/>
        <w:t>Floating dinghy pens</w:t>
      </w:r>
      <w:bookmarkEnd w:id="324"/>
    </w:p>
    <w:p>
      <w:pPr>
        <w:pStyle w:val="ySubsection"/>
      </w:pPr>
      <w:r>
        <w:tab/>
      </w:r>
      <w:r>
        <w:tab/>
        <w:t>The charge payable for the use of a floating dinghy pen at a place is $324.40 per vessel per year.</w:t>
      </w:r>
    </w:p>
    <w:p>
      <w:pPr>
        <w:pStyle w:val="yFootnotesection"/>
      </w:pPr>
      <w:r>
        <w:tab/>
        <w:t>[Clause 37 inserted: Gazette 31 May 2019 p. 1787.]</w:t>
      </w:r>
    </w:p>
    <w:p>
      <w:pPr>
        <w:pStyle w:val="yHeading5"/>
      </w:pPr>
      <w:bookmarkStart w:id="325" w:name="_Toc12881393"/>
      <w:r>
        <w:rPr>
          <w:rStyle w:val="CharSClsNo"/>
        </w:rPr>
        <w:t>38</w:t>
      </w:r>
      <w:r>
        <w:t>.</w:t>
      </w:r>
      <w:r>
        <w:tab/>
        <w:t>Use of jetty hardstand or appurtenant area</w:t>
      </w:r>
      <w:bookmarkEnd w:id="325"/>
    </w:p>
    <w:p>
      <w:pPr>
        <w:pStyle w:val="ySubsection"/>
      </w:pPr>
      <w:r>
        <w:tab/>
      </w:r>
      <w:r>
        <w:tab/>
        <w:t>The charge payable for the use of a service jetty hardstand or appurtenant area for storage or maintenance is calculated per m</w:t>
      </w:r>
      <w:r>
        <w:rPr>
          <w:vertAlign w:val="superscript"/>
        </w:rPr>
        <w:t>2</w:t>
      </w:r>
      <w:r>
        <w:t xml:space="preserve"> using the daily rate of $1.85. </w:t>
      </w:r>
    </w:p>
    <w:p>
      <w:pPr>
        <w:pStyle w:val="yFootnotesection"/>
      </w:pPr>
      <w:r>
        <w:tab/>
        <w:t>[Clause 38 inserted: Gazette 31 May 2019 p. 1787.]</w:t>
      </w:r>
    </w:p>
    <w:p>
      <w:pPr>
        <w:pStyle w:val="yScheduleHeading"/>
      </w:pPr>
      <w:bookmarkStart w:id="326" w:name="_Toc11766698"/>
      <w:bookmarkStart w:id="327" w:name="_Toc11768639"/>
      <w:bookmarkStart w:id="328" w:name="_Toc11828430"/>
      <w:bookmarkStart w:id="329" w:name="_Toc12028196"/>
      <w:bookmarkStart w:id="330" w:name="_Toc12881394"/>
      <w:r>
        <w:rPr>
          <w:rStyle w:val="CharSchNo"/>
        </w:rPr>
        <w:t>Schedule 2</w:t>
      </w:r>
      <w:r>
        <w:rPr>
          <w:rStyle w:val="CharSDivNo"/>
        </w:rPr>
        <w:t> </w:t>
      </w:r>
      <w:r>
        <w:t>—</w:t>
      </w:r>
      <w:r>
        <w:rPr>
          <w:rStyle w:val="CharSDivText"/>
        </w:rPr>
        <w:t> </w:t>
      </w:r>
      <w:r>
        <w:rPr>
          <w:rStyle w:val="CharSchText"/>
        </w:rPr>
        <w:t>Fuel oil wharfage</w:t>
      </w:r>
      <w:bookmarkEnd w:id="326"/>
      <w:bookmarkEnd w:id="327"/>
      <w:bookmarkEnd w:id="328"/>
      <w:bookmarkEnd w:id="329"/>
      <w:bookmarkEnd w:id="330"/>
    </w:p>
    <w:p>
      <w:pPr>
        <w:pStyle w:val="yShoulderClause"/>
      </w:pPr>
      <w:r>
        <w:t>[r. 11B(2)]</w:t>
      </w:r>
    </w:p>
    <w:p>
      <w:pPr>
        <w:pStyle w:val="yFootnoteheading"/>
        <w:rPr>
          <w:snapToGrid w:val="0"/>
        </w:rPr>
      </w:pPr>
      <w:r>
        <w:rPr>
          <w:snapToGrid w:val="0"/>
        </w:rPr>
        <w:tab/>
        <w:t xml:space="preserve">[Heading inserted: Gazette </w:t>
      </w:r>
      <w:r>
        <w:t>31 May 2019 p. 1788</w:t>
      </w:r>
      <w:r>
        <w:rPr>
          <w:snapToGrid w:val="0"/>
        </w:rPr>
        <w:t>.]</w:t>
      </w:r>
    </w:p>
    <w:p>
      <w:pPr>
        <w:pStyle w:val="yHeading5"/>
      </w:pPr>
      <w:bookmarkStart w:id="331" w:name="_Toc12881395"/>
      <w:r>
        <w:rPr>
          <w:rStyle w:val="CharSClsNo"/>
        </w:rPr>
        <w:t>1</w:t>
      </w:r>
      <w:r>
        <w:t>.</w:t>
      </w:r>
      <w:r>
        <w:tab/>
        <w:t>Wharfage for fuel oil</w:t>
      </w:r>
      <w:bookmarkEnd w:id="331"/>
      <w:r>
        <w:t xml:space="preserve"> </w:t>
      </w:r>
    </w:p>
    <w:p>
      <w:pPr>
        <w:pStyle w:val="ySubsection"/>
      </w:pPr>
      <w:r>
        <w:tab/>
      </w:r>
      <w:r>
        <w:tab/>
        <w:t>The wharfage rate to be paid for fuel oil under regulation 11B(2) at a place listed in the Table is set out opposite the place.</w:t>
      </w:r>
    </w:p>
    <w:p>
      <w:pPr>
        <w:pStyle w:val="yTHeadingNAm"/>
      </w:pPr>
      <w:r>
        <w:t>Wharfage for fuel oil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961" w:type="dxa"/>
            <w:tcBorders>
              <w:top w:val="single" w:sz="4" w:space="0" w:color="auto"/>
              <w:bottom w:val="single" w:sz="4" w:space="0" w:color="auto"/>
            </w:tcBorders>
          </w:tcPr>
          <w:p>
            <w:pPr>
              <w:pStyle w:val="yTableNAm"/>
              <w:jc w:val="center"/>
              <w:rPr>
                <w:b/>
              </w:rPr>
            </w:pPr>
            <w:r>
              <w:rPr>
                <w:b/>
              </w:rPr>
              <w:t>Place</w:t>
            </w:r>
          </w:p>
        </w:tc>
        <w:tc>
          <w:tcPr>
            <w:tcW w:w="1134" w:type="dxa"/>
            <w:tcBorders>
              <w:top w:val="single" w:sz="4" w:space="0" w:color="auto"/>
              <w:bottom w:val="single" w:sz="4" w:space="0" w:color="auto"/>
            </w:tcBorders>
          </w:tcPr>
          <w:p>
            <w:pPr>
              <w:pStyle w:val="yTableNAm"/>
              <w:tabs>
                <w:tab w:val="clear" w:pos="567"/>
                <w:tab w:val="center" w:pos="510"/>
              </w:tabs>
              <w:ind w:left="85" w:right="85"/>
              <w:jc w:val="center"/>
              <w:rPr>
                <w:b/>
              </w:rPr>
            </w:pPr>
            <w:r>
              <w:rPr>
                <w:b/>
              </w:rPr>
              <w:t>$/L</w:t>
            </w:r>
          </w:p>
        </w:tc>
      </w:tr>
      <w:tr>
        <w:trPr>
          <w:cantSplit/>
        </w:trPr>
        <w:tc>
          <w:tcPr>
            <w:tcW w:w="709" w:type="dxa"/>
          </w:tcPr>
          <w:p>
            <w:pPr>
              <w:pStyle w:val="yTableNAm"/>
              <w:jc w:val="center"/>
            </w:pPr>
            <w:r>
              <w:t>1.</w:t>
            </w:r>
          </w:p>
        </w:tc>
        <w:tc>
          <w:tcPr>
            <w:tcW w:w="4961" w:type="dxa"/>
          </w:tcPr>
          <w:p>
            <w:pPr>
              <w:pStyle w:val="yTableNAm"/>
            </w:pPr>
            <w:r>
              <w:t>Albany, at Albany Waterfront Marina</w:t>
            </w:r>
          </w:p>
        </w:tc>
        <w:tc>
          <w:tcPr>
            <w:tcW w:w="1134" w:type="dxa"/>
            <w:vAlign w:val="bottom"/>
          </w:tcPr>
          <w:p>
            <w:pPr>
              <w:pStyle w:val="yTableNAm"/>
              <w:tabs>
                <w:tab w:val="clear" w:pos="567"/>
                <w:tab w:val="center" w:pos="510"/>
              </w:tabs>
              <w:ind w:left="85" w:right="85"/>
              <w:jc w:val="center"/>
            </w:pPr>
            <w:r>
              <w:rPr>
                <w:szCs w:val="22"/>
              </w:rPr>
              <w:t>0.059</w:t>
            </w:r>
          </w:p>
        </w:tc>
      </w:tr>
      <w:tr>
        <w:trPr>
          <w:cantSplit/>
        </w:trPr>
        <w:tc>
          <w:tcPr>
            <w:tcW w:w="709" w:type="dxa"/>
          </w:tcPr>
          <w:p>
            <w:pPr>
              <w:pStyle w:val="yTableNAm"/>
              <w:jc w:val="center"/>
            </w:pPr>
            <w:r>
              <w:t>2.</w:t>
            </w:r>
          </w:p>
        </w:tc>
        <w:tc>
          <w:tcPr>
            <w:tcW w:w="4961" w:type="dxa"/>
          </w:tcPr>
          <w:p>
            <w:pPr>
              <w:pStyle w:val="yTableNAm"/>
            </w:pPr>
            <w:r>
              <w:t>Albany, at Emu Point Boat Harbour</w:t>
            </w:r>
          </w:p>
        </w:tc>
        <w:tc>
          <w:tcPr>
            <w:tcW w:w="1134" w:type="dxa"/>
            <w:vAlign w:val="bottom"/>
          </w:tcPr>
          <w:p>
            <w:pPr>
              <w:pStyle w:val="yTableNAm"/>
              <w:tabs>
                <w:tab w:val="clear" w:pos="567"/>
                <w:tab w:val="center" w:pos="510"/>
              </w:tabs>
              <w:ind w:left="85" w:right="85"/>
              <w:jc w:val="center"/>
            </w:pPr>
            <w:r>
              <w:rPr>
                <w:szCs w:val="22"/>
              </w:rPr>
              <w:t>0.059</w:t>
            </w:r>
          </w:p>
        </w:tc>
      </w:tr>
      <w:tr>
        <w:trPr>
          <w:cantSplit/>
        </w:trPr>
        <w:tc>
          <w:tcPr>
            <w:tcW w:w="709" w:type="dxa"/>
          </w:tcPr>
          <w:p>
            <w:pPr>
              <w:pStyle w:val="yTableNAm"/>
              <w:jc w:val="center"/>
            </w:pPr>
            <w:r>
              <w:t>3.</w:t>
            </w:r>
          </w:p>
        </w:tc>
        <w:tc>
          <w:tcPr>
            <w:tcW w:w="4961" w:type="dxa"/>
          </w:tcPr>
          <w:p>
            <w:pPr>
              <w:pStyle w:val="yTableNAm"/>
            </w:pPr>
            <w:r>
              <w:t>Augusta Boat Harbour</w:t>
            </w:r>
          </w:p>
        </w:tc>
        <w:tc>
          <w:tcPr>
            <w:tcW w:w="1134" w:type="dxa"/>
            <w:vAlign w:val="bottom"/>
          </w:tcPr>
          <w:p>
            <w:pPr>
              <w:pStyle w:val="yTableNAm"/>
              <w:tabs>
                <w:tab w:val="clear" w:pos="567"/>
                <w:tab w:val="center" w:pos="510"/>
              </w:tabs>
              <w:ind w:left="85" w:right="85"/>
              <w:jc w:val="center"/>
            </w:pPr>
            <w:r>
              <w:rPr>
                <w:szCs w:val="22"/>
              </w:rPr>
              <w:t>0.059</w:t>
            </w:r>
          </w:p>
        </w:tc>
      </w:tr>
      <w:tr>
        <w:trPr>
          <w:cantSplit/>
        </w:trPr>
        <w:tc>
          <w:tcPr>
            <w:tcW w:w="709" w:type="dxa"/>
          </w:tcPr>
          <w:p>
            <w:pPr>
              <w:pStyle w:val="yTableNAm"/>
              <w:jc w:val="center"/>
            </w:pPr>
            <w:r>
              <w:t>4.</w:t>
            </w:r>
          </w:p>
        </w:tc>
        <w:tc>
          <w:tcPr>
            <w:tcW w:w="4961" w:type="dxa"/>
          </w:tcPr>
          <w:p>
            <w:pPr>
              <w:pStyle w:val="yTableNAm"/>
            </w:pPr>
            <w:r>
              <w:t>Augusta (Ellis Street) Maritime Facility</w:t>
            </w:r>
          </w:p>
        </w:tc>
        <w:tc>
          <w:tcPr>
            <w:tcW w:w="1134" w:type="dxa"/>
            <w:vAlign w:val="bottom"/>
          </w:tcPr>
          <w:p>
            <w:pPr>
              <w:pStyle w:val="yTableNAm"/>
              <w:tabs>
                <w:tab w:val="clear" w:pos="567"/>
                <w:tab w:val="center" w:pos="510"/>
              </w:tabs>
              <w:ind w:left="85" w:right="85"/>
              <w:jc w:val="center"/>
            </w:pPr>
            <w:r>
              <w:rPr>
                <w:szCs w:val="22"/>
              </w:rPr>
              <w:t>0.059</w:t>
            </w:r>
          </w:p>
        </w:tc>
      </w:tr>
      <w:tr>
        <w:trPr>
          <w:cantSplit/>
        </w:trPr>
        <w:tc>
          <w:tcPr>
            <w:tcW w:w="709" w:type="dxa"/>
          </w:tcPr>
          <w:p>
            <w:pPr>
              <w:pStyle w:val="yTableNAm"/>
              <w:jc w:val="center"/>
            </w:pPr>
            <w:r>
              <w:t>5.</w:t>
            </w:r>
          </w:p>
        </w:tc>
        <w:tc>
          <w:tcPr>
            <w:tcW w:w="4961" w:type="dxa"/>
          </w:tcPr>
          <w:p>
            <w:pPr>
              <w:pStyle w:val="yTableNAm"/>
            </w:pPr>
            <w:r>
              <w:t>Barrack Street Jetty</w:t>
            </w:r>
          </w:p>
        </w:tc>
        <w:tc>
          <w:tcPr>
            <w:tcW w:w="1134" w:type="dxa"/>
            <w:vAlign w:val="bottom"/>
          </w:tcPr>
          <w:p>
            <w:pPr>
              <w:pStyle w:val="yTableNAm"/>
              <w:tabs>
                <w:tab w:val="clear" w:pos="567"/>
                <w:tab w:val="center" w:pos="510"/>
              </w:tabs>
              <w:ind w:left="85" w:right="85"/>
              <w:jc w:val="center"/>
            </w:pPr>
            <w:r>
              <w:rPr>
                <w:szCs w:val="22"/>
              </w:rPr>
              <w:t>0.059</w:t>
            </w:r>
          </w:p>
        </w:tc>
      </w:tr>
      <w:tr>
        <w:trPr>
          <w:cantSplit/>
        </w:trPr>
        <w:tc>
          <w:tcPr>
            <w:tcW w:w="709" w:type="dxa"/>
          </w:tcPr>
          <w:p>
            <w:pPr>
              <w:pStyle w:val="yTableNAm"/>
              <w:jc w:val="center"/>
            </w:pPr>
            <w:r>
              <w:t>6.</w:t>
            </w:r>
          </w:p>
        </w:tc>
        <w:tc>
          <w:tcPr>
            <w:tcW w:w="4961" w:type="dxa"/>
          </w:tcPr>
          <w:p>
            <w:pPr>
              <w:pStyle w:val="yTableNAm"/>
            </w:pPr>
            <w:r>
              <w:t>Bremer Bay</w:t>
            </w:r>
          </w:p>
        </w:tc>
        <w:tc>
          <w:tcPr>
            <w:tcW w:w="1134" w:type="dxa"/>
            <w:vAlign w:val="bottom"/>
          </w:tcPr>
          <w:p>
            <w:pPr>
              <w:pStyle w:val="yTableNAm"/>
              <w:tabs>
                <w:tab w:val="clear" w:pos="567"/>
                <w:tab w:val="center" w:pos="510"/>
              </w:tabs>
              <w:ind w:left="85" w:right="85"/>
              <w:jc w:val="center"/>
            </w:pPr>
            <w:r>
              <w:rPr>
                <w:szCs w:val="22"/>
              </w:rPr>
              <w:t>0.059</w:t>
            </w:r>
          </w:p>
        </w:tc>
      </w:tr>
      <w:tr>
        <w:trPr>
          <w:cantSplit/>
        </w:trPr>
        <w:tc>
          <w:tcPr>
            <w:tcW w:w="709" w:type="dxa"/>
          </w:tcPr>
          <w:p>
            <w:pPr>
              <w:pStyle w:val="yTableNAm"/>
              <w:jc w:val="center"/>
            </w:pPr>
            <w:r>
              <w:t>7.</w:t>
            </w:r>
          </w:p>
        </w:tc>
        <w:tc>
          <w:tcPr>
            <w:tcW w:w="4961" w:type="dxa"/>
          </w:tcPr>
          <w:p>
            <w:pPr>
              <w:pStyle w:val="yTableNAm"/>
            </w:pPr>
            <w:r>
              <w:t>Bunbury, at Casuarina Boat Harbour</w:t>
            </w:r>
          </w:p>
        </w:tc>
        <w:tc>
          <w:tcPr>
            <w:tcW w:w="1134" w:type="dxa"/>
            <w:vAlign w:val="bottom"/>
          </w:tcPr>
          <w:p>
            <w:pPr>
              <w:pStyle w:val="yTableNAm"/>
              <w:tabs>
                <w:tab w:val="clear" w:pos="567"/>
                <w:tab w:val="center" w:pos="510"/>
              </w:tabs>
              <w:ind w:left="85" w:right="85"/>
              <w:jc w:val="center"/>
            </w:pPr>
            <w:r>
              <w:rPr>
                <w:szCs w:val="22"/>
              </w:rPr>
              <w:t>0.059</w:t>
            </w:r>
          </w:p>
        </w:tc>
      </w:tr>
      <w:tr>
        <w:trPr>
          <w:cantSplit/>
        </w:trPr>
        <w:tc>
          <w:tcPr>
            <w:tcW w:w="709" w:type="dxa"/>
          </w:tcPr>
          <w:p>
            <w:pPr>
              <w:pStyle w:val="yTableNAm"/>
              <w:jc w:val="center"/>
            </w:pPr>
            <w:r>
              <w:t>8.</w:t>
            </w:r>
          </w:p>
        </w:tc>
        <w:tc>
          <w:tcPr>
            <w:tcW w:w="4961" w:type="dxa"/>
          </w:tcPr>
          <w:p>
            <w:pPr>
              <w:pStyle w:val="yTableNAm"/>
            </w:pPr>
            <w:r>
              <w:t>Carnarvon</w:t>
            </w:r>
          </w:p>
        </w:tc>
        <w:tc>
          <w:tcPr>
            <w:tcW w:w="1134" w:type="dxa"/>
            <w:vAlign w:val="bottom"/>
          </w:tcPr>
          <w:p>
            <w:pPr>
              <w:pStyle w:val="yTableNAm"/>
              <w:tabs>
                <w:tab w:val="clear" w:pos="567"/>
                <w:tab w:val="center" w:pos="510"/>
              </w:tabs>
              <w:ind w:left="85" w:right="85"/>
              <w:jc w:val="center"/>
            </w:pPr>
            <w:r>
              <w:rPr>
                <w:szCs w:val="22"/>
              </w:rPr>
              <w:t>0.059</w:t>
            </w:r>
          </w:p>
        </w:tc>
      </w:tr>
      <w:tr>
        <w:trPr>
          <w:cantSplit/>
        </w:trPr>
        <w:tc>
          <w:tcPr>
            <w:tcW w:w="709" w:type="dxa"/>
          </w:tcPr>
          <w:p>
            <w:pPr>
              <w:pStyle w:val="yTableNAm"/>
              <w:jc w:val="center"/>
            </w:pPr>
            <w:r>
              <w:t>9.</w:t>
            </w:r>
          </w:p>
        </w:tc>
        <w:tc>
          <w:tcPr>
            <w:tcW w:w="4961" w:type="dxa"/>
          </w:tcPr>
          <w:p>
            <w:pPr>
              <w:pStyle w:val="yTableNAm"/>
            </w:pPr>
            <w:r>
              <w:t>Cervantes</w:t>
            </w:r>
          </w:p>
        </w:tc>
        <w:tc>
          <w:tcPr>
            <w:tcW w:w="1134" w:type="dxa"/>
            <w:vAlign w:val="bottom"/>
          </w:tcPr>
          <w:p>
            <w:pPr>
              <w:pStyle w:val="yTableNAm"/>
              <w:tabs>
                <w:tab w:val="clear" w:pos="567"/>
                <w:tab w:val="center" w:pos="510"/>
              </w:tabs>
              <w:ind w:left="85" w:right="85"/>
              <w:jc w:val="center"/>
            </w:pPr>
            <w:r>
              <w:rPr>
                <w:szCs w:val="22"/>
              </w:rPr>
              <w:t>0.059</w:t>
            </w:r>
          </w:p>
        </w:tc>
      </w:tr>
      <w:tr>
        <w:trPr>
          <w:cantSplit/>
        </w:trPr>
        <w:tc>
          <w:tcPr>
            <w:tcW w:w="709" w:type="dxa"/>
          </w:tcPr>
          <w:p>
            <w:pPr>
              <w:pStyle w:val="yTableNAm"/>
              <w:jc w:val="center"/>
            </w:pPr>
            <w:r>
              <w:t>10.</w:t>
            </w:r>
          </w:p>
        </w:tc>
        <w:tc>
          <w:tcPr>
            <w:tcW w:w="4961" w:type="dxa"/>
          </w:tcPr>
          <w:p>
            <w:pPr>
              <w:pStyle w:val="yTableNAm"/>
            </w:pPr>
            <w:r>
              <w:t>Denham</w:t>
            </w:r>
          </w:p>
        </w:tc>
        <w:tc>
          <w:tcPr>
            <w:tcW w:w="1134" w:type="dxa"/>
            <w:vAlign w:val="bottom"/>
          </w:tcPr>
          <w:p>
            <w:pPr>
              <w:pStyle w:val="yTableNAm"/>
              <w:tabs>
                <w:tab w:val="clear" w:pos="567"/>
                <w:tab w:val="center" w:pos="510"/>
              </w:tabs>
              <w:ind w:left="85" w:right="85"/>
              <w:jc w:val="center"/>
            </w:pPr>
            <w:r>
              <w:rPr>
                <w:szCs w:val="22"/>
              </w:rPr>
              <w:t>0.059</w:t>
            </w:r>
          </w:p>
        </w:tc>
      </w:tr>
      <w:tr>
        <w:trPr>
          <w:cantSplit/>
        </w:trPr>
        <w:tc>
          <w:tcPr>
            <w:tcW w:w="709" w:type="dxa"/>
          </w:tcPr>
          <w:p>
            <w:pPr>
              <w:pStyle w:val="yTableNAm"/>
              <w:jc w:val="center"/>
            </w:pPr>
            <w:r>
              <w:t>11.</w:t>
            </w:r>
          </w:p>
        </w:tc>
        <w:tc>
          <w:tcPr>
            <w:tcW w:w="4961" w:type="dxa"/>
          </w:tcPr>
          <w:p>
            <w:pPr>
              <w:pStyle w:val="yTableNAm"/>
            </w:pPr>
            <w:r>
              <w:t>Esperance</w:t>
            </w:r>
          </w:p>
        </w:tc>
        <w:tc>
          <w:tcPr>
            <w:tcW w:w="1134" w:type="dxa"/>
            <w:vAlign w:val="bottom"/>
          </w:tcPr>
          <w:p>
            <w:pPr>
              <w:pStyle w:val="yTableNAm"/>
              <w:tabs>
                <w:tab w:val="clear" w:pos="567"/>
                <w:tab w:val="center" w:pos="510"/>
              </w:tabs>
              <w:ind w:left="85" w:right="85"/>
              <w:jc w:val="center"/>
            </w:pPr>
            <w:r>
              <w:rPr>
                <w:szCs w:val="22"/>
              </w:rPr>
              <w:t>0.059</w:t>
            </w:r>
          </w:p>
        </w:tc>
      </w:tr>
      <w:tr>
        <w:trPr>
          <w:cantSplit/>
        </w:trPr>
        <w:tc>
          <w:tcPr>
            <w:tcW w:w="709" w:type="dxa"/>
          </w:tcPr>
          <w:p>
            <w:pPr>
              <w:pStyle w:val="yTableNAm"/>
              <w:jc w:val="center"/>
            </w:pPr>
            <w:r>
              <w:t>12.</w:t>
            </w:r>
          </w:p>
        </w:tc>
        <w:tc>
          <w:tcPr>
            <w:tcW w:w="4961" w:type="dxa"/>
          </w:tcPr>
          <w:p>
            <w:pPr>
              <w:pStyle w:val="yTableNAm"/>
            </w:pPr>
            <w:r>
              <w:t>Exmouth</w:t>
            </w:r>
          </w:p>
        </w:tc>
        <w:tc>
          <w:tcPr>
            <w:tcW w:w="1134" w:type="dxa"/>
            <w:vAlign w:val="bottom"/>
          </w:tcPr>
          <w:p>
            <w:pPr>
              <w:pStyle w:val="yTableNAm"/>
              <w:tabs>
                <w:tab w:val="clear" w:pos="567"/>
                <w:tab w:val="center" w:pos="510"/>
              </w:tabs>
              <w:ind w:left="85" w:right="85"/>
              <w:jc w:val="center"/>
            </w:pPr>
            <w:r>
              <w:rPr>
                <w:szCs w:val="22"/>
              </w:rPr>
              <w:t>0.059</w:t>
            </w:r>
          </w:p>
        </w:tc>
      </w:tr>
      <w:tr>
        <w:trPr>
          <w:cantSplit/>
        </w:trPr>
        <w:tc>
          <w:tcPr>
            <w:tcW w:w="709" w:type="dxa"/>
          </w:tcPr>
          <w:p>
            <w:pPr>
              <w:pStyle w:val="yTableNAm"/>
              <w:jc w:val="center"/>
            </w:pPr>
            <w:r>
              <w:t>13.</w:t>
            </w:r>
          </w:p>
        </w:tc>
        <w:tc>
          <w:tcPr>
            <w:tcW w:w="4961" w:type="dxa"/>
          </w:tcPr>
          <w:p>
            <w:pPr>
              <w:pStyle w:val="yTableNAm"/>
            </w:pPr>
            <w:r>
              <w:t>Fremantle, at Fremantle Fishing Boat Harbour</w:t>
            </w:r>
          </w:p>
        </w:tc>
        <w:tc>
          <w:tcPr>
            <w:tcW w:w="1134" w:type="dxa"/>
            <w:vAlign w:val="bottom"/>
          </w:tcPr>
          <w:p>
            <w:pPr>
              <w:pStyle w:val="yTableNAm"/>
              <w:tabs>
                <w:tab w:val="clear" w:pos="567"/>
                <w:tab w:val="center" w:pos="510"/>
              </w:tabs>
              <w:ind w:left="85" w:right="85"/>
              <w:jc w:val="center"/>
              <w:rPr>
                <w:szCs w:val="22"/>
              </w:rPr>
            </w:pPr>
            <w:r>
              <w:rPr>
                <w:szCs w:val="22"/>
              </w:rPr>
              <w:t>0.059</w:t>
            </w:r>
          </w:p>
        </w:tc>
      </w:tr>
      <w:tr>
        <w:trPr>
          <w:cantSplit/>
        </w:trPr>
        <w:tc>
          <w:tcPr>
            <w:tcW w:w="709" w:type="dxa"/>
          </w:tcPr>
          <w:p>
            <w:pPr>
              <w:pStyle w:val="yTableNAm"/>
              <w:jc w:val="center"/>
            </w:pPr>
            <w:r>
              <w:t>14.</w:t>
            </w:r>
          </w:p>
        </w:tc>
        <w:tc>
          <w:tcPr>
            <w:tcW w:w="4961" w:type="dxa"/>
          </w:tcPr>
          <w:p>
            <w:pPr>
              <w:pStyle w:val="yTableNAm"/>
            </w:pPr>
            <w:r>
              <w:t>Green Head</w:t>
            </w:r>
          </w:p>
        </w:tc>
        <w:tc>
          <w:tcPr>
            <w:tcW w:w="1134" w:type="dxa"/>
            <w:vAlign w:val="bottom"/>
          </w:tcPr>
          <w:p>
            <w:pPr>
              <w:pStyle w:val="yTableNAm"/>
              <w:tabs>
                <w:tab w:val="clear" w:pos="567"/>
                <w:tab w:val="center" w:pos="510"/>
              </w:tabs>
              <w:ind w:left="85" w:right="85"/>
              <w:jc w:val="center"/>
              <w:rPr>
                <w:szCs w:val="22"/>
              </w:rPr>
            </w:pPr>
            <w:r>
              <w:rPr>
                <w:szCs w:val="22"/>
              </w:rPr>
              <w:t>0.059</w:t>
            </w:r>
          </w:p>
        </w:tc>
      </w:tr>
      <w:tr>
        <w:trPr>
          <w:cantSplit/>
        </w:trPr>
        <w:tc>
          <w:tcPr>
            <w:tcW w:w="709" w:type="dxa"/>
          </w:tcPr>
          <w:p>
            <w:pPr>
              <w:pStyle w:val="yTableNAm"/>
              <w:jc w:val="center"/>
            </w:pPr>
            <w:r>
              <w:t>15.</w:t>
            </w:r>
          </w:p>
        </w:tc>
        <w:tc>
          <w:tcPr>
            <w:tcW w:w="4961" w:type="dxa"/>
          </w:tcPr>
          <w:p>
            <w:pPr>
              <w:pStyle w:val="yTableNAm"/>
            </w:pPr>
            <w:r>
              <w:t>Hillarys Boat Harbour</w:t>
            </w:r>
          </w:p>
        </w:tc>
        <w:tc>
          <w:tcPr>
            <w:tcW w:w="1134" w:type="dxa"/>
            <w:vAlign w:val="bottom"/>
          </w:tcPr>
          <w:p>
            <w:pPr>
              <w:pStyle w:val="yTableNAm"/>
              <w:tabs>
                <w:tab w:val="clear" w:pos="567"/>
                <w:tab w:val="center" w:pos="510"/>
              </w:tabs>
              <w:ind w:left="85" w:right="85"/>
              <w:jc w:val="center"/>
              <w:rPr>
                <w:szCs w:val="22"/>
              </w:rPr>
            </w:pPr>
            <w:r>
              <w:rPr>
                <w:szCs w:val="22"/>
              </w:rPr>
              <w:t>0.059</w:t>
            </w:r>
          </w:p>
        </w:tc>
      </w:tr>
      <w:tr>
        <w:trPr>
          <w:cantSplit/>
        </w:trPr>
        <w:tc>
          <w:tcPr>
            <w:tcW w:w="709" w:type="dxa"/>
          </w:tcPr>
          <w:p>
            <w:pPr>
              <w:pStyle w:val="yTableNAm"/>
              <w:jc w:val="center"/>
            </w:pPr>
            <w:r>
              <w:t>16.</w:t>
            </w:r>
          </w:p>
        </w:tc>
        <w:tc>
          <w:tcPr>
            <w:tcW w:w="4961" w:type="dxa"/>
          </w:tcPr>
          <w:p>
            <w:pPr>
              <w:pStyle w:val="yTableNAm"/>
            </w:pPr>
            <w:r>
              <w:t>Hopetoun</w:t>
            </w:r>
          </w:p>
        </w:tc>
        <w:tc>
          <w:tcPr>
            <w:tcW w:w="1134" w:type="dxa"/>
            <w:vAlign w:val="bottom"/>
          </w:tcPr>
          <w:p>
            <w:pPr>
              <w:pStyle w:val="yTableNAm"/>
              <w:tabs>
                <w:tab w:val="clear" w:pos="567"/>
                <w:tab w:val="center" w:pos="510"/>
              </w:tabs>
              <w:ind w:left="85" w:right="85"/>
              <w:jc w:val="center"/>
              <w:rPr>
                <w:szCs w:val="22"/>
              </w:rPr>
            </w:pPr>
            <w:r>
              <w:rPr>
                <w:szCs w:val="22"/>
              </w:rPr>
              <w:t>0.059</w:t>
            </w:r>
          </w:p>
        </w:tc>
      </w:tr>
      <w:tr>
        <w:trPr>
          <w:cantSplit/>
        </w:trPr>
        <w:tc>
          <w:tcPr>
            <w:tcW w:w="709" w:type="dxa"/>
          </w:tcPr>
          <w:p>
            <w:pPr>
              <w:pStyle w:val="yTableNAm"/>
              <w:jc w:val="center"/>
            </w:pPr>
            <w:r>
              <w:t>17.</w:t>
            </w:r>
          </w:p>
        </w:tc>
        <w:tc>
          <w:tcPr>
            <w:tcW w:w="4961" w:type="dxa"/>
          </w:tcPr>
          <w:p>
            <w:pPr>
              <w:pStyle w:val="yTableNAm"/>
            </w:pPr>
            <w:r>
              <w:t>Jurien</w:t>
            </w:r>
          </w:p>
        </w:tc>
        <w:tc>
          <w:tcPr>
            <w:tcW w:w="1134" w:type="dxa"/>
            <w:vAlign w:val="bottom"/>
          </w:tcPr>
          <w:p>
            <w:pPr>
              <w:pStyle w:val="yTableNAm"/>
              <w:tabs>
                <w:tab w:val="clear" w:pos="567"/>
                <w:tab w:val="center" w:pos="510"/>
              </w:tabs>
              <w:ind w:left="85" w:right="85"/>
              <w:jc w:val="center"/>
              <w:rPr>
                <w:szCs w:val="22"/>
              </w:rPr>
            </w:pPr>
            <w:r>
              <w:rPr>
                <w:szCs w:val="22"/>
              </w:rPr>
              <w:t>0.059</w:t>
            </w:r>
          </w:p>
        </w:tc>
      </w:tr>
      <w:tr>
        <w:trPr>
          <w:cantSplit/>
        </w:trPr>
        <w:tc>
          <w:tcPr>
            <w:tcW w:w="709" w:type="dxa"/>
          </w:tcPr>
          <w:p>
            <w:pPr>
              <w:pStyle w:val="yTableNAm"/>
              <w:jc w:val="center"/>
            </w:pPr>
            <w:r>
              <w:t>18.</w:t>
            </w:r>
          </w:p>
        </w:tc>
        <w:tc>
          <w:tcPr>
            <w:tcW w:w="4961" w:type="dxa"/>
          </w:tcPr>
          <w:p>
            <w:pPr>
              <w:pStyle w:val="yTableNAm"/>
            </w:pPr>
            <w:r>
              <w:t>Kalbarri</w:t>
            </w:r>
          </w:p>
        </w:tc>
        <w:tc>
          <w:tcPr>
            <w:tcW w:w="1134" w:type="dxa"/>
            <w:vAlign w:val="bottom"/>
          </w:tcPr>
          <w:p>
            <w:pPr>
              <w:pStyle w:val="yTableNAm"/>
              <w:tabs>
                <w:tab w:val="clear" w:pos="567"/>
                <w:tab w:val="center" w:pos="510"/>
              </w:tabs>
              <w:ind w:left="85" w:right="85"/>
              <w:jc w:val="center"/>
              <w:rPr>
                <w:szCs w:val="22"/>
              </w:rPr>
            </w:pPr>
            <w:r>
              <w:rPr>
                <w:szCs w:val="22"/>
              </w:rPr>
              <w:t>0.059</w:t>
            </w:r>
          </w:p>
        </w:tc>
      </w:tr>
      <w:tr>
        <w:trPr>
          <w:cantSplit/>
        </w:trPr>
        <w:tc>
          <w:tcPr>
            <w:tcW w:w="709" w:type="dxa"/>
          </w:tcPr>
          <w:p>
            <w:pPr>
              <w:pStyle w:val="yTableNAm"/>
              <w:jc w:val="center"/>
            </w:pPr>
            <w:r>
              <w:t>19.</w:t>
            </w:r>
          </w:p>
        </w:tc>
        <w:tc>
          <w:tcPr>
            <w:tcW w:w="4961" w:type="dxa"/>
          </w:tcPr>
          <w:p>
            <w:pPr>
              <w:pStyle w:val="yTableNAm"/>
            </w:pPr>
            <w:r>
              <w:t>Lancelin</w:t>
            </w:r>
          </w:p>
        </w:tc>
        <w:tc>
          <w:tcPr>
            <w:tcW w:w="1134" w:type="dxa"/>
            <w:vAlign w:val="bottom"/>
          </w:tcPr>
          <w:p>
            <w:pPr>
              <w:pStyle w:val="yTableNAm"/>
              <w:tabs>
                <w:tab w:val="clear" w:pos="567"/>
                <w:tab w:val="center" w:pos="510"/>
              </w:tabs>
              <w:ind w:left="85" w:right="85"/>
              <w:jc w:val="center"/>
              <w:rPr>
                <w:szCs w:val="22"/>
              </w:rPr>
            </w:pPr>
            <w:r>
              <w:rPr>
                <w:szCs w:val="22"/>
              </w:rPr>
              <w:t>0.059</w:t>
            </w:r>
          </w:p>
        </w:tc>
      </w:tr>
      <w:tr>
        <w:trPr>
          <w:cantSplit/>
        </w:trPr>
        <w:tc>
          <w:tcPr>
            <w:tcW w:w="709" w:type="dxa"/>
          </w:tcPr>
          <w:p>
            <w:pPr>
              <w:pStyle w:val="yTableNAm"/>
              <w:jc w:val="center"/>
            </w:pPr>
            <w:r>
              <w:t>20.</w:t>
            </w:r>
          </w:p>
        </w:tc>
        <w:tc>
          <w:tcPr>
            <w:tcW w:w="4961" w:type="dxa"/>
          </w:tcPr>
          <w:p>
            <w:pPr>
              <w:pStyle w:val="yTableNAm"/>
            </w:pPr>
            <w:r>
              <w:t>Leeman</w:t>
            </w:r>
          </w:p>
        </w:tc>
        <w:tc>
          <w:tcPr>
            <w:tcW w:w="1134" w:type="dxa"/>
            <w:vAlign w:val="bottom"/>
          </w:tcPr>
          <w:p>
            <w:pPr>
              <w:pStyle w:val="yTableNAm"/>
              <w:tabs>
                <w:tab w:val="clear" w:pos="567"/>
                <w:tab w:val="center" w:pos="510"/>
              </w:tabs>
              <w:ind w:left="85" w:right="85"/>
              <w:jc w:val="center"/>
              <w:rPr>
                <w:szCs w:val="22"/>
              </w:rPr>
            </w:pPr>
            <w:r>
              <w:rPr>
                <w:szCs w:val="22"/>
              </w:rPr>
              <w:t>0.059</w:t>
            </w:r>
          </w:p>
        </w:tc>
      </w:tr>
      <w:tr>
        <w:trPr>
          <w:cantSplit/>
        </w:trPr>
        <w:tc>
          <w:tcPr>
            <w:tcW w:w="709" w:type="dxa"/>
          </w:tcPr>
          <w:p>
            <w:pPr>
              <w:pStyle w:val="yTableNAm"/>
              <w:jc w:val="center"/>
            </w:pPr>
            <w:r>
              <w:t>21.</w:t>
            </w:r>
          </w:p>
        </w:tc>
        <w:tc>
          <w:tcPr>
            <w:tcW w:w="4961" w:type="dxa"/>
          </w:tcPr>
          <w:p>
            <w:pPr>
              <w:pStyle w:val="yTableNAm"/>
            </w:pPr>
            <w:r>
              <w:t>Onslow, at Beadon Creek Boat Harbour</w:t>
            </w:r>
          </w:p>
        </w:tc>
        <w:tc>
          <w:tcPr>
            <w:tcW w:w="1134" w:type="dxa"/>
            <w:vAlign w:val="bottom"/>
          </w:tcPr>
          <w:p>
            <w:pPr>
              <w:pStyle w:val="yTableNAm"/>
              <w:tabs>
                <w:tab w:val="clear" w:pos="567"/>
                <w:tab w:val="center" w:pos="510"/>
              </w:tabs>
              <w:ind w:left="85" w:right="85"/>
              <w:jc w:val="center"/>
              <w:rPr>
                <w:szCs w:val="22"/>
              </w:rPr>
            </w:pPr>
            <w:r>
              <w:rPr>
                <w:szCs w:val="22"/>
              </w:rPr>
              <w:t>0.059</w:t>
            </w:r>
          </w:p>
        </w:tc>
      </w:tr>
      <w:tr>
        <w:trPr>
          <w:cantSplit/>
        </w:trPr>
        <w:tc>
          <w:tcPr>
            <w:tcW w:w="709" w:type="dxa"/>
          </w:tcPr>
          <w:p>
            <w:pPr>
              <w:pStyle w:val="yTableNAm"/>
              <w:jc w:val="center"/>
            </w:pPr>
            <w:r>
              <w:t>22.</w:t>
            </w:r>
          </w:p>
        </w:tc>
        <w:tc>
          <w:tcPr>
            <w:tcW w:w="4961" w:type="dxa"/>
          </w:tcPr>
          <w:p>
            <w:pPr>
              <w:pStyle w:val="yTableNAm"/>
            </w:pPr>
            <w:r>
              <w:t>Point Samson, at Johns Creek Boat Harbour</w:t>
            </w:r>
          </w:p>
        </w:tc>
        <w:tc>
          <w:tcPr>
            <w:tcW w:w="1134" w:type="dxa"/>
            <w:vAlign w:val="bottom"/>
          </w:tcPr>
          <w:p>
            <w:pPr>
              <w:pStyle w:val="yTableNAm"/>
              <w:tabs>
                <w:tab w:val="clear" w:pos="567"/>
                <w:tab w:val="center" w:pos="510"/>
              </w:tabs>
              <w:ind w:left="85" w:right="85"/>
              <w:jc w:val="center"/>
              <w:rPr>
                <w:szCs w:val="22"/>
              </w:rPr>
            </w:pPr>
            <w:r>
              <w:rPr>
                <w:szCs w:val="22"/>
              </w:rPr>
              <w:t>0.059</w:t>
            </w:r>
          </w:p>
        </w:tc>
      </w:tr>
      <w:tr>
        <w:trPr>
          <w:cantSplit/>
        </w:trPr>
        <w:tc>
          <w:tcPr>
            <w:tcW w:w="709" w:type="dxa"/>
          </w:tcPr>
          <w:p>
            <w:pPr>
              <w:pStyle w:val="yTableNAm"/>
              <w:jc w:val="center"/>
            </w:pPr>
            <w:r>
              <w:t>23.</w:t>
            </w:r>
          </w:p>
        </w:tc>
        <w:tc>
          <w:tcPr>
            <w:tcW w:w="4961" w:type="dxa"/>
          </w:tcPr>
          <w:p>
            <w:pPr>
              <w:pStyle w:val="yTableNAm"/>
            </w:pPr>
            <w:r>
              <w:t>Port Denison</w:t>
            </w:r>
          </w:p>
        </w:tc>
        <w:tc>
          <w:tcPr>
            <w:tcW w:w="1134" w:type="dxa"/>
            <w:vAlign w:val="bottom"/>
          </w:tcPr>
          <w:p>
            <w:pPr>
              <w:pStyle w:val="yTableNAm"/>
              <w:tabs>
                <w:tab w:val="clear" w:pos="567"/>
                <w:tab w:val="center" w:pos="510"/>
              </w:tabs>
              <w:ind w:left="85" w:right="85"/>
              <w:jc w:val="center"/>
              <w:rPr>
                <w:szCs w:val="22"/>
              </w:rPr>
            </w:pPr>
            <w:r>
              <w:rPr>
                <w:szCs w:val="22"/>
              </w:rPr>
              <w:t>0.059</w:t>
            </w:r>
          </w:p>
        </w:tc>
      </w:tr>
      <w:tr>
        <w:trPr>
          <w:cantSplit/>
        </w:trPr>
        <w:tc>
          <w:tcPr>
            <w:tcW w:w="709" w:type="dxa"/>
          </w:tcPr>
          <w:p>
            <w:pPr>
              <w:pStyle w:val="yTableNAm"/>
              <w:jc w:val="center"/>
            </w:pPr>
            <w:r>
              <w:t>24.</w:t>
            </w:r>
          </w:p>
        </w:tc>
        <w:tc>
          <w:tcPr>
            <w:tcW w:w="4961" w:type="dxa"/>
          </w:tcPr>
          <w:p>
            <w:pPr>
              <w:pStyle w:val="yTableNAm"/>
            </w:pPr>
            <w:r>
              <w:t>Port Gregory</w:t>
            </w:r>
          </w:p>
        </w:tc>
        <w:tc>
          <w:tcPr>
            <w:tcW w:w="1134" w:type="dxa"/>
            <w:vAlign w:val="bottom"/>
          </w:tcPr>
          <w:p>
            <w:pPr>
              <w:pStyle w:val="yTableNAm"/>
              <w:tabs>
                <w:tab w:val="clear" w:pos="567"/>
                <w:tab w:val="center" w:pos="510"/>
              </w:tabs>
              <w:ind w:left="85" w:right="85"/>
              <w:jc w:val="center"/>
              <w:rPr>
                <w:szCs w:val="22"/>
              </w:rPr>
            </w:pPr>
            <w:r>
              <w:rPr>
                <w:szCs w:val="22"/>
              </w:rPr>
              <w:t>0.059</w:t>
            </w:r>
          </w:p>
        </w:tc>
      </w:tr>
      <w:tr>
        <w:trPr>
          <w:cantSplit/>
        </w:trPr>
        <w:tc>
          <w:tcPr>
            <w:tcW w:w="709" w:type="dxa"/>
          </w:tcPr>
          <w:p>
            <w:pPr>
              <w:pStyle w:val="yTableNAm"/>
              <w:jc w:val="center"/>
            </w:pPr>
            <w:r>
              <w:t>25.</w:t>
            </w:r>
          </w:p>
        </w:tc>
        <w:tc>
          <w:tcPr>
            <w:tcW w:w="4961" w:type="dxa"/>
          </w:tcPr>
          <w:p>
            <w:pPr>
              <w:pStyle w:val="yTableNAm"/>
            </w:pPr>
            <w:r>
              <w:t>Two Rocks Marina</w:t>
            </w:r>
          </w:p>
        </w:tc>
        <w:tc>
          <w:tcPr>
            <w:tcW w:w="1134" w:type="dxa"/>
            <w:vAlign w:val="bottom"/>
          </w:tcPr>
          <w:p>
            <w:pPr>
              <w:pStyle w:val="yTableNAm"/>
              <w:tabs>
                <w:tab w:val="clear" w:pos="567"/>
                <w:tab w:val="center" w:pos="510"/>
              </w:tabs>
              <w:ind w:left="85" w:right="85"/>
              <w:jc w:val="center"/>
              <w:rPr>
                <w:szCs w:val="22"/>
              </w:rPr>
            </w:pPr>
            <w:r>
              <w:rPr>
                <w:szCs w:val="22"/>
              </w:rPr>
              <w:t>0.059</w:t>
            </w:r>
          </w:p>
        </w:tc>
      </w:tr>
      <w:tr>
        <w:trPr>
          <w:cantSplit/>
        </w:trPr>
        <w:tc>
          <w:tcPr>
            <w:tcW w:w="709" w:type="dxa"/>
            <w:tcBorders>
              <w:bottom w:val="single" w:sz="4" w:space="0" w:color="auto"/>
            </w:tcBorders>
          </w:tcPr>
          <w:p>
            <w:pPr>
              <w:pStyle w:val="yTableNAm"/>
              <w:jc w:val="center"/>
            </w:pPr>
            <w:r>
              <w:t>26.</w:t>
            </w:r>
          </w:p>
        </w:tc>
        <w:tc>
          <w:tcPr>
            <w:tcW w:w="4961" w:type="dxa"/>
            <w:tcBorders>
              <w:bottom w:val="single" w:sz="4" w:space="0" w:color="auto"/>
            </w:tcBorders>
          </w:tcPr>
          <w:p>
            <w:pPr>
              <w:pStyle w:val="yTableNAm"/>
            </w:pPr>
            <w:r>
              <w:t>Wyndham</w:t>
            </w:r>
          </w:p>
        </w:tc>
        <w:tc>
          <w:tcPr>
            <w:tcW w:w="1134" w:type="dxa"/>
            <w:tcBorders>
              <w:bottom w:val="single" w:sz="4" w:space="0" w:color="auto"/>
            </w:tcBorders>
            <w:vAlign w:val="bottom"/>
          </w:tcPr>
          <w:p>
            <w:pPr>
              <w:pStyle w:val="yTableNAm"/>
              <w:tabs>
                <w:tab w:val="clear" w:pos="567"/>
                <w:tab w:val="center" w:pos="510"/>
              </w:tabs>
              <w:ind w:left="85" w:right="85"/>
              <w:jc w:val="center"/>
            </w:pPr>
            <w:r>
              <w:rPr>
                <w:szCs w:val="22"/>
              </w:rPr>
              <w:t>0.01174</w:t>
            </w:r>
          </w:p>
        </w:tc>
      </w:tr>
    </w:tbl>
    <w:p>
      <w:pPr>
        <w:pStyle w:val="yFootnotesection"/>
      </w:pPr>
      <w:r>
        <w:tab/>
        <w:t>[Schedule 2 inserted: Gazette 31 May 2019 p. 1788</w:t>
      </w:r>
      <w:r>
        <w:noBreakHyphen/>
        <w:t>9.]</w:t>
      </w:r>
    </w:p>
    <w:p>
      <w:pPr>
        <w:pStyle w:val="yScheduleHeading"/>
      </w:pPr>
      <w:bookmarkStart w:id="332" w:name="_Toc11766700"/>
      <w:bookmarkStart w:id="333" w:name="_Toc11768641"/>
      <w:bookmarkStart w:id="334" w:name="_Toc11828432"/>
      <w:bookmarkStart w:id="335" w:name="_Toc12028198"/>
      <w:bookmarkStart w:id="336" w:name="_Toc12881396"/>
      <w:r>
        <w:rPr>
          <w:rStyle w:val="CharSchNo"/>
        </w:rPr>
        <w:t>Schedule 3</w:t>
      </w:r>
      <w:r>
        <w:t> — </w:t>
      </w:r>
      <w:r>
        <w:rPr>
          <w:rStyle w:val="CharSchText"/>
        </w:rPr>
        <w:t>Port of Perth charges</w:t>
      </w:r>
      <w:bookmarkEnd w:id="332"/>
      <w:bookmarkEnd w:id="333"/>
      <w:bookmarkEnd w:id="334"/>
      <w:bookmarkEnd w:id="335"/>
      <w:bookmarkEnd w:id="336"/>
    </w:p>
    <w:p>
      <w:pPr>
        <w:pStyle w:val="yShoulderClause"/>
      </w:pPr>
      <w:r>
        <w:t>[r. 72(3) and 78A]</w:t>
      </w:r>
    </w:p>
    <w:p>
      <w:pPr>
        <w:pStyle w:val="yFootnoteheading"/>
        <w:rPr>
          <w:snapToGrid w:val="0"/>
        </w:rPr>
      </w:pPr>
      <w:r>
        <w:rPr>
          <w:snapToGrid w:val="0"/>
        </w:rPr>
        <w:tab/>
        <w:t xml:space="preserve">[Heading inserted: Gazette </w:t>
      </w:r>
      <w:r>
        <w:t>31 May 2019 p. 1789</w:t>
      </w:r>
      <w:r>
        <w:rPr>
          <w:snapToGrid w:val="0"/>
        </w:rPr>
        <w:t>.]</w:t>
      </w:r>
    </w:p>
    <w:p>
      <w:pPr>
        <w:pStyle w:val="yHeading3"/>
      </w:pPr>
      <w:bookmarkStart w:id="337" w:name="_Toc11766701"/>
      <w:bookmarkStart w:id="338" w:name="_Toc11768642"/>
      <w:bookmarkStart w:id="339" w:name="_Toc11828433"/>
      <w:bookmarkStart w:id="340" w:name="_Toc12028199"/>
      <w:bookmarkStart w:id="341" w:name="_Toc12881397"/>
      <w:r>
        <w:rPr>
          <w:rStyle w:val="CharSDivNo"/>
        </w:rPr>
        <w:t>Division 1</w:t>
      </w:r>
      <w:r>
        <w:t> — </w:t>
      </w:r>
      <w:r>
        <w:rPr>
          <w:rStyle w:val="CharSDivText"/>
        </w:rPr>
        <w:t>Preliminary matters</w:t>
      </w:r>
      <w:bookmarkEnd w:id="337"/>
      <w:bookmarkEnd w:id="338"/>
      <w:bookmarkEnd w:id="339"/>
      <w:bookmarkEnd w:id="340"/>
      <w:bookmarkEnd w:id="341"/>
    </w:p>
    <w:p>
      <w:pPr>
        <w:pStyle w:val="yFootnoteheading"/>
        <w:rPr>
          <w:snapToGrid w:val="0"/>
        </w:rPr>
      </w:pPr>
      <w:r>
        <w:rPr>
          <w:snapToGrid w:val="0"/>
        </w:rPr>
        <w:tab/>
        <w:t xml:space="preserve">[Heading inserted: Gazette </w:t>
      </w:r>
      <w:r>
        <w:t>31 May 2019 p. 1789</w:t>
      </w:r>
      <w:r>
        <w:rPr>
          <w:snapToGrid w:val="0"/>
        </w:rPr>
        <w:t>.]</w:t>
      </w:r>
    </w:p>
    <w:p>
      <w:pPr>
        <w:pStyle w:val="yHeading5"/>
      </w:pPr>
      <w:bookmarkStart w:id="342" w:name="_Toc12881398"/>
      <w:r>
        <w:rPr>
          <w:rStyle w:val="CharSClsNo"/>
        </w:rPr>
        <w:t>1</w:t>
      </w:r>
      <w:r>
        <w:t>.</w:t>
      </w:r>
      <w:r>
        <w:tab/>
        <w:t>Application of this Schedule</w:t>
      </w:r>
      <w:bookmarkEnd w:id="342"/>
    </w:p>
    <w:p>
      <w:pPr>
        <w:pStyle w:val="ySubsection"/>
      </w:pPr>
      <w:r>
        <w:tab/>
      </w:r>
      <w:r>
        <w:tab/>
        <w:t>The charges in this Schedule apply to the places specified in this Schedule in addition to the charges that apply State</w:t>
      </w:r>
      <w:r>
        <w:noBreakHyphen/>
        <w:t>wide under Schedule 1 Division 3.</w:t>
      </w:r>
    </w:p>
    <w:p>
      <w:pPr>
        <w:pStyle w:val="yFootnotesection"/>
      </w:pPr>
      <w:r>
        <w:tab/>
        <w:t>[Clause 1 inserted: Gazette 31 May 2019 p. 1789.]</w:t>
      </w:r>
    </w:p>
    <w:p>
      <w:pPr>
        <w:pStyle w:val="yHeading5"/>
      </w:pPr>
      <w:bookmarkStart w:id="343" w:name="_Toc12881399"/>
      <w:r>
        <w:rPr>
          <w:rStyle w:val="CharSClsNo"/>
        </w:rPr>
        <w:t>2</w:t>
      </w:r>
      <w:r>
        <w:t>.</w:t>
      </w:r>
      <w:r>
        <w:tab/>
        <w:t>Standard rates for this Schedule</w:t>
      </w:r>
      <w:bookmarkEnd w:id="343"/>
    </w:p>
    <w:p>
      <w:pPr>
        <w:pStyle w:val="ySubsection"/>
      </w:pPr>
      <w:r>
        <w:tab/>
      </w:r>
      <w:r>
        <w:tab/>
        <w:t xml:space="preserve">In this Schedule, the following rates are standard rates — </w:t>
      </w:r>
    </w:p>
    <w:p>
      <w:pPr>
        <w:pStyle w:val="ySubsection"/>
        <w:rPr>
          <w:bCs/>
        </w:rPr>
      </w:pPr>
      <w:r>
        <w:rPr>
          <w:bCs/>
        </w:rPr>
        <w:tab/>
      </w:r>
      <w:r>
        <w:rPr>
          <w:bCs/>
        </w:rPr>
        <w:tab/>
      </w:r>
      <w:r>
        <w:rPr>
          <w:b/>
        </w:rPr>
        <w:t>Rate 1: a casual daily rate of $7.65 per metre of the vessel’s length</w:t>
      </w:r>
    </w:p>
    <w:p>
      <w:pPr>
        <w:pStyle w:val="ySubsection"/>
      </w:pPr>
      <w:r>
        <w:tab/>
      </w:r>
      <w:r>
        <w:tab/>
        <w:t>Typically used to calculate the standard daily rate for casual use of a pen or alongside berth (whether or not the alongside berth is on a service jetty) for a commercial vessel.</w:t>
      </w:r>
    </w:p>
    <w:p>
      <w:pPr>
        <w:pStyle w:val="ySubsection"/>
        <w:rPr>
          <w:bCs/>
        </w:rPr>
      </w:pPr>
      <w:r>
        <w:rPr>
          <w:bCs/>
        </w:rPr>
        <w:tab/>
      </w:r>
      <w:r>
        <w:rPr>
          <w:bCs/>
        </w:rPr>
        <w:tab/>
      </w:r>
      <w:r>
        <w:rPr>
          <w:b/>
        </w:rPr>
        <w:t>Rate 2: a casual daily rate of $54.00</w:t>
      </w:r>
      <w:r>
        <w:rPr>
          <w:bCs/>
        </w:rPr>
        <w:t xml:space="preserve"> </w:t>
      </w:r>
    </w:p>
    <w:p>
      <w:pPr>
        <w:pStyle w:val="ySubsection"/>
      </w:pPr>
      <w:r>
        <w:tab/>
      </w:r>
      <w:r>
        <w:tab/>
        <w:t>Typically used to calculate the standard daily rate for casual use of a pen or alongside berth (whether or not the alongside berth is on a service jetty) for a recreational vessel.</w:t>
      </w:r>
    </w:p>
    <w:p>
      <w:pPr>
        <w:pStyle w:val="ySubsection"/>
        <w:rPr>
          <w:b/>
        </w:rPr>
      </w:pPr>
      <w:r>
        <w:rPr>
          <w:bCs/>
        </w:rPr>
        <w:tab/>
      </w:r>
      <w:r>
        <w:rPr>
          <w:bCs/>
        </w:rPr>
        <w:tab/>
      </w:r>
      <w:r>
        <w:rPr>
          <w:b/>
        </w:rPr>
        <w:t>Rate 3: an annual rate of $86.70 per metre of the vessel’s length</w:t>
      </w:r>
    </w:p>
    <w:p>
      <w:pPr>
        <w:pStyle w:val="ySubsection"/>
      </w:pPr>
      <w:r>
        <w:tab/>
      </w:r>
      <w:r>
        <w:tab/>
        <w:t>Typically used to calculate the standard annual rate for short term use of a service jetty for a vessel.</w:t>
      </w:r>
    </w:p>
    <w:p>
      <w:pPr>
        <w:pStyle w:val="yFootnotesection"/>
      </w:pPr>
      <w:r>
        <w:tab/>
        <w:t>[Clause 2 inserted: Gazette 31 May 2019 p. 1789</w:t>
      </w:r>
      <w:r>
        <w:noBreakHyphen/>
        <w:t>90.]</w:t>
      </w:r>
    </w:p>
    <w:p>
      <w:pPr>
        <w:pStyle w:val="yHeading5"/>
      </w:pPr>
      <w:bookmarkStart w:id="344" w:name="_Toc12881400"/>
      <w:r>
        <w:rPr>
          <w:rStyle w:val="CharSClsNo"/>
        </w:rPr>
        <w:t>3</w:t>
      </w:r>
      <w:r>
        <w:t>.</w:t>
      </w:r>
      <w:r>
        <w:tab/>
        <w:t>Transferability of annual payments</w:t>
      </w:r>
      <w:bookmarkEnd w:id="344"/>
    </w:p>
    <w:p>
      <w:pPr>
        <w:pStyle w:val="ySubsection"/>
      </w:pPr>
      <w:r>
        <w:tab/>
        <w:t>(1)</w:t>
      </w:r>
      <w:r>
        <w:tab/>
        <w:t xml:space="preserve">A vessel for which there has been paid an annual amount to the Department for short term use of a service jetty at a place specified in this Schedule, may use a service jetty for up to an hour in a day at any other place specified in this Schedule or at a place specified in Schedule 1 (excluding the Port of Wyndham). </w:t>
      </w:r>
    </w:p>
    <w:p>
      <w:pPr>
        <w:pStyle w:val="ySubsection"/>
      </w:pPr>
      <w:r>
        <w:tab/>
        <w:t>(2)</w:t>
      </w:r>
      <w:r>
        <w:tab/>
        <w:t xml:space="preserve">A vessel for which there has been paid an amount to the Department for annual use of a pen, alongside berth or mooring at a place specified in this Schedule, may use a service jetty for up to an hour in a day at any other place specified in this Schedule or at a place specified in Schedule 1 (excluding the Port of Wyndham). </w:t>
      </w:r>
    </w:p>
    <w:p>
      <w:pPr>
        <w:pStyle w:val="yFootnotesection"/>
      </w:pPr>
      <w:r>
        <w:tab/>
        <w:t>[Clause 3 inserted: Gazette 31 May 2019 p. 1790.]</w:t>
      </w:r>
    </w:p>
    <w:p>
      <w:pPr>
        <w:pStyle w:val="yHeading5"/>
      </w:pPr>
      <w:bookmarkStart w:id="345" w:name="_Toc12881401"/>
      <w:r>
        <w:rPr>
          <w:rStyle w:val="CharSClsNo"/>
        </w:rPr>
        <w:t>4</w:t>
      </w:r>
      <w:r>
        <w:t>.</w:t>
      </w:r>
      <w:r>
        <w:tab/>
        <w:t>Service jetty entitlements</w:t>
      </w:r>
      <w:bookmarkEnd w:id="345"/>
    </w:p>
    <w:p>
      <w:pPr>
        <w:pStyle w:val="ySubsection"/>
      </w:pPr>
      <w:r>
        <w:tab/>
      </w:r>
      <w:r>
        <w:tab/>
        <w:t>A vessel for which there has been paid an amount to the Department for use of a pen, alongside berth or mooring at a place specified in this Schedule may have access to a service jetty for up to an hour in a day for the duration of its stay at that place.</w:t>
      </w:r>
    </w:p>
    <w:p>
      <w:pPr>
        <w:pStyle w:val="yFootnotesection"/>
      </w:pPr>
      <w:r>
        <w:tab/>
        <w:t>[Clause 4 inserted: Gazette 31 May 2019 p. 1790.]</w:t>
      </w:r>
    </w:p>
    <w:p>
      <w:pPr>
        <w:pStyle w:val="yHeading5"/>
      </w:pPr>
      <w:bookmarkStart w:id="346" w:name="_Toc12881402"/>
      <w:r>
        <w:rPr>
          <w:rStyle w:val="CharSClsNo"/>
        </w:rPr>
        <w:t>5</w:t>
      </w:r>
      <w:r>
        <w:t>.</w:t>
      </w:r>
      <w:r>
        <w:tab/>
        <w:t>Active loading and unloading</w:t>
      </w:r>
      <w:bookmarkEnd w:id="346"/>
    </w:p>
    <w:p>
      <w:pPr>
        <w:pStyle w:val="ySubsection"/>
      </w:pPr>
      <w:r>
        <w:tab/>
      </w:r>
      <w:r>
        <w:tab/>
        <w:t xml:space="preserve">A fishing vessel to which clause 3 or 4 applies may remain at a service jetty for longer than the time allowed under that clause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5 inserted: Gazette 31 May 2019 p. 1791.]</w:t>
      </w:r>
    </w:p>
    <w:p>
      <w:pPr>
        <w:pStyle w:val="yHeading3"/>
      </w:pPr>
      <w:bookmarkStart w:id="347" w:name="_Toc11766707"/>
      <w:bookmarkStart w:id="348" w:name="_Toc11768648"/>
      <w:bookmarkStart w:id="349" w:name="_Toc11828439"/>
      <w:bookmarkStart w:id="350" w:name="_Toc12028205"/>
      <w:bookmarkStart w:id="351" w:name="_Toc12881403"/>
      <w:r>
        <w:rPr>
          <w:rStyle w:val="CharSDivNo"/>
        </w:rPr>
        <w:t>Division 2</w:t>
      </w:r>
      <w:r>
        <w:t> — </w:t>
      </w:r>
      <w:r>
        <w:rPr>
          <w:rStyle w:val="CharSDivText"/>
        </w:rPr>
        <w:t>Charges for jetties on Swan and Canning Rivers</w:t>
      </w:r>
      <w:bookmarkEnd w:id="347"/>
      <w:bookmarkEnd w:id="348"/>
      <w:bookmarkEnd w:id="349"/>
      <w:bookmarkEnd w:id="350"/>
      <w:bookmarkEnd w:id="351"/>
    </w:p>
    <w:p>
      <w:pPr>
        <w:pStyle w:val="yFootnoteheading"/>
        <w:rPr>
          <w:snapToGrid w:val="0"/>
        </w:rPr>
      </w:pPr>
      <w:r>
        <w:rPr>
          <w:snapToGrid w:val="0"/>
        </w:rPr>
        <w:tab/>
        <w:t xml:space="preserve">[Heading inserted: Gazette </w:t>
      </w:r>
      <w:r>
        <w:t>31 May 2019 p. 1791</w:t>
      </w:r>
      <w:r>
        <w:rPr>
          <w:snapToGrid w:val="0"/>
        </w:rPr>
        <w:t>.]</w:t>
      </w:r>
    </w:p>
    <w:p>
      <w:pPr>
        <w:pStyle w:val="yHeading5"/>
      </w:pPr>
      <w:bookmarkStart w:id="352" w:name="_Toc12881404"/>
      <w:r>
        <w:rPr>
          <w:rStyle w:val="CharSClsNo"/>
        </w:rPr>
        <w:t>6</w:t>
      </w:r>
      <w:r>
        <w:t>.</w:t>
      </w:r>
      <w:r>
        <w:tab/>
        <w:t xml:space="preserve">Barrack Street and </w:t>
      </w:r>
      <w:smartTag w:uri="urn:schemas-microsoft-com:office:smarttags" w:element="Street">
        <w:smartTag w:uri="urn:schemas-microsoft-com:office:smarttags" w:element="address">
          <w:r>
            <w:t>Mends Street</w:t>
          </w:r>
        </w:smartTag>
      </w:smartTag>
      <w:r>
        <w:t xml:space="preserve"> jetties</w:t>
      </w:r>
      <w:bookmarkEnd w:id="352"/>
    </w:p>
    <w:p>
      <w:pPr>
        <w:pStyle w:val="ySubsection"/>
      </w:pPr>
      <w:r>
        <w:tab/>
        <w:t>(1)</w:t>
      </w:r>
      <w:r>
        <w:tab/>
        <w:t xml:space="preserve">This clause applies to jetties at </w:t>
      </w:r>
      <w:smartTag w:uri="urn:schemas-microsoft-com:office:smarttags" w:element="Street">
        <w:smartTag w:uri="urn:schemas-microsoft-com:office:smarttags" w:element="address">
          <w:r>
            <w:t>Barrack Street</w:t>
          </w:r>
        </w:smartTag>
      </w:smartTag>
      <w:r>
        <w:t xml:space="preserve"> and </w:t>
      </w:r>
      <w:smartTag w:uri="urn:schemas-microsoft-com:office:smarttags" w:element="Street">
        <w:smartTag w:uri="urn:schemas-microsoft-com:office:smarttags" w:element="address">
          <w:r>
            <w:t>Mends Street</w:t>
          </w:r>
        </w:smartTag>
      </w:smartTag>
      <w:r>
        <w:t>.</w:t>
      </w:r>
    </w:p>
    <w:p>
      <w:pPr>
        <w:pStyle w:val="ySubsection"/>
        <w:keepNext/>
      </w:pPr>
      <w:r>
        <w:tab/>
        <w:t>(2)</w:t>
      </w:r>
      <w:r>
        <w:tab/>
        <w:t xml:space="preserve">The charge payable under regulation 72 for a permit to use a jetty is set out in the Table. </w:t>
      </w:r>
    </w:p>
    <w:p>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tabs>
                <w:tab w:val="clear" w:pos="567"/>
                <w:tab w:val="left" w:pos="362"/>
              </w:tabs>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tabs>
                <w:tab w:val="clear" w:pos="567"/>
                <w:tab w:val="left" w:pos="362"/>
              </w:tabs>
            </w:pPr>
            <w:r>
              <w:t xml:space="preserve">For a vessel for 12 months — the higher of </w:t>
            </w:r>
            <w:r>
              <w:rPr>
                <w:szCs w:val="22"/>
              </w:rPr>
              <w:t>$4 689.20</w:t>
            </w:r>
            <w:r>
              <w:t xml:space="preserve"> and the result of the following calculation —</w:t>
            </w:r>
          </w:p>
        </w:tc>
      </w:tr>
      <w:tr>
        <w:trPr>
          <w:cantSplit/>
        </w:trPr>
        <w:tc>
          <w:tcPr>
            <w:tcW w:w="709" w:type="dxa"/>
          </w:tcPr>
          <w:p>
            <w:pPr>
              <w:pStyle w:val="yTableNAm"/>
              <w:jc w:val="center"/>
            </w:pPr>
          </w:p>
        </w:tc>
        <w:tc>
          <w:tcPr>
            <w:tcW w:w="6095" w:type="dxa"/>
          </w:tcPr>
          <w:p>
            <w:pPr>
              <w:pStyle w:val="yTableNAm"/>
              <w:tabs>
                <w:tab w:val="clear" w:pos="567"/>
                <w:tab w:val="left" w:pos="362"/>
              </w:tabs>
              <w:ind w:left="362" w:hanging="362"/>
            </w:pPr>
            <w:r>
              <w:t>•</w:t>
            </w:r>
            <w:r>
              <w:tab/>
            </w:r>
            <w:r>
              <w:rPr>
                <w:szCs w:val="22"/>
              </w:rPr>
              <w:t>$65.55</w:t>
            </w:r>
            <w:r>
              <w:t xml:space="preserve"> per passenger calculated on the vessel’s passenger carrying capacity under its highest class of survey</w:t>
            </w:r>
          </w:p>
        </w:tc>
      </w:tr>
      <w:tr>
        <w:trPr>
          <w:cantSplit/>
        </w:trPr>
        <w:tc>
          <w:tcPr>
            <w:tcW w:w="709" w:type="dxa"/>
          </w:tcPr>
          <w:p>
            <w:pPr>
              <w:pStyle w:val="yTableNAm"/>
              <w:jc w:val="center"/>
            </w:pPr>
          </w:p>
        </w:tc>
        <w:tc>
          <w:tcPr>
            <w:tcW w:w="6095" w:type="dxa"/>
          </w:tcPr>
          <w:p>
            <w:pPr>
              <w:pStyle w:val="yTableNAm"/>
              <w:tabs>
                <w:tab w:val="clear" w:pos="567"/>
                <w:tab w:val="left" w:pos="362"/>
              </w:tabs>
            </w:pPr>
            <w:r>
              <w:t>•</w:t>
            </w:r>
            <w:r>
              <w:tab/>
              <w:t>plus —</w:t>
            </w:r>
          </w:p>
        </w:tc>
      </w:tr>
      <w:tr>
        <w:trPr>
          <w:cantSplit/>
        </w:trPr>
        <w:tc>
          <w:tcPr>
            <w:tcW w:w="709" w:type="dxa"/>
          </w:tcPr>
          <w:p>
            <w:pPr>
              <w:pStyle w:val="yTableNAm"/>
              <w:jc w:val="center"/>
            </w:pPr>
          </w:p>
        </w:tc>
        <w:tc>
          <w:tcPr>
            <w:tcW w:w="6095" w:type="dxa"/>
          </w:tcPr>
          <w:p>
            <w:pPr>
              <w:pStyle w:val="yTableNAm"/>
              <w:tabs>
                <w:tab w:val="clear" w:pos="567"/>
                <w:tab w:val="left" w:pos="1070"/>
              </w:tabs>
              <w:ind w:left="1070" w:hanging="425"/>
            </w:pPr>
            <w:r>
              <w:t>◦</w:t>
            </w:r>
            <w:r>
              <w:tab/>
              <w:t xml:space="preserve">for a vessel less than 35 m long, the higher of </w:t>
            </w:r>
            <w:r>
              <w:rPr>
                <w:szCs w:val="22"/>
              </w:rPr>
              <w:t>$8 439.70</w:t>
            </w:r>
            <w:r>
              <w:t xml:space="preserve"> and </w:t>
            </w:r>
            <w:r>
              <w:rPr>
                <w:szCs w:val="22"/>
              </w:rPr>
              <w:t>$468.85</w:t>
            </w:r>
            <w:r>
              <w:t xml:space="preserve"> per metre of the vessel’s length; or</w:t>
            </w:r>
          </w:p>
        </w:tc>
      </w:tr>
      <w:tr>
        <w:trPr>
          <w:cantSplit/>
        </w:trPr>
        <w:tc>
          <w:tcPr>
            <w:tcW w:w="709" w:type="dxa"/>
          </w:tcPr>
          <w:p>
            <w:pPr>
              <w:pStyle w:val="yTableNAm"/>
              <w:jc w:val="center"/>
            </w:pPr>
          </w:p>
        </w:tc>
        <w:tc>
          <w:tcPr>
            <w:tcW w:w="6095" w:type="dxa"/>
          </w:tcPr>
          <w:p>
            <w:pPr>
              <w:pStyle w:val="yTableNAm"/>
              <w:tabs>
                <w:tab w:val="clear" w:pos="567"/>
                <w:tab w:val="left" w:pos="1070"/>
              </w:tabs>
              <w:ind w:left="1070" w:hanging="425"/>
            </w:pPr>
            <w:r>
              <w:t>◦</w:t>
            </w:r>
            <w:r>
              <w:tab/>
              <w:t xml:space="preserve">for a vessel 35 m </w:t>
            </w:r>
            <w:r>
              <w:rPr>
                <w:szCs w:val="22"/>
              </w:rPr>
              <w:t>long</w:t>
            </w:r>
            <w:r>
              <w:t xml:space="preserve"> or over, </w:t>
            </w:r>
            <w:r>
              <w:rPr>
                <w:szCs w:val="22"/>
              </w:rPr>
              <w:t>$750.30</w:t>
            </w:r>
            <w:r>
              <w:t xml:space="preserve"> per metre of the vessel’s length</w:t>
            </w:r>
          </w:p>
        </w:tc>
      </w:tr>
      <w:tr>
        <w:trPr>
          <w:cantSplit/>
        </w:trPr>
        <w:tc>
          <w:tcPr>
            <w:tcW w:w="709" w:type="dxa"/>
            <w:tcBorders>
              <w:bottom w:val="single" w:sz="4" w:space="0" w:color="auto"/>
            </w:tcBorders>
          </w:tcPr>
          <w:p>
            <w:pPr>
              <w:pStyle w:val="yTableNAm"/>
              <w:jc w:val="center"/>
            </w:pPr>
          </w:p>
        </w:tc>
        <w:tc>
          <w:tcPr>
            <w:tcW w:w="6095" w:type="dxa"/>
            <w:tcBorders>
              <w:bottom w:val="single" w:sz="4" w:space="0" w:color="auto"/>
            </w:tcBorders>
          </w:tcPr>
          <w:p>
            <w:pPr>
              <w:pStyle w:val="yTableNAm"/>
              <w:tabs>
                <w:tab w:val="clear" w:pos="567"/>
                <w:tab w:val="left" w:pos="362"/>
              </w:tabs>
              <w:rPr>
                <w:szCs w:val="22"/>
              </w:rPr>
            </w:pPr>
            <w:r>
              <w:t>•</w:t>
            </w:r>
            <w:r>
              <w:tab/>
              <w:t xml:space="preserve">minus — </w:t>
            </w:r>
            <w:r>
              <w:rPr>
                <w:szCs w:val="22"/>
              </w:rPr>
              <w:t>$6 564.25</w:t>
            </w:r>
          </w:p>
        </w:tc>
      </w:tr>
    </w:tbl>
    <w:p>
      <w:pPr>
        <w:pStyle w:val="ySubsection"/>
      </w:pPr>
      <w:r>
        <w:tab/>
        <w:t>(3)</w:t>
      </w:r>
      <w:r>
        <w:tab/>
        <w:t>The charge payable under regulation 78A for the removal of sullage from a vessel is set out in the Table.</w:t>
      </w:r>
    </w:p>
    <w:p>
      <w:pPr>
        <w:pStyle w:val="yTHeadingNAm"/>
      </w:pPr>
      <w:r>
        <w:t>Sullage removal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5103" w:type="dxa"/>
            <w:tcBorders>
              <w:top w:val="single" w:sz="4" w:space="0" w:color="auto"/>
              <w:bottom w:val="single" w:sz="4" w:space="0" w:color="auto"/>
            </w:tcBorders>
          </w:tcPr>
          <w:p>
            <w:pPr>
              <w:pStyle w:val="yTableNAm"/>
              <w:jc w:val="center"/>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blHeader/>
        </w:trPr>
        <w:tc>
          <w:tcPr>
            <w:tcW w:w="709" w:type="dxa"/>
            <w:tcBorders>
              <w:top w:val="single" w:sz="4" w:space="0" w:color="auto"/>
              <w:bottom w:val="single" w:sz="4" w:space="0" w:color="auto"/>
            </w:tcBorders>
          </w:tcPr>
          <w:p>
            <w:pPr>
              <w:pStyle w:val="yTableNAm"/>
              <w:jc w:val="center"/>
            </w:pPr>
            <w:r>
              <w:t>1.</w:t>
            </w:r>
          </w:p>
        </w:tc>
        <w:tc>
          <w:tcPr>
            <w:tcW w:w="5103" w:type="dxa"/>
            <w:tcBorders>
              <w:top w:val="single" w:sz="4" w:space="0" w:color="auto"/>
              <w:bottom w:val="single" w:sz="4" w:space="0" w:color="auto"/>
            </w:tcBorders>
          </w:tcPr>
          <w:p>
            <w:pPr>
              <w:pStyle w:val="yTableNAm"/>
            </w:pPr>
            <w:r>
              <w:t>For removal of sullage (per pump out)</w:t>
            </w:r>
          </w:p>
        </w:tc>
        <w:tc>
          <w:tcPr>
            <w:tcW w:w="992" w:type="dxa"/>
            <w:tcBorders>
              <w:top w:val="single" w:sz="4" w:space="0" w:color="auto"/>
              <w:bottom w:val="single" w:sz="4" w:space="0" w:color="auto"/>
            </w:tcBorders>
          </w:tcPr>
          <w:p>
            <w:pPr>
              <w:pStyle w:val="yTableNAm"/>
              <w:jc w:val="center"/>
            </w:pPr>
            <w:r>
              <w:t>93.75</w:t>
            </w:r>
          </w:p>
        </w:tc>
      </w:tr>
    </w:tbl>
    <w:p>
      <w:pPr>
        <w:pStyle w:val="ySubsection"/>
      </w:pPr>
      <w:r>
        <w:tab/>
        <w:t>(4)</w:t>
      </w:r>
      <w:r>
        <w:tab/>
        <w:t>Subclause (3) does not apply if the charge referred to in subclause (2) has been paid in respect of the vessel.</w:t>
      </w:r>
    </w:p>
    <w:p>
      <w:pPr>
        <w:pStyle w:val="yFootnotesection"/>
      </w:pPr>
      <w:r>
        <w:tab/>
        <w:t>[Clause 6 inserted: Gazette 31 May 2019 p. 1791</w:t>
      </w:r>
      <w:r>
        <w:noBreakHyphen/>
        <w:t>2.]</w:t>
      </w:r>
    </w:p>
    <w:p>
      <w:pPr>
        <w:pStyle w:val="yHeading5"/>
      </w:pPr>
      <w:bookmarkStart w:id="353" w:name="_Toc12881405"/>
      <w:r>
        <w:rPr>
          <w:rStyle w:val="CharSClsNo"/>
        </w:rPr>
        <w:t>7</w:t>
      </w:r>
      <w:r>
        <w:t>.</w:t>
      </w:r>
      <w:r>
        <w:tab/>
        <w:t xml:space="preserve">Other jetties on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bookmarkEnd w:id="353"/>
    </w:p>
    <w:p>
      <w:pPr>
        <w:pStyle w:val="ySubsection"/>
      </w:pPr>
      <w:r>
        <w:tab/>
        <w:t>(1)</w:t>
      </w:r>
      <w:r>
        <w:tab/>
        <w:t xml:space="preserve">This clause applies to jetties on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other than at </w:t>
      </w:r>
      <w:smartTag w:uri="urn:schemas-microsoft-com:office:smarttags" w:element="Street">
        <w:smartTag w:uri="urn:schemas-microsoft-com:office:smarttags" w:element="address">
          <w:r>
            <w:t>Barrack Street</w:t>
          </w:r>
        </w:smartTag>
      </w:smartTag>
      <w:r>
        <w:t xml:space="preserve"> or </w:t>
      </w:r>
      <w:smartTag w:uri="urn:schemas-microsoft-com:office:smarttags" w:element="Street">
        <w:smartTag w:uri="urn:schemas-microsoft-com:office:smarttags" w:element="address">
          <w:r>
            <w:t>Mends Street</w:t>
          </w:r>
        </w:smartTag>
      </w:smartTag>
      <w:r>
        <w:t>.</w:t>
      </w:r>
    </w:p>
    <w:p>
      <w:pPr>
        <w:pStyle w:val="ySubsection"/>
        <w:keepNext/>
      </w:pPr>
      <w:r>
        <w:tab/>
        <w:t>(2)</w:t>
      </w:r>
      <w:r>
        <w:tab/>
        <w:t xml:space="preserve">The charge payable under regulation 72 for a permit to use a jetty is set out in the Table. </w:t>
      </w:r>
    </w:p>
    <w:p>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Borders>
              <w:top w:val="single" w:sz="4" w:space="0" w:color="auto"/>
              <w:bottom w:val="single" w:sz="4" w:space="0" w:color="auto"/>
            </w:tcBorders>
          </w:tcPr>
          <w:p>
            <w:pPr>
              <w:pStyle w:val="yTableNAm"/>
              <w:jc w:val="center"/>
            </w:pPr>
            <w:r>
              <w:t>1.</w:t>
            </w:r>
          </w:p>
        </w:tc>
        <w:tc>
          <w:tcPr>
            <w:tcW w:w="6095" w:type="dxa"/>
            <w:tcBorders>
              <w:top w:val="single" w:sz="4" w:space="0" w:color="auto"/>
              <w:bottom w:val="single" w:sz="4" w:space="0" w:color="auto"/>
            </w:tcBorders>
          </w:tcPr>
          <w:p>
            <w:pPr>
              <w:pStyle w:val="yTableNAm"/>
            </w:pPr>
            <w:r>
              <w:t>For short term use by a vessel, an amount calculated using standard Rate 3</w:t>
            </w:r>
          </w:p>
        </w:tc>
      </w:tr>
    </w:tbl>
    <w:p>
      <w:pPr>
        <w:pStyle w:val="yFootnotesection"/>
      </w:pPr>
      <w:r>
        <w:tab/>
        <w:t>[Clause 7 inserted: Gazette 31 May 2019 p. 1792.]</w:t>
      </w:r>
    </w:p>
    <w:p>
      <w:pPr>
        <w:pStyle w:val="yHeading3"/>
      </w:pPr>
      <w:bookmarkStart w:id="354" w:name="_Toc11766710"/>
      <w:bookmarkStart w:id="355" w:name="_Toc11768651"/>
      <w:bookmarkStart w:id="356" w:name="_Toc11828442"/>
      <w:bookmarkStart w:id="357" w:name="_Toc12028208"/>
      <w:bookmarkStart w:id="358" w:name="_Toc12881406"/>
      <w:r>
        <w:rPr>
          <w:rStyle w:val="CharSDivNo"/>
        </w:rPr>
        <w:t>Division 3</w:t>
      </w:r>
      <w:r>
        <w:t> — </w:t>
      </w:r>
      <w:r>
        <w:rPr>
          <w:rStyle w:val="CharSDivText"/>
        </w:rPr>
        <w:t>Charges for other places</w:t>
      </w:r>
      <w:bookmarkEnd w:id="354"/>
      <w:bookmarkEnd w:id="355"/>
      <w:bookmarkEnd w:id="356"/>
      <w:bookmarkEnd w:id="357"/>
      <w:bookmarkEnd w:id="358"/>
    </w:p>
    <w:p>
      <w:pPr>
        <w:pStyle w:val="yFootnoteheading"/>
        <w:rPr>
          <w:snapToGrid w:val="0"/>
        </w:rPr>
      </w:pPr>
      <w:r>
        <w:rPr>
          <w:snapToGrid w:val="0"/>
        </w:rPr>
        <w:tab/>
        <w:t xml:space="preserve">[Heading inserted: Gazette </w:t>
      </w:r>
      <w:r>
        <w:t>31 May 2019 p. 1792</w:t>
      </w:r>
      <w:r>
        <w:rPr>
          <w:snapToGrid w:val="0"/>
        </w:rPr>
        <w:t>.]</w:t>
      </w:r>
    </w:p>
    <w:p>
      <w:pPr>
        <w:pStyle w:val="yHeading5"/>
      </w:pPr>
      <w:bookmarkStart w:id="359" w:name="_Toc12881407"/>
      <w:r>
        <w:rPr>
          <w:rStyle w:val="CharSClsNo"/>
        </w:rPr>
        <w:t>8</w:t>
      </w:r>
      <w:r>
        <w:t>.</w:t>
      </w:r>
      <w:r>
        <w:tab/>
        <w:t xml:space="preserve">Fremantle,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59"/>
    </w:p>
    <w:p>
      <w:pPr>
        <w:pStyle w:val="ySubsection"/>
      </w:pPr>
      <w:r>
        <w:tab/>
        <w:t>(1)</w:t>
      </w:r>
      <w:r>
        <w:tab/>
        <w:t xml:space="preserve">This clause applies to the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Fremantle.</w:t>
      </w:r>
    </w:p>
    <w:p>
      <w:pPr>
        <w:pStyle w:val="ySubsection"/>
      </w:pPr>
      <w:r>
        <w:tab/>
        <w:t>(2)</w:t>
      </w:r>
      <w:r>
        <w:tab/>
        <w:t xml:space="preserve">The charges payable under regulation 72 for a permit to use a pen or alongside berth are set out in the Table. </w:t>
      </w:r>
    </w:p>
    <w:p>
      <w:pPr>
        <w:pStyle w:val="yTHeadingNAm"/>
      </w:pPr>
      <w:r>
        <w:t>Pen and berth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tblHeader/>
        </w:trPr>
        <w:tc>
          <w:tcPr>
            <w:tcW w:w="709" w:type="dxa"/>
            <w:tcBorders>
              <w:top w:val="single" w:sz="4" w:space="0" w:color="auto"/>
              <w:bottom w:val="single" w:sz="4" w:space="0" w:color="auto"/>
            </w:tcBorders>
          </w:tcPr>
          <w:p>
            <w:pPr>
              <w:pStyle w:val="yTableNAm"/>
              <w:jc w:val="center"/>
              <w:rPr>
                <w:b/>
              </w:rPr>
            </w:pPr>
            <w:r>
              <w:rPr>
                <w:b/>
              </w:rPr>
              <w:t>Item</w:t>
            </w:r>
          </w:p>
        </w:tc>
        <w:tc>
          <w:tcPr>
            <w:tcW w:w="5103" w:type="dxa"/>
            <w:tcBorders>
              <w:top w:val="single" w:sz="4" w:space="0" w:color="auto"/>
              <w:bottom w:val="single" w:sz="4" w:space="0" w:color="auto"/>
            </w:tcBorders>
          </w:tcPr>
          <w:p>
            <w:pPr>
              <w:pStyle w:val="yTableNAm"/>
              <w:jc w:val="center"/>
              <w:rPr>
                <w:b/>
              </w:rPr>
            </w:pPr>
            <w:r>
              <w:rPr>
                <w:b/>
              </w:rPr>
              <w:t>Type of use</w:t>
            </w:r>
          </w:p>
        </w:tc>
        <w:tc>
          <w:tcPr>
            <w:tcW w:w="992" w:type="dxa"/>
            <w:tcBorders>
              <w:top w:val="single" w:sz="4" w:space="0" w:color="auto"/>
              <w:bottom w:val="single" w:sz="4" w:space="0" w:color="auto"/>
            </w:tcBorders>
          </w:tcPr>
          <w:p>
            <w:pPr>
              <w:pStyle w:val="yTableNAm"/>
              <w:tabs>
                <w:tab w:val="clear" w:pos="567"/>
              </w:tabs>
              <w:jc w:val="center"/>
              <w:rPr>
                <w:b/>
              </w:rPr>
            </w:pPr>
            <w:r>
              <w:rPr>
                <w:b/>
              </w:rPr>
              <w:t>$</w:t>
            </w:r>
          </w:p>
        </w:tc>
      </w:tr>
      <w:tr>
        <w:trPr>
          <w:cantSplit/>
        </w:trPr>
        <w:tc>
          <w:tcPr>
            <w:tcW w:w="709" w:type="dxa"/>
          </w:tcPr>
          <w:p>
            <w:pPr>
              <w:pStyle w:val="yTableNAm"/>
              <w:jc w:val="center"/>
            </w:pPr>
            <w:r>
              <w:t>1.</w:t>
            </w:r>
          </w:p>
        </w:tc>
        <w:tc>
          <w:tcPr>
            <w:tcW w:w="5103" w:type="dxa"/>
          </w:tcPr>
          <w:p>
            <w:pPr>
              <w:pStyle w:val="yTableNAm"/>
            </w:pPr>
            <w:r>
              <w:t>For the use of a fixed pen with a walkway, an amount calculated per metre of the pen’s length using the annual rate of</w:t>
            </w:r>
          </w:p>
        </w:tc>
        <w:tc>
          <w:tcPr>
            <w:tcW w:w="992" w:type="dxa"/>
            <w:vAlign w:val="bottom"/>
          </w:tcPr>
          <w:p>
            <w:pPr>
              <w:pStyle w:val="yTableNAm"/>
              <w:tabs>
                <w:tab w:val="clear" w:pos="567"/>
              </w:tabs>
              <w:jc w:val="center"/>
            </w:pPr>
            <w:r>
              <w:rPr>
                <w:szCs w:val="22"/>
              </w:rPr>
              <w:t>660.80</w:t>
            </w:r>
          </w:p>
        </w:tc>
      </w:tr>
      <w:tr>
        <w:trPr>
          <w:cantSplit/>
        </w:trPr>
        <w:tc>
          <w:tcPr>
            <w:tcW w:w="709" w:type="dxa"/>
          </w:tcPr>
          <w:p>
            <w:pPr>
              <w:pStyle w:val="yTableNAm"/>
              <w:jc w:val="center"/>
            </w:pPr>
            <w:r>
              <w:t>2.</w:t>
            </w:r>
          </w:p>
        </w:tc>
        <w:tc>
          <w:tcPr>
            <w:tcW w:w="5103" w:type="dxa"/>
          </w:tcPr>
          <w:p>
            <w:pPr>
              <w:pStyle w:val="yTableNAm"/>
            </w:pPr>
            <w:r>
              <w:t>For the use of a fixed pen without a walkway, an amount calculated per metre of the pen’s length using the annual rate of</w:t>
            </w:r>
          </w:p>
        </w:tc>
        <w:tc>
          <w:tcPr>
            <w:tcW w:w="992" w:type="dxa"/>
            <w:vAlign w:val="bottom"/>
          </w:tcPr>
          <w:p>
            <w:pPr>
              <w:pStyle w:val="yTableNAm"/>
              <w:tabs>
                <w:tab w:val="clear" w:pos="567"/>
              </w:tabs>
              <w:jc w:val="center"/>
            </w:pPr>
            <w:r>
              <w:rPr>
                <w:szCs w:val="22"/>
              </w:rPr>
              <w:t>578.20</w:t>
            </w:r>
          </w:p>
        </w:tc>
      </w:tr>
      <w:tr>
        <w:trPr>
          <w:cantSplit/>
        </w:trPr>
        <w:tc>
          <w:tcPr>
            <w:tcW w:w="709" w:type="dxa"/>
          </w:tcPr>
          <w:p>
            <w:pPr>
              <w:pStyle w:val="yTableNAm"/>
              <w:jc w:val="center"/>
            </w:pPr>
            <w:r>
              <w:t>3.</w:t>
            </w:r>
          </w:p>
        </w:tc>
        <w:tc>
          <w:tcPr>
            <w:tcW w:w="5103" w:type="dxa"/>
          </w:tcPr>
          <w:p>
            <w:pPr>
              <w:pStyle w:val="yTableNAm"/>
            </w:pPr>
            <w:r>
              <w:t>For the use of a fixed alongside berth, an amount calculated per metre of the vessel’s length using the annual rate of</w:t>
            </w:r>
          </w:p>
        </w:tc>
        <w:tc>
          <w:tcPr>
            <w:tcW w:w="992" w:type="dxa"/>
            <w:vAlign w:val="bottom"/>
          </w:tcPr>
          <w:p>
            <w:pPr>
              <w:pStyle w:val="yTableNAm"/>
              <w:tabs>
                <w:tab w:val="clear" w:pos="567"/>
              </w:tabs>
              <w:jc w:val="center"/>
            </w:pPr>
            <w:r>
              <w:rPr>
                <w:szCs w:val="22"/>
              </w:rPr>
              <w:t>660.80</w:t>
            </w:r>
          </w:p>
        </w:tc>
      </w:tr>
      <w:tr>
        <w:trPr>
          <w:cantSplit/>
        </w:trPr>
        <w:tc>
          <w:tcPr>
            <w:tcW w:w="709" w:type="dxa"/>
            <w:tcBorders>
              <w:bottom w:val="single" w:sz="4" w:space="0" w:color="auto"/>
            </w:tcBorders>
          </w:tcPr>
          <w:p>
            <w:pPr>
              <w:pStyle w:val="yTableNAm"/>
              <w:jc w:val="center"/>
            </w:pPr>
            <w:r>
              <w:t>4.</w:t>
            </w:r>
          </w:p>
        </w:tc>
        <w:tc>
          <w:tcPr>
            <w:tcW w:w="5103" w:type="dxa"/>
            <w:tcBorders>
              <w:bottom w:val="single" w:sz="4" w:space="0" w:color="auto"/>
            </w:tcBorders>
          </w:tcPr>
          <w:p>
            <w:pPr>
              <w:pStyle w:val="yTableNAm"/>
            </w:pPr>
            <w:r>
              <w:t>For the casual daily use of a pen or alongside berth by a recreational vessel, an amount calculated using standard Rate 2</w:t>
            </w:r>
          </w:p>
        </w:tc>
        <w:tc>
          <w:tcPr>
            <w:tcW w:w="992" w:type="dxa"/>
            <w:tcBorders>
              <w:bottom w:val="single" w:sz="4" w:space="0" w:color="auto"/>
            </w:tcBorders>
            <w:vAlign w:val="bottom"/>
          </w:tcPr>
          <w:p>
            <w:pPr>
              <w:pStyle w:val="yTableNAm"/>
              <w:tabs>
                <w:tab w:val="clear" w:pos="567"/>
              </w:tabs>
              <w:jc w:val="center"/>
            </w:pPr>
          </w:p>
        </w:tc>
      </w:tr>
    </w:tbl>
    <w:p>
      <w:pPr>
        <w:pStyle w:val="yFootnotesection"/>
      </w:pPr>
      <w:r>
        <w:tab/>
        <w:t>[Clause 8 inserted: Gazette 31 May 2019 p. 1792</w:t>
      </w:r>
      <w:r>
        <w:noBreakHyphen/>
        <w:t>3.]</w:t>
      </w:r>
    </w:p>
    <w:p>
      <w:pPr>
        <w:pStyle w:val="yHeading5"/>
      </w:pPr>
      <w:bookmarkStart w:id="360" w:name="_Toc12881408"/>
      <w:r>
        <w:rPr>
          <w:rStyle w:val="CharSClsNo"/>
        </w:rPr>
        <w:t>9</w:t>
      </w:r>
      <w:r>
        <w:t>.</w:t>
      </w:r>
      <w:r>
        <w:tab/>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60"/>
    </w:p>
    <w:p>
      <w:pPr>
        <w:pStyle w:val="ySubsection"/>
      </w:pPr>
      <w:r>
        <w:tab/>
        <w:t>(1)</w:t>
      </w:r>
      <w:r>
        <w:tab/>
        <w:t xml:space="preserve">This clause applies to the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 xml:space="preserve">The charges payable under regulation 72 for a permit to use a pen, alongside berth or service jetty are set out in the Table. </w:t>
      </w:r>
    </w:p>
    <w:p>
      <w:pPr>
        <w:pStyle w:val="yTHeadingNAm"/>
      </w:pPr>
      <w:r>
        <w:t>Pen, berth and jetty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5103" w:type="dxa"/>
            <w:tcBorders>
              <w:top w:val="single" w:sz="4" w:space="0" w:color="auto"/>
              <w:bottom w:val="single" w:sz="4" w:space="0" w:color="auto"/>
            </w:tcBorders>
          </w:tcPr>
          <w:p>
            <w:pPr>
              <w:pStyle w:val="yTableNAm"/>
              <w:keepNext/>
              <w:jc w:val="center"/>
              <w:rPr>
                <w:b/>
              </w:rPr>
            </w:pPr>
            <w:r>
              <w:rPr>
                <w:b/>
              </w:rPr>
              <w:t>Type of use</w:t>
            </w:r>
          </w:p>
        </w:tc>
        <w:tc>
          <w:tcPr>
            <w:tcW w:w="992" w:type="dxa"/>
            <w:tcBorders>
              <w:top w:val="single" w:sz="4" w:space="0" w:color="auto"/>
              <w:bottom w:val="single" w:sz="4" w:space="0" w:color="auto"/>
            </w:tcBorders>
          </w:tcPr>
          <w:p>
            <w:pPr>
              <w:pStyle w:val="yTableNAm"/>
              <w:keepNext/>
              <w:tabs>
                <w:tab w:val="clear" w:pos="567"/>
              </w:tabs>
              <w:jc w:val="center"/>
              <w:rPr>
                <w:b/>
              </w:rPr>
            </w:pPr>
            <w:r>
              <w:rPr>
                <w:b/>
              </w:rPr>
              <w:t>$</w:t>
            </w:r>
          </w:p>
        </w:tc>
      </w:tr>
      <w:tr>
        <w:trPr>
          <w:cantSplit/>
        </w:trPr>
        <w:tc>
          <w:tcPr>
            <w:tcW w:w="709" w:type="dxa"/>
            <w:tcBorders>
              <w:top w:val="single" w:sz="4" w:space="0" w:color="auto"/>
            </w:tcBorders>
          </w:tcPr>
          <w:p>
            <w:pPr>
              <w:pStyle w:val="yTableNAm"/>
              <w:jc w:val="center"/>
            </w:pPr>
            <w:r>
              <w:t>1.</w:t>
            </w:r>
          </w:p>
        </w:tc>
        <w:tc>
          <w:tcPr>
            <w:tcW w:w="5103" w:type="dxa"/>
            <w:tcBorders>
              <w:top w:val="single" w:sz="4" w:space="0" w:color="auto"/>
            </w:tcBorders>
          </w:tcPr>
          <w:p>
            <w:pPr>
              <w:pStyle w:val="yTableNAm"/>
            </w:pPr>
            <w:r>
              <w:t>For the use, other than casual daily use, of a fixed pen with a walkway, an amount calculated per metre of the pen’s length using the annual rate of</w:t>
            </w:r>
          </w:p>
        </w:tc>
        <w:tc>
          <w:tcPr>
            <w:tcW w:w="992" w:type="dxa"/>
            <w:tcBorders>
              <w:top w:val="single" w:sz="4" w:space="0" w:color="auto"/>
            </w:tcBorders>
            <w:vAlign w:val="bottom"/>
          </w:tcPr>
          <w:p>
            <w:pPr>
              <w:pStyle w:val="yTableNAm"/>
              <w:tabs>
                <w:tab w:val="clear" w:pos="567"/>
              </w:tabs>
              <w:jc w:val="center"/>
            </w:pPr>
            <w:r>
              <w:rPr>
                <w:szCs w:val="22"/>
              </w:rPr>
              <w:t>660.80</w:t>
            </w:r>
          </w:p>
        </w:tc>
      </w:tr>
      <w:tr>
        <w:trPr>
          <w:cantSplit/>
        </w:trPr>
        <w:tc>
          <w:tcPr>
            <w:tcW w:w="709" w:type="dxa"/>
          </w:tcPr>
          <w:p>
            <w:pPr>
              <w:pStyle w:val="yTableNAm"/>
              <w:jc w:val="center"/>
            </w:pPr>
            <w:r>
              <w:t>2</w:t>
            </w:r>
          </w:p>
        </w:tc>
        <w:tc>
          <w:tcPr>
            <w:tcW w:w="5103" w:type="dxa"/>
          </w:tcPr>
          <w:p>
            <w:pPr>
              <w:pStyle w:val="yTableNAm"/>
            </w:pPr>
            <w:r>
              <w:t>For the use, other than casual daily use, of a floating pen with a walkway, an amount calculated per metre of the pen’s length using the annual rate of</w:t>
            </w:r>
          </w:p>
        </w:tc>
        <w:tc>
          <w:tcPr>
            <w:tcW w:w="992" w:type="dxa"/>
            <w:vAlign w:val="bottom"/>
          </w:tcPr>
          <w:p>
            <w:pPr>
              <w:pStyle w:val="yTableNAm"/>
              <w:tabs>
                <w:tab w:val="clear" w:pos="567"/>
              </w:tabs>
              <w:jc w:val="center"/>
            </w:pPr>
            <w:r>
              <w:t>699.50</w:t>
            </w:r>
          </w:p>
        </w:tc>
      </w:tr>
      <w:tr>
        <w:trPr>
          <w:cantSplit/>
        </w:trPr>
        <w:tc>
          <w:tcPr>
            <w:tcW w:w="709" w:type="dxa"/>
          </w:tcPr>
          <w:p>
            <w:pPr>
              <w:pStyle w:val="yTableNAm"/>
              <w:jc w:val="center"/>
            </w:pPr>
            <w:r>
              <w:t>3.</w:t>
            </w:r>
          </w:p>
        </w:tc>
        <w:tc>
          <w:tcPr>
            <w:tcW w:w="5103" w:type="dxa"/>
          </w:tcPr>
          <w:p>
            <w:pPr>
              <w:pStyle w:val="yTableNAm"/>
            </w:pPr>
            <w:r>
              <w:t>For the use, other than casual daily use, of a floating alongside berth, an amount calculated per metre of the vessel’s length using the annual rate of</w:t>
            </w:r>
          </w:p>
        </w:tc>
        <w:tc>
          <w:tcPr>
            <w:tcW w:w="992" w:type="dxa"/>
            <w:vAlign w:val="bottom"/>
          </w:tcPr>
          <w:p>
            <w:pPr>
              <w:pStyle w:val="yTableNAm"/>
              <w:tabs>
                <w:tab w:val="clear" w:pos="567"/>
              </w:tabs>
              <w:jc w:val="center"/>
            </w:pPr>
            <w:r>
              <w:rPr>
                <w:szCs w:val="22"/>
              </w:rPr>
              <w:t>699.50</w:t>
            </w:r>
          </w:p>
        </w:tc>
      </w:tr>
      <w:tr>
        <w:trPr>
          <w:cantSplit/>
        </w:trPr>
        <w:tc>
          <w:tcPr>
            <w:tcW w:w="709" w:type="dxa"/>
          </w:tcPr>
          <w:p>
            <w:pPr>
              <w:pStyle w:val="yTableNAm"/>
              <w:jc w:val="center"/>
            </w:pPr>
            <w:r>
              <w:t>4.</w:t>
            </w:r>
          </w:p>
        </w:tc>
        <w:tc>
          <w:tcPr>
            <w:tcW w:w="5103" w:type="dxa"/>
          </w:tcPr>
          <w:p>
            <w:pPr>
              <w:pStyle w:val="yTableNAm"/>
            </w:pPr>
            <w:r>
              <w:t xml:space="preserve">For the casual daily use of a pen or an alongside berth — </w:t>
            </w:r>
          </w:p>
        </w:tc>
        <w:tc>
          <w:tcPr>
            <w:tcW w:w="992" w:type="dxa"/>
            <w:vAlign w:val="bottom"/>
          </w:tcPr>
          <w:p>
            <w:pPr>
              <w:pStyle w:val="yTableNAm"/>
              <w:tabs>
                <w:tab w:val="clear" w:pos="567"/>
              </w:tabs>
              <w:jc w:val="center"/>
            </w:pPr>
          </w:p>
        </w:tc>
      </w:tr>
      <w:tr>
        <w:trPr>
          <w:cantSplit/>
        </w:trPr>
        <w:tc>
          <w:tcPr>
            <w:tcW w:w="709" w:type="dxa"/>
          </w:tcPr>
          <w:p>
            <w:pPr>
              <w:pStyle w:val="yTableNAm"/>
              <w:jc w:val="center"/>
            </w:pPr>
          </w:p>
        </w:tc>
        <w:tc>
          <w:tcPr>
            <w:tcW w:w="5103" w:type="dxa"/>
          </w:tcPr>
          <w:p>
            <w:pPr>
              <w:pStyle w:val="yTableNAm"/>
              <w:tabs>
                <w:tab w:val="clear" w:pos="567"/>
                <w:tab w:val="left" w:pos="306"/>
              </w:tabs>
              <w:ind w:left="306" w:hanging="306"/>
            </w:pPr>
            <w:r>
              <w:t>•</w:t>
            </w:r>
            <w:r>
              <w:tab/>
              <w:t>by a commercial vessel, an amount calculated using standard Rate 1</w:t>
            </w:r>
          </w:p>
        </w:tc>
        <w:tc>
          <w:tcPr>
            <w:tcW w:w="992" w:type="dxa"/>
            <w:vAlign w:val="bottom"/>
          </w:tcPr>
          <w:p>
            <w:pPr>
              <w:pStyle w:val="yTableNAm"/>
              <w:tabs>
                <w:tab w:val="clear" w:pos="567"/>
              </w:tabs>
              <w:jc w:val="center"/>
            </w:pPr>
          </w:p>
        </w:tc>
      </w:tr>
      <w:tr>
        <w:trPr>
          <w:cantSplit/>
        </w:trPr>
        <w:tc>
          <w:tcPr>
            <w:tcW w:w="709" w:type="dxa"/>
          </w:tcPr>
          <w:p>
            <w:pPr>
              <w:pStyle w:val="yTableNAm"/>
              <w:jc w:val="center"/>
            </w:pPr>
          </w:p>
        </w:tc>
        <w:tc>
          <w:tcPr>
            <w:tcW w:w="5103" w:type="dxa"/>
          </w:tcPr>
          <w:p>
            <w:pPr>
              <w:pStyle w:val="yTableNAm"/>
              <w:tabs>
                <w:tab w:val="clear" w:pos="567"/>
                <w:tab w:val="left" w:pos="306"/>
              </w:tabs>
              <w:ind w:left="306" w:hanging="306"/>
            </w:pPr>
            <w:r>
              <w:t>•</w:t>
            </w:r>
            <w:r>
              <w:tab/>
              <w:t>by a recreational vessel, an amount calculated using standard Rate 2</w:t>
            </w:r>
          </w:p>
        </w:tc>
        <w:tc>
          <w:tcPr>
            <w:tcW w:w="992" w:type="dxa"/>
            <w:vAlign w:val="bottom"/>
          </w:tcPr>
          <w:p>
            <w:pPr>
              <w:pStyle w:val="yTableNAm"/>
              <w:tabs>
                <w:tab w:val="clear" w:pos="567"/>
              </w:tabs>
              <w:jc w:val="center"/>
            </w:pPr>
          </w:p>
        </w:tc>
      </w:tr>
      <w:tr>
        <w:trPr>
          <w:cantSplit/>
        </w:trPr>
        <w:tc>
          <w:tcPr>
            <w:tcW w:w="709" w:type="dxa"/>
            <w:tcBorders>
              <w:bottom w:val="single" w:sz="4" w:space="0" w:color="auto"/>
            </w:tcBorders>
          </w:tcPr>
          <w:p>
            <w:pPr>
              <w:pStyle w:val="yTableNAm"/>
              <w:jc w:val="center"/>
            </w:pPr>
            <w:r>
              <w:t>5.</w:t>
            </w:r>
          </w:p>
        </w:tc>
        <w:tc>
          <w:tcPr>
            <w:tcW w:w="5103" w:type="dxa"/>
            <w:tcBorders>
              <w:bottom w:val="single" w:sz="4" w:space="0" w:color="auto"/>
            </w:tcBorders>
          </w:tcPr>
          <w:p>
            <w:pPr>
              <w:pStyle w:val="yTableNAm"/>
            </w:pPr>
            <w:r>
              <w:t>For the short term use of a service jetty, an amount calculated using standard Rate 3</w:t>
            </w:r>
          </w:p>
        </w:tc>
        <w:tc>
          <w:tcPr>
            <w:tcW w:w="992" w:type="dxa"/>
            <w:tcBorders>
              <w:bottom w:val="single" w:sz="4" w:space="0" w:color="auto"/>
            </w:tcBorders>
            <w:vAlign w:val="bottom"/>
          </w:tcPr>
          <w:p>
            <w:pPr>
              <w:pStyle w:val="yTableNAm"/>
              <w:tabs>
                <w:tab w:val="clear" w:pos="567"/>
              </w:tabs>
              <w:jc w:val="center"/>
            </w:pPr>
          </w:p>
        </w:tc>
      </w:tr>
    </w:tbl>
    <w:p>
      <w:pPr>
        <w:pStyle w:val="yFootnotesection"/>
      </w:pPr>
      <w:r>
        <w:tab/>
        <w:t>[Clause 9 inserted: Gazette 31 May 2019 p. 1793</w:t>
      </w:r>
      <w:r>
        <w:noBreakHyphen/>
        <w:t>4.]</w:t>
      </w:r>
    </w:p>
    <w:p>
      <w:pPr>
        <w:pStyle w:val="yHeading5"/>
      </w:pPr>
      <w:bookmarkStart w:id="361" w:name="_Toc12881409"/>
      <w:r>
        <w:rPr>
          <w:rStyle w:val="CharSClsNo"/>
        </w:rPr>
        <w:t>10</w:t>
      </w:r>
      <w:r>
        <w:t>.</w:t>
      </w:r>
      <w:r>
        <w:tab/>
        <w:t>Jervoise Bay</w:t>
      </w:r>
      <w:bookmarkEnd w:id="361"/>
    </w:p>
    <w:p>
      <w:pPr>
        <w:pStyle w:val="ySubsection"/>
      </w:pPr>
      <w:r>
        <w:tab/>
        <w:t>(1)</w:t>
      </w:r>
      <w:r>
        <w:tab/>
        <w:t>This clause applies to Jervoise Bay.</w:t>
      </w:r>
    </w:p>
    <w:p>
      <w:pPr>
        <w:pStyle w:val="ySubsection"/>
      </w:pPr>
      <w:r>
        <w:tab/>
        <w:t>(2)</w:t>
      </w:r>
      <w:r>
        <w:tab/>
        <w:t xml:space="preserve">The charges payable under regulation 72 for a permit to use a pile mooring are set out in the Table. </w:t>
      </w:r>
    </w:p>
    <w:p>
      <w:pPr>
        <w:pStyle w:val="yTHeadingNAm"/>
      </w:pPr>
      <w:r>
        <w:t>Mooring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5103" w:type="dxa"/>
            <w:tcBorders>
              <w:top w:val="single" w:sz="4" w:space="0" w:color="auto"/>
              <w:bottom w:val="single" w:sz="4" w:space="0" w:color="auto"/>
            </w:tcBorders>
          </w:tcPr>
          <w:p>
            <w:pPr>
              <w:pStyle w:val="yTableNAm"/>
              <w:keepNext/>
              <w:jc w:val="center"/>
              <w:rPr>
                <w:b/>
              </w:rPr>
            </w:pPr>
            <w:r>
              <w:rPr>
                <w:b/>
              </w:rPr>
              <w:t>Type of use</w:t>
            </w:r>
          </w:p>
        </w:tc>
        <w:tc>
          <w:tcPr>
            <w:tcW w:w="992" w:type="dxa"/>
            <w:tcBorders>
              <w:top w:val="single" w:sz="4" w:space="0" w:color="auto"/>
              <w:bottom w:val="single" w:sz="4" w:space="0" w:color="auto"/>
            </w:tcBorders>
          </w:tcPr>
          <w:p>
            <w:pPr>
              <w:pStyle w:val="yTableNAm"/>
              <w:keepNext/>
              <w:tabs>
                <w:tab w:val="clear" w:pos="567"/>
              </w:tabs>
              <w:jc w:val="center"/>
              <w:rPr>
                <w:b/>
              </w:rPr>
            </w:pPr>
            <w:r>
              <w:rPr>
                <w:b/>
              </w:rPr>
              <w:t>$</w:t>
            </w:r>
          </w:p>
        </w:tc>
      </w:tr>
      <w:tr>
        <w:trPr>
          <w:cantSplit/>
        </w:trPr>
        <w:tc>
          <w:tcPr>
            <w:tcW w:w="709" w:type="dxa"/>
          </w:tcPr>
          <w:p>
            <w:pPr>
              <w:pStyle w:val="yTableNAm"/>
              <w:jc w:val="center"/>
            </w:pPr>
            <w:r>
              <w:t>1.</w:t>
            </w:r>
          </w:p>
        </w:tc>
        <w:tc>
          <w:tcPr>
            <w:tcW w:w="5103" w:type="dxa"/>
          </w:tcPr>
          <w:p>
            <w:pPr>
              <w:pStyle w:val="yTableNAm"/>
            </w:pPr>
            <w:r>
              <w:t>For the use, other than casual daily use, of a pile mooring, an amount calculated per metre of the vessel’s length using the annual rate of</w:t>
            </w:r>
          </w:p>
        </w:tc>
        <w:tc>
          <w:tcPr>
            <w:tcW w:w="992" w:type="dxa"/>
            <w:vAlign w:val="bottom"/>
          </w:tcPr>
          <w:p>
            <w:pPr>
              <w:pStyle w:val="yTableNAm"/>
              <w:tabs>
                <w:tab w:val="clear" w:pos="567"/>
              </w:tabs>
              <w:jc w:val="center"/>
              <w:rPr>
                <w:szCs w:val="22"/>
              </w:rPr>
            </w:pPr>
            <w:r>
              <w:rPr>
                <w:szCs w:val="22"/>
              </w:rPr>
              <w:t>214.50</w:t>
            </w:r>
          </w:p>
        </w:tc>
      </w:tr>
      <w:tr>
        <w:trPr>
          <w:cantSplit/>
        </w:trPr>
        <w:tc>
          <w:tcPr>
            <w:tcW w:w="709" w:type="dxa"/>
          </w:tcPr>
          <w:p>
            <w:pPr>
              <w:pStyle w:val="yTableNAm"/>
              <w:jc w:val="center"/>
            </w:pPr>
            <w:r>
              <w:t>2.</w:t>
            </w:r>
          </w:p>
        </w:tc>
        <w:tc>
          <w:tcPr>
            <w:tcW w:w="5103" w:type="dxa"/>
          </w:tcPr>
          <w:p>
            <w:pPr>
              <w:pStyle w:val="yTableNAm"/>
            </w:pPr>
            <w:r>
              <w:t xml:space="preserve">For the casual daily use of a pile mooring — </w:t>
            </w:r>
          </w:p>
        </w:tc>
        <w:tc>
          <w:tcPr>
            <w:tcW w:w="992" w:type="dxa"/>
            <w:vAlign w:val="bottom"/>
          </w:tcPr>
          <w:p>
            <w:pPr>
              <w:pStyle w:val="yTableNAm"/>
              <w:tabs>
                <w:tab w:val="clear" w:pos="567"/>
              </w:tabs>
              <w:jc w:val="center"/>
              <w:rPr>
                <w:szCs w:val="22"/>
              </w:rPr>
            </w:pPr>
          </w:p>
        </w:tc>
      </w:tr>
      <w:tr>
        <w:trPr>
          <w:cantSplit/>
        </w:trPr>
        <w:tc>
          <w:tcPr>
            <w:tcW w:w="709" w:type="dxa"/>
          </w:tcPr>
          <w:p>
            <w:pPr>
              <w:pStyle w:val="yTableNAm"/>
              <w:jc w:val="center"/>
            </w:pPr>
          </w:p>
        </w:tc>
        <w:tc>
          <w:tcPr>
            <w:tcW w:w="5103" w:type="dxa"/>
          </w:tcPr>
          <w:p>
            <w:pPr>
              <w:pStyle w:val="yTableNAm"/>
              <w:tabs>
                <w:tab w:val="clear" w:pos="567"/>
                <w:tab w:val="left" w:pos="306"/>
              </w:tabs>
              <w:ind w:left="306" w:hanging="306"/>
            </w:pPr>
            <w:r>
              <w:t>•</w:t>
            </w:r>
            <w:r>
              <w:tab/>
              <w:t>by a commercial vessel, an amount calculated using standard Rate 1</w:t>
            </w:r>
          </w:p>
        </w:tc>
        <w:tc>
          <w:tcPr>
            <w:tcW w:w="992" w:type="dxa"/>
            <w:vAlign w:val="bottom"/>
          </w:tcPr>
          <w:p>
            <w:pPr>
              <w:pStyle w:val="yTableNAm"/>
              <w:tabs>
                <w:tab w:val="clear" w:pos="567"/>
              </w:tabs>
              <w:jc w:val="center"/>
              <w:rPr>
                <w:szCs w:val="22"/>
              </w:rPr>
            </w:pPr>
          </w:p>
        </w:tc>
      </w:tr>
      <w:tr>
        <w:trPr>
          <w:cantSplit/>
        </w:trPr>
        <w:tc>
          <w:tcPr>
            <w:tcW w:w="709" w:type="dxa"/>
            <w:tcBorders>
              <w:bottom w:val="single" w:sz="4" w:space="0" w:color="auto"/>
            </w:tcBorders>
          </w:tcPr>
          <w:p>
            <w:pPr>
              <w:pStyle w:val="yTableNAm"/>
              <w:jc w:val="center"/>
            </w:pPr>
          </w:p>
        </w:tc>
        <w:tc>
          <w:tcPr>
            <w:tcW w:w="5103" w:type="dxa"/>
            <w:tcBorders>
              <w:bottom w:val="single" w:sz="4" w:space="0" w:color="auto"/>
            </w:tcBorders>
          </w:tcPr>
          <w:p>
            <w:pPr>
              <w:pStyle w:val="yTableNAm"/>
              <w:tabs>
                <w:tab w:val="clear" w:pos="567"/>
                <w:tab w:val="left" w:pos="306"/>
              </w:tabs>
              <w:ind w:left="306" w:hanging="306"/>
            </w:pPr>
            <w:r>
              <w:t>•</w:t>
            </w:r>
            <w:r>
              <w:tab/>
              <w:t>by a recreational vessel, an amount calculated using standard Rate 2</w:t>
            </w:r>
          </w:p>
        </w:tc>
        <w:tc>
          <w:tcPr>
            <w:tcW w:w="992" w:type="dxa"/>
            <w:tcBorders>
              <w:bottom w:val="single" w:sz="4" w:space="0" w:color="auto"/>
            </w:tcBorders>
            <w:vAlign w:val="bottom"/>
          </w:tcPr>
          <w:p>
            <w:pPr>
              <w:pStyle w:val="yTableNAm"/>
              <w:tabs>
                <w:tab w:val="clear" w:pos="567"/>
              </w:tabs>
              <w:jc w:val="center"/>
              <w:rPr>
                <w:szCs w:val="22"/>
              </w:rPr>
            </w:pPr>
          </w:p>
        </w:tc>
      </w:tr>
    </w:tbl>
    <w:p>
      <w:pPr>
        <w:pStyle w:val="yFootnotesection"/>
      </w:pPr>
      <w:r>
        <w:tab/>
        <w:t>[Clause 10 inserted: Gazette 31 May 2019 p. 1794.]</w:t>
      </w:r>
    </w:p>
    <w:p>
      <w:pPr>
        <w:sectPr>
          <w:headerReference w:type="even" r:id="rId27"/>
          <w:headerReference w:type="default" r:id="rId28"/>
          <w:pgSz w:w="11907" w:h="16840" w:code="9"/>
          <w:pgMar w:top="2376" w:right="2405" w:bottom="3542" w:left="2405" w:header="706" w:footer="3380" w:gutter="0"/>
          <w:cols w:space="720"/>
          <w:noEndnote/>
          <w:docGrid w:linePitch="326"/>
        </w:sectPr>
      </w:pPr>
      <w:bookmarkStart w:id="362" w:name="_Toc11753102"/>
      <w:bookmarkStart w:id="363" w:name="_Toc11766714"/>
      <w:bookmarkStart w:id="364" w:name="_Toc11768655"/>
      <w:bookmarkEnd w:id="272"/>
    </w:p>
    <w:p>
      <w:pPr>
        <w:pStyle w:val="yScheduleHeading"/>
      </w:pPr>
      <w:bookmarkStart w:id="365" w:name="_Toc11828446"/>
      <w:bookmarkStart w:id="366" w:name="_Toc12028212"/>
      <w:bookmarkStart w:id="367" w:name="_Toc12881410"/>
      <w:r>
        <w:rPr>
          <w:rStyle w:val="CharSchNo"/>
        </w:rPr>
        <w:t>Schedule 4</w:t>
      </w:r>
      <w:r>
        <w:rPr>
          <w:rStyle w:val="CharSDivNo"/>
        </w:rPr>
        <w:t> </w:t>
      </w:r>
      <w:r>
        <w:t>—</w:t>
      </w:r>
      <w:r>
        <w:rPr>
          <w:rStyle w:val="CharSDivText"/>
        </w:rPr>
        <w:t> </w:t>
      </w:r>
      <w:r>
        <w:rPr>
          <w:rStyle w:val="CharSchText"/>
        </w:rPr>
        <w:t>Forms</w:t>
      </w:r>
      <w:bookmarkEnd w:id="362"/>
      <w:bookmarkEnd w:id="363"/>
      <w:bookmarkEnd w:id="364"/>
      <w:bookmarkEnd w:id="365"/>
      <w:bookmarkEnd w:id="366"/>
      <w:bookmarkEnd w:id="367"/>
    </w:p>
    <w:p>
      <w:pPr>
        <w:pStyle w:val="yShoulderClause"/>
      </w:pPr>
      <w:r>
        <w:t>[r. 95A(2)]</w:t>
      </w:r>
    </w:p>
    <w:p>
      <w:pPr>
        <w:pStyle w:val="yFootnoteheading"/>
      </w:pPr>
      <w:r>
        <w:tab/>
        <w:t>[Heading inserted: Gazette 25 May 2018 p. 1709.]</w:t>
      </w:r>
    </w:p>
    <w:p>
      <w:pPr>
        <w:pStyle w:val="yFootnotesection"/>
      </w:pPr>
      <w:r>
        <w:tab/>
        <w:t>[Forms 1 and 2 deleted: Gazette 24 Nov 1972 p. 4491.]</w:t>
      </w:r>
    </w:p>
    <w:p>
      <w:pPr>
        <w:pStyle w:val="yTable"/>
        <w:spacing w:before="240"/>
        <w:jc w:val="center"/>
        <w:outlineLvl w:val="0"/>
        <w:rPr>
          <w:b/>
        </w:rPr>
      </w:pPr>
      <w:r>
        <w:rPr>
          <w:b/>
        </w:rPr>
        <w:t xml:space="preserve">Form </w:t>
      </w:r>
      <w:r>
        <w:rPr>
          <w:rStyle w:val="CharSClsNo"/>
        </w:rPr>
        <w:t>3</w:t>
      </w:r>
    </w:p>
    <w:p>
      <w:pPr>
        <w:pStyle w:val="yTable"/>
        <w:jc w:val="center"/>
      </w:pPr>
      <w:r>
        <w:t>Western Australia</w:t>
      </w:r>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snapToGrid w:val="0"/>
        </w:rPr>
        <w:t>—</w:t>
      </w:r>
      <w:r>
        <w:t xml:space="preserve"> Forward ........................... </w:t>
      </w:r>
      <w:r>
        <w:tab/>
        <w:t>........................................... metres</w:t>
      </w:r>
    </w:p>
    <w:p>
      <w:pPr>
        <w:pStyle w:val="yTable"/>
        <w:tabs>
          <w:tab w:val="left" w:pos="3686"/>
        </w:tabs>
        <w:spacing w:before="0"/>
        <w:ind w:right="8"/>
      </w:pPr>
      <w:r>
        <w:t xml:space="preserve">              </w:t>
      </w:r>
      <w:r>
        <w:rPr>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 xml:space="preserve">The charge payable is $ ......................................... Details are shown on Docket No. ....................................................................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Gazette 6 Jul 1984 p. 2029; amended: Gazette 25 Jul 2014 p. 2661.]</w:t>
      </w:r>
    </w:p>
    <w:p>
      <w:pPr>
        <w:pStyle w:val="yFootnotesection"/>
      </w:pPr>
      <w:r>
        <w:tab/>
        <w:t>[Schedule 4, formerly Schedule 3, amended: Gazette 24 Nov 1972 p. 4491; 6 Jul 1984 p. 2029; 25 Jul 2014 p. 2661, renumbered as Schedule 4: Gazette 25 May 2018 p. 1709.]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outlineLvl w:val="0"/>
      </w:pPr>
      <w:bookmarkStart w:id="368" w:name="_Toc11753103"/>
      <w:bookmarkStart w:id="369" w:name="_Toc11766715"/>
      <w:bookmarkStart w:id="370" w:name="_Toc11768656"/>
      <w:bookmarkStart w:id="371" w:name="_Toc11828447"/>
      <w:bookmarkStart w:id="372" w:name="_Toc12028213"/>
      <w:bookmarkStart w:id="373" w:name="_Toc12881411"/>
      <w:r>
        <w:t>Notes</w:t>
      </w:r>
      <w:bookmarkEnd w:id="368"/>
      <w:bookmarkEnd w:id="369"/>
      <w:bookmarkEnd w:id="370"/>
      <w:bookmarkEnd w:id="371"/>
      <w:bookmarkEnd w:id="372"/>
      <w:bookmarkEnd w:id="373"/>
    </w:p>
    <w:p>
      <w:pPr>
        <w:pStyle w:val="nSubsection"/>
      </w:pPr>
      <w:r>
        <w:rPr>
          <w:vertAlign w:val="superscript"/>
        </w:rPr>
        <w:t>1</w:t>
      </w:r>
      <w:r>
        <w:tab/>
        <w:t xml:space="preserve">This is a compilation of the </w:t>
      </w:r>
      <w:r>
        <w:rPr>
          <w:i/>
          <w:noProof/>
        </w:rPr>
        <w:t>Jetties Regulations 1940</w:t>
      </w:r>
      <w:r>
        <w:t xml:space="preserve"> and includes the amendments made by the other written laws referred to in the following table.  The table also contains information about any reprint.</w:t>
      </w:r>
    </w:p>
    <w:p>
      <w:pPr>
        <w:pStyle w:val="nHeading3"/>
      </w:pPr>
      <w:bookmarkStart w:id="374" w:name="_Toc12881412"/>
      <w:r>
        <w:t>Compilation table</w:t>
      </w:r>
      <w:bookmarkEnd w:id="374"/>
    </w:p>
    <w:tbl>
      <w:tblPr>
        <w:tblW w:w="0" w:type="auto"/>
        <w:tblInd w:w="56" w:type="dxa"/>
        <w:tblLayout w:type="fixed"/>
        <w:tblCellMar>
          <w:left w:w="56" w:type="dxa"/>
          <w:right w:w="56" w:type="dxa"/>
        </w:tblCellMar>
        <w:tblLook w:val="0000" w:firstRow="0" w:lastRow="0" w:firstColumn="0" w:lastColumn="0" w:noHBand="0" w:noVBand="0"/>
      </w:tblPr>
      <w:tblGrid>
        <w:gridCol w:w="3090"/>
        <w:gridCol w:w="1276"/>
        <w:gridCol w:w="2722"/>
      </w:tblGrid>
      <w:tr>
        <w:trPr>
          <w:cantSplit/>
          <w:tblHeader/>
        </w:trPr>
        <w:tc>
          <w:tcPr>
            <w:tcW w:w="3090"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090" w:type="dxa"/>
          </w:tcPr>
          <w:p>
            <w:pPr>
              <w:pStyle w:val="nTable"/>
              <w:spacing w:after="40"/>
            </w:pPr>
            <w:r>
              <w:rPr>
                <w:i/>
              </w:rPr>
              <w:t>Jetties Act Regulations 1940 </w:t>
            </w:r>
            <w:r>
              <w:rPr>
                <w:vertAlign w:val="superscript"/>
              </w:rPr>
              <w:t>9, 10</w:t>
            </w:r>
          </w:p>
        </w:tc>
        <w:tc>
          <w:tcPr>
            <w:tcW w:w="1276" w:type="dxa"/>
          </w:tcPr>
          <w:p>
            <w:pPr>
              <w:pStyle w:val="nTable"/>
              <w:spacing w:after="40"/>
            </w:pPr>
            <w:r>
              <w:t>6 Sep 1940 p. 1622</w:t>
            </w:r>
            <w:r>
              <w:noBreakHyphen/>
              <w:t xml:space="preserve">40 </w:t>
            </w:r>
          </w:p>
        </w:tc>
        <w:tc>
          <w:tcPr>
            <w:tcW w:w="2722" w:type="dxa"/>
          </w:tcPr>
          <w:p>
            <w:pPr>
              <w:pStyle w:val="nTable"/>
              <w:spacing w:after="40"/>
            </w:pPr>
            <w:r>
              <w:t xml:space="preserve">6 Sep 1940 (see direction preceding regulations in </w:t>
            </w:r>
            <w:r>
              <w:rPr>
                <w:i/>
              </w:rPr>
              <w:t>Gazette</w:t>
            </w:r>
            <w:r>
              <w:t xml:space="preserve"> 6 Sep 1940 p. 1622)</w:t>
            </w:r>
          </w:p>
        </w:tc>
      </w:tr>
      <w:tr>
        <w:trPr>
          <w:cantSplit/>
        </w:trPr>
        <w:tc>
          <w:tcPr>
            <w:tcW w:w="3090" w:type="dxa"/>
          </w:tcPr>
          <w:p>
            <w:pPr>
              <w:pStyle w:val="nTable"/>
              <w:spacing w:after="40"/>
            </w:pPr>
            <w:r>
              <w:t>Untitled regulations</w:t>
            </w:r>
          </w:p>
        </w:tc>
        <w:tc>
          <w:tcPr>
            <w:tcW w:w="1276" w:type="dxa"/>
          </w:tcPr>
          <w:p>
            <w:pPr>
              <w:pStyle w:val="nTable"/>
              <w:spacing w:after="40"/>
            </w:pPr>
            <w:r>
              <w:t>1 Aug 1941 p. 1073</w:t>
            </w:r>
          </w:p>
        </w:tc>
        <w:tc>
          <w:tcPr>
            <w:tcW w:w="2722" w:type="dxa"/>
          </w:tcPr>
          <w:p>
            <w:pPr>
              <w:pStyle w:val="nTable"/>
              <w:spacing w:after="40"/>
            </w:pPr>
            <w:r>
              <w:t>1 Aug 1941</w:t>
            </w:r>
          </w:p>
        </w:tc>
      </w:tr>
      <w:tr>
        <w:trPr>
          <w:cantSplit/>
        </w:trPr>
        <w:tc>
          <w:tcPr>
            <w:tcW w:w="3090" w:type="dxa"/>
          </w:tcPr>
          <w:p>
            <w:pPr>
              <w:pStyle w:val="nTable"/>
              <w:spacing w:after="40"/>
            </w:pPr>
            <w:r>
              <w:t>Untitled regulations</w:t>
            </w:r>
          </w:p>
        </w:tc>
        <w:tc>
          <w:tcPr>
            <w:tcW w:w="1276" w:type="dxa"/>
          </w:tcPr>
          <w:p>
            <w:pPr>
              <w:pStyle w:val="nTable"/>
              <w:spacing w:after="40"/>
              <w:rPr>
                <w:b/>
              </w:rPr>
            </w:pPr>
            <w:r>
              <w:t>5 Sep 1941 p. 1244</w:t>
            </w:r>
          </w:p>
        </w:tc>
        <w:tc>
          <w:tcPr>
            <w:tcW w:w="2722" w:type="dxa"/>
          </w:tcPr>
          <w:p>
            <w:pPr>
              <w:pStyle w:val="nTable"/>
              <w:spacing w:after="40"/>
            </w:pPr>
            <w:r>
              <w:t>5 Sep 1941</w:t>
            </w:r>
          </w:p>
        </w:tc>
      </w:tr>
      <w:tr>
        <w:trPr>
          <w:cantSplit/>
        </w:trPr>
        <w:tc>
          <w:tcPr>
            <w:tcW w:w="3090" w:type="dxa"/>
          </w:tcPr>
          <w:p>
            <w:pPr>
              <w:pStyle w:val="nTable"/>
              <w:spacing w:after="40"/>
            </w:pPr>
            <w:r>
              <w:t>Untitled regulations</w:t>
            </w:r>
          </w:p>
        </w:tc>
        <w:tc>
          <w:tcPr>
            <w:tcW w:w="1276" w:type="dxa"/>
          </w:tcPr>
          <w:p>
            <w:pPr>
              <w:pStyle w:val="nTable"/>
              <w:spacing w:after="40"/>
            </w:pPr>
            <w:r>
              <w:t xml:space="preserve">21 Jan 1944 p. 26 </w:t>
            </w:r>
          </w:p>
        </w:tc>
        <w:tc>
          <w:tcPr>
            <w:tcW w:w="2722" w:type="dxa"/>
          </w:tcPr>
          <w:p>
            <w:pPr>
              <w:pStyle w:val="nTable"/>
              <w:spacing w:after="40"/>
            </w:pPr>
            <w:r>
              <w:t>21 Jan 1944</w:t>
            </w:r>
          </w:p>
        </w:tc>
      </w:tr>
      <w:tr>
        <w:trPr>
          <w:cantSplit/>
        </w:trPr>
        <w:tc>
          <w:tcPr>
            <w:tcW w:w="3090" w:type="dxa"/>
          </w:tcPr>
          <w:p>
            <w:pPr>
              <w:pStyle w:val="nTable"/>
              <w:spacing w:after="40"/>
            </w:pPr>
            <w:r>
              <w:t>Untitled regulations</w:t>
            </w:r>
          </w:p>
        </w:tc>
        <w:tc>
          <w:tcPr>
            <w:tcW w:w="1276" w:type="dxa"/>
          </w:tcPr>
          <w:p>
            <w:pPr>
              <w:pStyle w:val="nTable"/>
              <w:spacing w:after="40"/>
            </w:pPr>
            <w:r>
              <w:t>10 Mar 1944 p. 154</w:t>
            </w:r>
          </w:p>
        </w:tc>
        <w:tc>
          <w:tcPr>
            <w:tcW w:w="2722" w:type="dxa"/>
          </w:tcPr>
          <w:p>
            <w:pPr>
              <w:pStyle w:val="nTable"/>
              <w:spacing w:after="40"/>
            </w:pPr>
            <w:r>
              <w:t>10 Mar 1944</w:t>
            </w:r>
          </w:p>
        </w:tc>
      </w:tr>
      <w:tr>
        <w:trPr>
          <w:cantSplit/>
        </w:trPr>
        <w:tc>
          <w:tcPr>
            <w:tcW w:w="3090" w:type="dxa"/>
          </w:tcPr>
          <w:p>
            <w:pPr>
              <w:pStyle w:val="nTable"/>
              <w:spacing w:after="40"/>
            </w:pPr>
            <w:r>
              <w:t>Untitled regulations</w:t>
            </w:r>
          </w:p>
        </w:tc>
        <w:tc>
          <w:tcPr>
            <w:tcW w:w="1276" w:type="dxa"/>
          </w:tcPr>
          <w:p>
            <w:pPr>
              <w:pStyle w:val="nTable"/>
              <w:spacing w:after="40"/>
            </w:pPr>
            <w:r>
              <w:t>20 Oct 1944 p. 893</w:t>
            </w:r>
          </w:p>
        </w:tc>
        <w:tc>
          <w:tcPr>
            <w:tcW w:w="2722" w:type="dxa"/>
          </w:tcPr>
          <w:p>
            <w:pPr>
              <w:pStyle w:val="nTable"/>
              <w:spacing w:after="40"/>
            </w:pPr>
            <w:r>
              <w:t>20 Oct 1944</w:t>
            </w:r>
          </w:p>
        </w:tc>
      </w:tr>
      <w:tr>
        <w:trPr>
          <w:cantSplit/>
        </w:trPr>
        <w:tc>
          <w:tcPr>
            <w:tcW w:w="3090" w:type="dxa"/>
          </w:tcPr>
          <w:p>
            <w:pPr>
              <w:pStyle w:val="nTable"/>
              <w:spacing w:after="40"/>
            </w:pPr>
            <w:r>
              <w:t>Untitled regulations</w:t>
            </w:r>
          </w:p>
        </w:tc>
        <w:tc>
          <w:tcPr>
            <w:tcW w:w="1276" w:type="dxa"/>
          </w:tcPr>
          <w:p>
            <w:pPr>
              <w:pStyle w:val="nTable"/>
              <w:spacing w:after="40"/>
            </w:pPr>
            <w:r>
              <w:t>11 Jan 1946 p. 13</w:t>
            </w:r>
          </w:p>
        </w:tc>
        <w:tc>
          <w:tcPr>
            <w:tcW w:w="2722" w:type="dxa"/>
          </w:tcPr>
          <w:p>
            <w:pPr>
              <w:pStyle w:val="nTable"/>
              <w:spacing w:after="40"/>
            </w:pPr>
            <w:r>
              <w:t>11 Jan 1946</w:t>
            </w:r>
          </w:p>
        </w:tc>
      </w:tr>
      <w:tr>
        <w:trPr>
          <w:cantSplit/>
        </w:trPr>
        <w:tc>
          <w:tcPr>
            <w:tcW w:w="3090" w:type="dxa"/>
          </w:tcPr>
          <w:p>
            <w:pPr>
              <w:pStyle w:val="nTable"/>
              <w:spacing w:after="40"/>
            </w:pPr>
            <w:r>
              <w:t>Untitled regulations</w:t>
            </w:r>
          </w:p>
        </w:tc>
        <w:tc>
          <w:tcPr>
            <w:tcW w:w="1276" w:type="dxa"/>
          </w:tcPr>
          <w:p>
            <w:pPr>
              <w:pStyle w:val="nTable"/>
              <w:spacing w:after="40"/>
            </w:pPr>
            <w:r>
              <w:t>3 Jan 1947</w:t>
            </w:r>
            <w:r>
              <w:br/>
              <w:t>p. 7</w:t>
            </w:r>
          </w:p>
        </w:tc>
        <w:tc>
          <w:tcPr>
            <w:tcW w:w="2722" w:type="dxa"/>
          </w:tcPr>
          <w:p>
            <w:pPr>
              <w:pStyle w:val="nTable"/>
              <w:spacing w:after="40"/>
            </w:pPr>
            <w:r>
              <w:t>3 Jan 1947</w:t>
            </w:r>
          </w:p>
        </w:tc>
      </w:tr>
      <w:tr>
        <w:trPr>
          <w:cantSplit/>
        </w:trPr>
        <w:tc>
          <w:tcPr>
            <w:tcW w:w="3090" w:type="dxa"/>
          </w:tcPr>
          <w:p>
            <w:pPr>
              <w:pStyle w:val="nTable"/>
              <w:spacing w:after="40"/>
            </w:pPr>
            <w:r>
              <w:t>Untitled regulations</w:t>
            </w:r>
          </w:p>
        </w:tc>
        <w:tc>
          <w:tcPr>
            <w:tcW w:w="1276" w:type="dxa"/>
          </w:tcPr>
          <w:p>
            <w:pPr>
              <w:pStyle w:val="nTable"/>
              <w:spacing w:after="40"/>
            </w:pPr>
            <w:r>
              <w:t>31 Jan 1947 p. 182</w:t>
            </w:r>
          </w:p>
        </w:tc>
        <w:tc>
          <w:tcPr>
            <w:tcW w:w="2722" w:type="dxa"/>
          </w:tcPr>
          <w:p>
            <w:pPr>
              <w:pStyle w:val="nTable"/>
              <w:spacing w:after="40"/>
            </w:pPr>
            <w:r>
              <w:t>31 Jan 1947</w:t>
            </w:r>
          </w:p>
        </w:tc>
      </w:tr>
      <w:tr>
        <w:trPr>
          <w:cantSplit/>
        </w:trPr>
        <w:tc>
          <w:tcPr>
            <w:tcW w:w="3090" w:type="dxa"/>
          </w:tcPr>
          <w:p>
            <w:pPr>
              <w:pStyle w:val="nTable"/>
              <w:spacing w:after="40"/>
            </w:pPr>
            <w:r>
              <w:t>Untitled regulations</w:t>
            </w:r>
          </w:p>
        </w:tc>
        <w:tc>
          <w:tcPr>
            <w:tcW w:w="1276" w:type="dxa"/>
          </w:tcPr>
          <w:p>
            <w:pPr>
              <w:pStyle w:val="nTable"/>
              <w:spacing w:after="40"/>
            </w:pPr>
            <w:r>
              <w:t>23 May 1947 p. 885</w:t>
            </w:r>
          </w:p>
        </w:tc>
        <w:tc>
          <w:tcPr>
            <w:tcW w:w="2722" w:type="dxa"/>
          </w:tcPr>
          <w:p>
            <w:pPr>
              <w:pStyle w:val="nTable"/>
              <w:spacing w:after="40"/>
            </w:pPr>
            <w:r>
              <w:t>23 May 1947</w:t>
            </w:r>
          </w:p>
        </w:tc>
      </w:tr>
      <w:tr>
        <w:trPr>
          <w:cantSplit/>
        </w:trPr>
        <w:tc>
          <w:tcPr>
            <w:tcW w:w="3090" w:type="dxa"/>
          </w:tcPr>
          <w:p>
            <w:pPr>
              <w:pStyle w:val="nTable"/>
              <w:spacing w:after="40"/>
            </w:pPr>
            <w:r>
              <w:t>Untitled regulations</w:t>
            </w:r>
          </w:p>
        </w:tc>
        <w:tc>
          <w:tcPr>
            <w:tcW w:w="1276" w:type="dxa"/>
          </w:tcPr>
          <w:p>
            <w:pPr>
              <w:pStyle w:val="nTable"/>
              <w:spacing w:after="40"/>
            </w:pPr>
            <w:r>
              <w:t>29 Oct 1948 p. 2579</w:t>
            </w:r>
          </w:p>
        </w:tc>
        <w:tc>
          <w:tcPr>
            <w:tcW w:w="2722" w:type="dxa"/>
          </w:tcPr>
          <w:p>
            <w:pPr>
              <w:pStyle w:val="nTable"/>
              <w:spacing w:after="40"/>
            </w:pPr>
            <w:r>
              <w:t>29 Oct 1948</w:t>
            </w:r>
          </w:p>
        </w:tc>
      </w:tr>
      <w:tr>
        <w:trPr>
          <w:cantSplit/>
        </w:trPr>
        <w:tc>
          <w:tcPr>
            <w:tcW w:w="3090" w:type="dxa"/>
          </w:tcPr>
          <w:p>
            <w:pPr>
              <w:pStyle w:val="nTable"/>
              <w:spacing w:after="40"/>
            </w:pPr>
            <w:r>
              <w:t>Untitled regulations</w:t>
            </w:r>
          </w:p>
        </w:tc>
        <w:tc>
          <w:tcPr>
            <w:tcW w:w="1276" w:type="dxa"/>
          </w:tcPr>
          <w:p>
            <w:pPr>
              <w:pStyle w:val="nTable"/>
              <w:spacing w:after="40"/>
            </w:pPr>
            <w:r>
              <w:t>31 Dec 1948 p. 3114</w:t>
            </w:r>
          </w:p>
        </w:tc>
        <w:tc>
          <w:tcPr>
            <w:tcW w:w="2722" w:type="dxa"/>
          </w:tcPr>
          <w:p>
            <w:pPr>
              <w:pStyle w:val="nTable"/>
              <w:spacing w:after="40"/>
            </w:pPr>
            <w:r>
              <w:t>31 Dec 1948</w:t>
            </w:r>
          </w:p>
        </w:tc>
      </w:tr>
      <w:tr>
        <w:trPr>
          <w:cantSplit/>
        </w:trPr>
        <w:tc>
          <w:tcPr>
            <w:tcW w:w="3090" w:type="dxa"/>
          </w:tcPr>
          <w:p>
            <w:pPr>
              <w:pStyle w:val="nTable"/>
              <w:spacing w:after="40"/>
            </w:pPr>
            <w:r>
              <w:t>Untitled regulations</w:t>
            </w:r>
          </w:p>
        </w:tc>
        <w:tc>
          <w:tcPr>
            <w:tcW w:w="1276" w:type="dxa"/>
          </w:tcPr>
          <w:p>
            <w:pPr>
              <w:pStyle w:val="nTable"/>
              <w:spacing w:after="40"/>
            </w:pPr>
            <w:r>
              <w:t>3 Nov 1950 p. 2461</w:t>
            </w:r>
          </w:p>
        </w:tc>
        <w:tc>
          <w:tcPr>
            <w:tcW w:w="2722" w:type="dxa"/>
          </w:tcPr>
          <w:p>
            <w:pPr>
              <w:pStyle w:val="nTable"/>
              <w:spacing w:after="40"/>
            </w:pPr>
            <w:r>
              <w:t>3 Nov 1950</w:t>
            </w:r>
          </w:p>
        </w:tc>
      </w:tr>
      <w:tr>
        <w:trPr>
          <w:cantSplit/>
        </w:trPr>
        <w:tc>
          <w:tcPr>
            <w:tcW w:w="3090" w:type="dxa"/>
          </w:tcPr>
          <w:p>
            <w:pPr>
              <w:pStyle w:val="nTable"/>
              <w:spacing w:after="40"/>
            </w:pPr>
            <w:r>
              <w:t>Untitled regulations</w:t>
            </w:r>
          </w:p>
        </w:tc>
        <w:tc>
          <w:tcPr>
            <w:tcW w:w="1276" w:type="dxa"/>
          </w:tcPr>
          <w:p>
            <w:pPr>
              <w:pStyle w:val="nTable"/>
              <w:spacing w:after="40"/>
            </w:pPr>
            <w:r>
              <w:t>2 Mar 1951 p. 470</w:t>
            </w:r>
          </w:p>
        </w:tc>
        <w:tc>
          <w:tcPr>
            <w:tcW w:w="2722" w:type="dxa"/>
          </w:tcPr>
          <w:p>
            <w:pPr>
              <w:pStyle w:val="nTable"/>
              <w:spacing w:after="40"/>
            </w:pPr>
            <w:r>
              <w:t>2 Mar 1951</w:t>
            </w:r>
          </w:p>
        </w:tc>
      </w:tr>
      <w:tr>
        <w:trPr>
          <w:cantSplit/>
        </w:trPr>
        <w:tc>
          <w:tcPr>
            <w:tcW w:w="3090" w:type="dxa"/>
          </w:tcPr>
          <w:p>
            <w:pPr>
              <w:pStyle w:val="nTable"/>
              <w:spacing w:after="40"/>
            </w:pPr>
            <w:r>
              <w:t>Untitled regulations</w:t>
            </w:r>
          </w:p>
        </w:tc>
        <w:tc>
          <w:tcPr>
            <w:tcW w:w="1276" w:type="dxa"/>
          </w:tcPr>
          <w:p>
            <w:pPr>
              <w:pStyle w:val="nTable"/>
              <w:spacing w:after="40"/>
            </w:pPr>
            <w:r>
              <w:t xml:space="preserve">28 Sep 1951 p. 2575 </w:t>
            </w:r>
          </w:p>
        </w:tc>
        <w:tc>
          <w:tcPr>
            <w:tcW w:w="2722" w:type="dxa"/>
          </w:tcPr>
          <w:p>
            <w:pPr>
              <w:pStyle w:val="nTable"/>
              <w:spacing w:after="40"/>
            </w:pPr>
            <w:r>
              <w:t>28 Sep 1951</w:t>
            </w:r>
          </w:p>
        </w:tc>
      </w:tr>
      <w:tr>
        <w:trPr>
          <w:cantSplit/>
        </w:trPr>
        <w:tc>
          <w:tcPr>
            <w:tcW w:w="3090" w:type="dxa"/>
          </w:tcPr>
          <w:p>
            <w:pPr>
              <w:pStyle w:val="nTable"/>
              <w:spacing w:after="40"/>
            </w:pPr>
            <w:r>
              <w:t>Untitled regulations</w:t>
            </w:r>
          </w:p>
        </w:tc>
        <w:tc>
          <w:tcPr>
            <w:tcW w:w="1276" w:type="dxa"/>
          </w:tcPr>
          <w:p>
            <w:pPr>
              <w:pStyle w:val="nTable"/>
              <w:spacing w:after="40"/>
            </w:pPr>
            <w:r>
              <w:t>2 Nov 1951 p. 3021</w:t>
            </w:r>
          </w:p>
        </w:tc>
        <w:tc>
          <w:tcPr>
            <w:tcW w:w="2722" w:type="dxa"/>
          </w:tcPr>
          <w:p>
            <w:pPr>
              <w:pStyle w:val="nTable"/>
              <w:spacing w:after="40"/>
            </w:pPr>
            <w:r>
              <w:t>2 Nov 1951</w:t>
            </w:r>
          </w:p>
        </w:tc>
      </w:tr>
      <w:tr>
        <w:trPr>
          <w:cantSplit/>
        </w:trPr>
        <w:tc>
          <w:tcPr>
            <w:tcW w:w="3090" w:type="dxa"/>
          </w:tcPr>
          <w:p>
            <w:pPr>
              <w:pStyle w:val="nTable"/>
              <w:spacing w:after="40"/>
            </w:pPr>
            <w:r>
              <w:t>Untitled regulations</w:t>
            </w:r>
          </w:p>
        </w:tc>
        <w:tc>
          <w:tcPr>
            <w:tcW w:w="1276" w:type="dxa"/>
          </w:tcPr>
          <w:p>
            <w:pPr>
              <w:pStyle w:val="nTable"/>
              <w:spacing w:after="40"/>
            </w:pPr>
            <w:r>
              <w:t>2 May 1952 p. 1106</w:t>
            </w:r>
          </w:p>
        </w:tc>
        <w:tc>
          <w:tcPr>
            <w:tcW w:w="2722" w:type="dxa"/>
          </w:tcPr>
          <w:p>
            <w:pPr>
              <w:pStyle w:val="nTable"/>
              <w:spacing w:after="40"/>
            </w:pPr>
            <w:r>
              <w:t>2 May 1952</w:t>
            </w:r>
          </w:p>
        </w:tc>
      </w:tr>
      <w:tr>
        <w:trPr>
          <w:cantSplit/>
        </w:trPr>
        <w:tc>
          <w:tcPr>
            <w:tcW w:w="3090" w:type="dxa"/>
          </w:tcPr>
          <w:p>
            <w:pPr>
              <w:pStyle w:val="nTable"/>
              <w:spacing w:after="40"/>
            </w:pPr>
            <w:r>
              <w:t>Untitled regulations</w:t>
            </w:r>
          </w:p>
        </w:tc>
        <w:tc>
          <w:tcPr>
            <w:tcW w:w="1276" w:type="dxa"/>
          </w:tcPr>
          <w:p>
            <w:pPr>
              <w:pStyle w:val="nTable"/>
              <w:spacing w:after="40"/>
            </w:pPr>
            <w:r>
              <w:t>30 May 1952 p. 1335</w:t>
            </w:r>
          </w:p>
        </w:tc>
        <w:tc>
          <w:tcPr>
            <w:tcW w:w="2722" w:type="dxa"/>
          </w:tcPr>
          <w:p>
            <w:pPr>
              <w:pStyle w:val="nTable"/>
              <w:spacing w:after="40"/>
            </w:pPr>
            <w:r>
              <w:t>30 May 1952</w:t>
            </w:r>
          </w:p>
        </w:tc>
      </w:tr>
      <w:tr>
        <w:trPr>
          <w:cantSplit/>
        </w:trPr>
        <w:tc>
          <w:tcPr>
            <w:tcW w:w="3090" w:type="dxa"/>
          </w:tcPr>
          <w:p>
            <w:pPr>
              <w:pStyle w:val="nTable"/>
              <w:spacing w:after="40"/>
            </w:pPr>
            <w:r>
              <w:t>Untitled regulations</w:t>
            </w:r>
          </w:p>
        </w:tc>
        <w:tc>
          <w:tcPr>
            <w:tcW w:w="1276" w:type="dxa"/>
          </w:tcPr>
          <w:p>
            <w:pPr>
              <w:pStyle w:val="nTable"/>
              <w:spacing w:after="40"/>
            </w:pPr>
            <w:r>
              <w:t>5 Dec 1952 p. 2867</w:t>
            </w:r>
          </w:p>
        </w:tc>
        <w:tc>
          <w:tcPr>
            <w:tcW w:w="2722" w:type="dxa"/>
          </w:tcPr>
          <w:p>
            <w:pPr>
              <w:pStyle w:val="nTable"/>
              <w:spacing w:after="40"/>
            </w:pPr>
            <w:r>
              <w:t>5 Dec 1952</w:t>
            </w:r>
          </w:p>
        </w:tc>
      </w:tr>
      <w:tr>
        <w:trPr>
          <w:cantSplit/>
        </w:trPr>
        <w:tc>
          <w:tcPr>
            <w:tcW w:w="3090" w:type="dxa"/>
          </w:tcPr>
          <w:p>
            <w:pPr>
              <w:pStyle w:val="nTable"/>
              <w:spacing w:after="40"/>
            </w:pPr>
            <w:r>
              <w:t>Untitled regulations</w:t>
            </w:r>
          </w:p>
        </w:tc>
        <w:tc>
          <w:tcPr>
            <w:tcW w:w="1276" w:type="dxa"/>
          </w:tcPr>
          <w:p>
            <w:pPr>
              <w:pStyle w:val="nTable"/>
              <w:spacing w:after="40"/>
            </w:pPr>
            <w:r>
              <w:t>22 May 1953 p. 987</w:t>
            </w:r>
          </w:p>
        </w:tc>
        <w:tc>
          <w:tcPr>
            <w:tcW w:w="2722" w:type="dxa"/>
          </w:tcPr>
          <w:p>
            <w:pPr>
              <w:pStyle w:val="nTable"/>
              <w:spacing w:after="40"/>
            </w:pPr>
            <w:r>
              <w:t>22 May 1953</w:t>
            </w:r>
          </w:p>
        </w:tc>
      </w:tr>
      <w:tr>
        <w:trPr>
          <w:cantSplit/>
        </w:trPr>
        <w:tc>
          <w:tcPr>
            <w:tcW w:w="3090" w:type="dxa"/>
          </w:tcPr>
          <w:p>
            <w:pPr>
              <w:pStyle w:val="nTable"/>
              <w:spacing w:after="40"/>
            </w:pPr>
            <w:r>
              <w:t>Untitled regulations</w:t>
            </w:r>
          </w:p>
        </w:tc>
        <w:tc>
          <w:tcPr>
            <w:tcW w:w="1276" w:type="dxa"/>
          </w:tcPr>
          <w:p>
            <w:pPr>
              <w:pStyle w:val="nTable"/>
              <w:spacing w:after="40"/>
            </w:pPr>
            <w:r>
              <w:t>23 Jul 1954 p. 1291</w:t>
            </w:r>
          </w:p>
        </w:tc>
        <w:tc>
          <w:tcPr>
            <w:tcW w:w="2722" w:type="dxa"/>
          </w:tcPr>
          <w:p>
            <w:pPr>
              <w:pStyle w:val="nTable"/>
              <w:spacing w:after="40"/>
            </w:pPr>
            <w:r>
              <w:t>23 Jul 1954</w:t>
            </w:r>
          </w:p>
        </w:tc>
      </w:tr>
      <w:tr>
        <w:trPr>
          <w:cantSplit/>
        </w:trPr>
        <w:tc>
          <w:tcPr>
            <w:tcW w:w="3090" w:type="dxa"/>
          </w:tcPr>
          <w:p>
            <w:pPr>
              <w:pStyle w:val="nTable"/>
              <w:spacing w:after="40"/>
            </w:pPr>
            <w:r>
              <w:t>Untitled regulations</w:t>
            </w:r>
          </w:p>
        </w:tc>
        <w:tc>
          <w:tcPr>
            <w:tcW w:w="1276" w:type="dxa"/>
          </w:tcPr>
          <w:p>
            <w:pPr>
              <w:pStyle w:val="nTable"/>
              <w:spacing w:after="40"/>
            </w:pPr>
            <w:r>
              <w:t>19 Jul 1956 p. 1781</w:t>
            </w:r>
          </w:p>
        </w:tc>
        <w:tc>
          <w:tcPr>
            <w:tcW w:w="2722" w:type="dxa"/>
          </w:tcPr>
          <w:p>
            <w:pPr>
              <w:pStyle w:val="nTable"/>
              <w:spacing w:after="40"/>
            </w:pPr>
            <w:r>
              <w:t>19 Jul 1956</w:t>
            </w:r>
          </w:p>
        </w:tc>
      </w:tr>
      <w:tr>
        <w:trPr>
          <w:cantSplit/>
        </w:trPr>
        <w:tc>
          <w:tcPr>
            <w:tcW w:w="3090" w:type="dxa"/>
          </w:tcPr>
          <w:p>
            <w:pPr>
              <w:pStyle w:val="nTable"/>
              <w:spacing w:after="40"/>
            </w:pPr>
            <w:r>
              <w:t>Untitled regulations</w:t>
            </w:r>
          </w:p>
        </w:tc>
        <w:tc>
          <w:tcPr>
            <w:tcW w:w="1276" w:type="dxa"/>
          </w:tcPr>
          <w:p>
            <w:pPr>
              <w:pStyle w:val="nTable"/>
              <w:spacing w:after="40"/>
            </w:pPr>
            <w:r>
              <w:t>16 Apr 1957 p. 1127</w:t>
            </w:r>
          </w:p>
        </w:tc>
        <w:tc>
          <w:tcPr>
            <w:tcW w:w="2722" w:type="dxa"/>
          </w:tcPr>
          <w:p>
            <w:pPr>
              <w:pStyle w:val="nTable"/>
              <w:spacing w:after="40"/>
            </w:pPr>
            <w:r>
              <w:t>16 Apr 1957</w:t>
            </w:r>
          </w:p>
        </w:tc>
      </w:tr>
      <w:tr>
        <w:trPr>
          <w:cantSplit/>
        </w:trPr>
        <w:tc>
          <w:tcPr>
            <w:tcW w:w="3090" w:type="dxa"/>
          </w:tcPr>
          <w:p>
            <w:pPr>
              <w:pStyle w:val="nTable"/>
              <w:spacing w:after="40"/>
              <w:rPr>
                <w:i/>
              </w:rPr>
            </w:pPr>
            <w:r>
              <w:t>Untitled regulations</w:t>
            </w:r>
          </w:p>
        </w:tc>
        <w:tc>
          <w:tcPr>
            <w:tcW w:w="1276" w:type="dxa"/>
          </w:tcPr>
          <w:p>
            <w:pPr>
              <w:pStyle w:val="nTable"/>
              <w:spacing w:after="40"/>
            </w:pPr>
            <w:r>
              <w:t>12 Jul 1957 p. 2269-78</w:t>
            </w:r>
          </w:p>
        </w:tc>
        <w:tc>
          <w:tcPr>
            <w:tcW w:w="2722" w:type="dxa"/>
          </w:tcPr>
          <w:p>
            <w:pPr>
              <w:pStyle w:val="nTable"/>
              <w:spacing w:after="40"/>
            </w:pPr>
            <w:r>
              <w:t>12 Jul 1957</w:t>
            </w:r>
          </w:p>
        </w:tc>
      </w:tr>
      <w:tr>
        <w:trPr>
          <w:cantSplit/>
        </w:trPr>
        <w:tc>
          <w:tcPr>
            <w:tcW w:w="3090" w:type="dxa"/>
          </w:tcPr>
          <w:p>
            <w:pPr>
              <w:pStyle w:val="nTable"/>
              <w:spacing w:after="40"/>
              <w:rPr>
                <w:i/>
              </w:rPr>
            </w:pPr>
            <w:r>
              <w:t>Untitled regulations</w:t>
            </w:r>
          </w:p>
        </w:tc>
        <w:tc>
          <w:tcPr>
            <w:tcW w:w="1276" w:type="dxa"/>
          </w:tcPr>
          <w:p>
            <w:pPr>
              <w:pStyle w:val="nTable"/>
              <w:spacing w:after="40"/>
            </w:pPr>
            <w:r>
              <w:t>17 Mar 1960 p. 777-92</w:t>
            </w:r>
          </w:p>
        </w:tc>
        <w:tc>
          <w:tcPr>
            <w:tcW w:w="2722" w:type="dxa"/>
          </w:tcPr>
          <w:p>
            <w:pPr>
              <w:pStyle w:val="nTable"/>
              <w:spacing w:after="40"/>
            </w:pPr>
            <w:r>
              <w:t>17 Mar 1960</w:t>
            </w:r>
          </w:p>
        </w:tc>
      </w:tr>
      <w:tr>
        <w:trPr>
          <w:cantSplit/>
        </w:trPr>
        <w:tc>
          <w:tcPr>
            <w:tcW w:w="3090" w:type="dxa"/>
          </w:tcPr>
          <w:p>
            <w:pPr>
              <w:pStyle w:val="nTable"/>
              <w:spacing w:after="40"/>
              <w:rPr>
                <w:i/>
              </w:rPr>
            </w:pPr>
            <w:r>
              <w:t>Untitled regulations</w:t>
            </w:r>
          </w:p>
        </w:tc>
        <w:tc>
          <w:tcPr>
            <w:tcW w:w="1276" w:type="dxa"/>
          </w:tcPr>
          <w:p>
            <w:pPr>
              <w:pStyle w:val="nTable"/>
              <w:spacing w:after="40"/>
            </w:pPr>
            <w:r>
              <w:t>28 Sep 1960 p. 2987-8</w:t>
            </w:r>
          </w:p>
        </w:tc>
        <w:tc>
          <w:tcPr>
            <w:tcW w:w="2722" w:type="dxa"/>
          </w:tcPr>
          <w:p>
            <w:pPr>
              <w:pStyle w:val="nTable"/>
              <w:spacing w:after="40"/>
            </w:pPr>
            <w:r>
              <w:t>28 Sep 1960</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p>
        </w:tc>
      </w:tr>
      <w:tr>
        <w:trPr>
          <w:cantSplit/>
        </w:trPr>
        <w:tc>
          <w:tcPr>
            <w:tcW w:w="3090" w:type="dxa"/>
          </w:tcPr>
          <w:p>
            <w:pPr>
              <w:pStyle w:val="nTable"/>
              <w:spacing w:after="40"/>
              <w:rPr>
                <w:i/>
              </w:rPr>
            </w:pPr>
            <w:r>
              <w:t>Untitled regulations</w:t>
            </w:r>
          </w:p>
        </w:tc>
        <w:tc>
          <w:tcPr>
            <w:tcW w:w="1276" w:type="dxa"/>
          </w:tcPr>
          <w:p>
            <w:pPr>
              <w:pStyle w:val="nTable"/>
              <w:spacing w:after="40"/>
            </w:pPr>
            <w:r>
              <w:t>26 Oct 1962 p. 3482-3</w:t>
            </w:r>
          </w:p>
        </w:tc>
        <w:tc>
          <w:tcPr>
            <w:tcW w:w="2722" w:type="dxa"/>
          </w:tcPr>
          <w:p>
            <w:pPr>
              <w:pStyle w:val="nTable"/>
              <w:spacing w:after="40"/>
            </w:pPr>
            <w:r>
              <w:t>26 Oct 1962</w:t>
            </w:r>
          </w:p>
        </w:tc>
      </w:tr>
      <w:tr>
        <w:trPr>
          <w:cantSplit/>
        </w:trPr>
        <w:tc>
          <w:tcPr>
            <w:tcW w:w="3090" w:type="dxa"/>
          </w:tcPr>
          <w:p>
            <w:pPr>
              <w:pStyle w:val="nTable"/>
              <w:spacing w:after="40"/>
              <w:rPr>
                <w:i/>
              </w:rPr>
            </w:pPr>
            <w:r>
              <w:t>Untitled regulations</w:t>
            </w:r>
          </w:p>
        </w:tc>
        <w:tc>
          <w:tcPr>
            <w:tcW w:w="1276" w:type="dxa"/>
          </w:tcPr>
          <w:p>
            <w:pPr>
              <w:pStyle w:val="nTable"/>
              <w:spacing w:after="40"/>
            </w:pPr>
            <w:r>
              <w:t>20 Dec 1962 p. 4054</w:t>
            </w:r>
          </w:p>
        </w:tc>
        <w:tc>
          <w:tcPr>
            <w:tcW w:w="2722" w:type="dxa"/>
          </w:tcPr>
          <w:p>
            <w:pPr>
              <w:pStyle w:val="nTable"/>
              <w:spacing w:after="40"/>
            </w:pPr>
            <w:r>
              <w:t>20 Dec 1962</w:t>
            </w:r>
          </w:p>
        </w:tc>
      </w:tr>
      <w:tr>
        <w:trPr>
          <w:cantSplit/>
        </w:trPr>
        <w:tc>
          <w:tcPr>
            <w:tcW w:w="3090" w:type="dxa"/>
          </w:tcPr>
          <w:p>
            <w:pPr>
              <w:pStyle w:val="nTable"/>
              <w:spacing w:after="40"/>
              <w:rPr>
                <w:i/>
              </w:rPr>
            </w:pPr>
            <w:r>
              <w:t>Untitled regulations</w:t>
            </w:r>
          </w:p>
        </w:tc>
        <w:tc>
          <w:tcPr>
            <w:tcW w:w="1276" w:type="dxa"/>
          </w:tcPr>
          <w:p>
            <w:pPr>
              <w:pStyle w:val="nTable"/>
              <w:spacing w:after="40"/>
            </w:pPr>
            <w:r>
              <w:t>7 Feb 1963 p. 570</w:t>
            </w:r>
          </w:p>
        </w:tc>
        <w:tc>
          <w:tcPr>
            <w:tcW w:w="2722" w:type="dxa"/>
          </w:tcPr>
          <w:p>
            <w:pPr>
              <w:pStyle w:val="nTable"/>
              <w:spacing w:after="40"/>
            </w:pPr>
            <w:r>
              <w:t>7 Feb 1963</w:t>
            </w:r>
          </w:p>
        </w:tc>
      </w:tr>
      <w:tr>
        <w:trPr>
          <w:cantSplit/>
        </w:trPr>
        <w:tc>
          <w:tcPr>
            <w:tcW w:w="3090" w:type="dxa"/>
          </w:tcPr>
          <w:p>
            <w:pPr>
              <w:pStyle w:val="nTable"/>
              <w:spacing w:after="40"/>
              <w:rPr>
                <w:i/>
              </w:rPr>
            </w:pPr>
            <w:r>
              <w:t>Untitled regulations</w:t>
            </w:r>
          </w:p>
        </w:tc>
        <w:tc>
          <w:tcPr>
            <w:tcW w:w="1276" w:type="dxa"/>
          </w:tcPr>
          <w:p>
            <w:pPr>
              <w:pStyle w:val="nTable"/>
              <w:spacing w:after="40"/>
            </w:pPr>
            <w:r>
              <w:t>16 Sep 1963 p. 2828-31</w:t>
            </w:r>
          </w:p>
        </w:tc>
        <w:tc>
          <w:tcPr>
            <w:tcW w:w="2722" w:type="dxa"/>
          </w:tcPr>
          <w:p>
            <w:pPr>
              <w:pStyle w:val="nTable"/>
              <w:spacing w:after="40"/>
            </w:pPr>
            <w:r>
              <w:t>16 Sep 1963</w:t>
            </w:r>
          </w:p>
        </w:tc>
      </w:tr>
      <w:tr>
        <w:trPr>
          <w:cantSplit/>
        </w:trPr>
        <w:tc>
          <w:tcPr>
            <w:tcW w:w="3090" w:type="dxa"/>
          </w:tcPr>
          <w:p>
            <w:pPr>
              <w:pStyle w:val="nTable"/>
              <w:spacing w:after="40"/>
              <w:rPr>
                <w:i/>
              </w:rPr>
            </w:pPr>
            <w:r>
              <w:t>Untitled regulations</w:t>
            </w:r>
          </w:p>
        </w:tc>
        <w:tc>
          <w:tcPr>
            <w:tcW w:w="1276" w:type="dxa"/>
          </w:tcPr>
          <w:p>
            <w:pPr>
              <w:pStyle w:val="nTable"/>
              <w:spacing w:after="40"/>
            </w:pPr>
            <w:r>
              <w:t>23 Jun 1964 p. 2500</w:t>
            </w:r>
          </w:p>
        </w:tc>
        <w:tc>
          <w:tcPr>
            <w:tcW w:w="2722" w:type="dxa"/>
          </w:tcPr>
          <w:p>
            <w:pPr>
              <w:pStyle w:val="nTable"/>
              <w:spacing w:after="40"/>
            </w:pPr>
            <w:r>
              <w:t>23 Jun 1964</w:t>
            </w:r>
          </w:p>
        </w:tc>
      </w:tr>
      <w:tr>
        <w:trPr>
          <w:cantSplit/>
        </w:trPr>
        <w:tc>
          <w:tcPr>
            <w:tcW w:w="3090" w:type="dxa"/>
          </w:tcPr>
          <w:p>
            <w:pPr>
              <w:pStyle w:val="nTable"/>
              <w:spacing w:after="40"/>
              <w:rPr>
                <w:i/>
              </w:rPr>
            </w:pPr>
            <w:r>
              <w:t>Untitled regulations</w:t>
            </w:r>
          </w:p>
        </w:tc>
        <w:tc>
          <w:tcPr>
            <w:tcW w:w="1276" w:type="dxa"/>
          </w:tcPr>
          <w:p>
            <w:pPr>
              <w:pStyle w:val="nTable"/>
              <w:spacing w:after="40"/>
            </w:pPr>
            <w:r>
              <w:t>11 Aug 1964 p. 2880</w:t>
            </w:r>
          </w:p>
        </w:tc>
        <w:tc>
          <w:tcPr>
            <w:tcW w:w="2722" w:type="dxa"/>
          </w:tcPr>
          <w:p>
            <w:pPr>
              <w:pStyle w:val="nTable"/>
              <w:spacing w:after="40"/>
            </w:pPr>
            <w:r>
              <w:t>11 Aug 1964</w:t>
            </w:r>
          </w:p>
        </w:tc>
      </w:tr>
      <w:tr>
        <w:trPr>
          <w:cantSplit/>
        </w:trPr>
        <w:tc>
          <w:tcPr>
            <w:tcW w:w="3090" w:type="dxa"/>
          </w:tcPr>
          <w:p>
            <w:pPr>
              <w:pStyle w:val="nTable"/>
              <w:spacing w:after="40"/>
            </w:pPr>
            <w:r>
              <w:t>Untitled regulations</w:t>
            </w:r>
          </w:p>
        </w:tc>
        <w:tc>
          <w:tcPr>
            <w:tcW w:w="1276" w:type="dxa"/>
          </w:tcPr>
          <w:p>
            <w:pPr>
              <w:pStyle w:val="nTable"/>
              <w:spacing w:after="40"/>
            </w:pPr>
            <w:r>
              <w:t>9 Dec 1964 p. 3907</w:t>
            </w:r>
          </w:p>
        </w:tc>
        <w:tc>
          <w:tcPr>
            <w:tcW w:w="2722" w:type="dxa"/>
          </w:tcPr>
          <w:p>
            <w:pPr>
              <w:pStyle w:val="nTable"/>
              <w:spacing w:after="40"/>
            </w:pPr>
            <w:r>
              <w:t>9 Dec 1964</w:t>
            </w:r>
          </w:p>
        </w:tc>
      </w:tr>
      <w:tr>
        <w:trPr>
          <w:cantSplit/>
        </w:trPr>
        <w:tc>
          <w:tcPr>
            <w:tcW w:w="3090" w:type="dxa"/>
          </w:tcPr>
          <w:p>
            <w:pPr>
              <w:pStyle w:val="nTable"/>
              <w:spacing w:after="40"/>
            </w:pPr>
            <w:r>
              <w:t>Untitled regulations</w:t>
            </w:r>
          </w:p>
        </w:tc>
        <w:tc>
          <w:tcPr>
            <w:tcW w:w="1276" w:type="dxa"/>
          </w:tcPr>
          <w:p>
            <w:pPr>
              <w:pStyle w:val="nTable"/>
              <w:spacing w:after="40"/>
            </w:pPr>
            <w:r>
              <w:t>8 Feb 1965 p. 467</w:t>
            </w:r>
          </w:p>
        </w:tc>
        <w:tc>
          <w:tcPr>
            <w:tcW w:w="2722" w:type="dxa"/>
          </w:tcPr>
          <w:p>
            <w:pPr>
              <w:pStyle w:val="nTable"/>
              <w:spacing w:after="40"/>
            </w:pPr>
            <w:r>
              <w:t>8 Feb 1965</w:t>
            </w:r>
          </w:p>
        </w:tc>
      </w:tr>
      <w:tr>
        <w:trPr>
          <w:cantSplit/>
        </w:trPr>
        <w:tc>
          <w:tcPr>
            <w:tcW w:w="3090" w:type="dxa"/>
          </w:tcPr>
          <w:p>
            <w:pPr>
              <w:pStyle w:val="nTable"/>
              <w:spacing w:after="40"/>
            </w:pPr>
            <w:r>
              <w:t>Untitled regulations</w:t>
            </w:r>
          </w:p>
        </w:tc>
        <w:tc>
          <w:tcPr>
            <w:tcW w:w="1276" w:type="dxa"/>
          </w:tcPr>
          <w:p>
            <w:pPr>
              <w:pStyle w:val="nTable"/>
              <w:spacing w:after="40"/>
            </w:pPr>
            <w:r>
              <w:t>12 May 1965 p. 1464</w:t>
            </w:r>
          </w:p>
        </w:tc>
        <w:tc>
          <w:tcPr>
            <w:tcW w:w="2722" w:type="dxa"/>
          </w:tcPr>
          <w:p>
            <w:pPr>
              <w:pStyle w:val="nTable"/>
              <w:spacing w:after="40"/>
            </w:pPr>
            <w:r>
              <w:t>12 May 1965</w:t>
            </w:r>
          </w:p>
        </w:tc>
      </w:tr>
      <w:tr>
        <w:trPr>
          <w:cantSplit/>
        </w:trPr>
        <w:tc>
          <w:tcPr>
            <w:tcW w:w="3090" w:type="dxa"/>
          </w:tcPr>
          <w:p>
            <w:pPr>
              <w:pStyle w:val="nTable"/>
              <w:spacing w:after="40"/>
            </w:pPr>
            <w:r>
              <w:t>Untitled regulations</w:t>
            </w:r>
          </w:p>
        </w:tc>
        <w:tc>
          <w:tcPr>
            <w:tcW w:w="1276" w:type="dxa"/>
          </w:tcPr>
          <w:p>
            <w:pPr>
              <w:pStyle w:val="nTable"/>
              <w:spacing w:after="40"/>
            </w:pPr>
            <w:r>
              <w:t>26 May 1965 p. 1614</w:t>
            </w:r>
          </w:p>
        </w:tc>
        <w:tc>
          <w:tcPr>
            <w:tcW w:w="2722" w:type="dxa"/>
          </w:tcPr>
          <w:p>
            <w:pPr>
              <w:pStyle w:val="nTable"/>
              <w:spacing w:after="40"/>
            </w:pPr>
            <w:r>
              <w:t>26 May 1965</w:t>
            </w:r>
          </w:p>
        </w:tc>
      </w:tr>
      <w:tr>
        <w:trPr>
          <w:cantSplit/>
        </w:trPr>
        <w:tc>
          <w:tcPr>
            <w:tcW w:w="3090" w:type="dxa"/>
          </w:tcPr>
          <w:p>
            <w:pPr>
              <w:pStyle w:val="nTable"/>
              <w:spacing w:after="40"/>
            </w:pPr>
            <w:r>
              <w:t>Untitled regulations</w:t>
            </w:r>
          </w:p>
        </w:tc>
        <w:tc>
          <w:tcPr>
            <w:tcW w:w="1276" w:type="dxa"/>
          </w:tcPr>
          <w:p>
            <w:pPr>
              <w:pStyle w:val="nTable"/>
              <w:spacing w:after="40"/>
            </w:pPr>
            <w:r>
              <w:t>10 Jun 1965 p. 1726</w:t>
            </w:r>
          </w:p>
        </w:tc>
        <w:tc>
          <w:tcPr>
            <w:tcW w:w="2722" w:type="dxa"/>
          </w:tcPr>
          <w:p>
            <w:pPr>
              <w:pStyle w:val="nTable"/>
              <w:spacing w:after="40"/>
            </w:pPr>
            <w:r>
              <w:t>10 Jun 1965</w:t>
            </w:r>
          </w:p>
        </w:tc>
      </w:tr>
      <w:tr>
        <w:trPr>
          <w:cantSplit/>
        </w:trPr>
        <w:tc>
          <w:tcPr>
            <w:tcW w:w="3090" w:type="dxa"/>
          </w:tcPr>
          <w:p>
            <w:pPr>
              <w:pStyle w:val="nTable"/>
              <w:spacing w:after="40"/>
            </w:pPr>
            <w:r>
              <w:t>Untitled regulations</w:t>
            </w:r>
          </w:p>
        </w:tc>
        <w:tc>
          <w:tcPr>
            <w:tcW w:w="1276" w:type="dxa"/>
          </w:tcPr>
          <w:p>
            <w:pPr>
              <w:pStyle w:val="nTable"/>
              <w:spacing w:after="40"/>
            </w:pPr>
            <w:r>
              <w:t>1 Sep 1965 p. 2590-6</w:t>
            </w:r>
          </w:p>
        </w:tc>
        <w:tc>
          <w:tcPr>
            <w:tcW w:w="2722" w:type="dxa"/>
          </w:tcPr>
          <w:p>
            <w:pPr>
              <w:pStyle w:val="nTable"/>
              <w:spacing w:after="40"/>
            </w:pPr>
            <w:r>
              <w:t>1 Sep 1965</w:t>
            </w:r>
          </w:p>
        </w:tc>
      </w:tr>
      <w:tr>
        <w:trPr>
          <w:cantSplit/>
        </w:trPr>
        <w:tc>
          <w:tcPr>
            <w:tcW w:w="4366" w:type="dxa"/>
            <w:gridSpan w:val="2"/>
          </w:tcPr>
          <w:p>
            <w:pPr>
              <w:pStyle w:val="nTable"/>
              <w:spacing w:after="40"/>
            </w:pPr>
            <w:r>
              <w:rPr>
                <w:i/>
              </w:rPr>
              <w:t xml:space="preserve">Decimal Currency Act 1965 </w:t>
            </w:r>
            <w:r>
              <w:t>assented to 21 Dec 1965</w:t>
            </w:r>
          </w:p>
        </w:tc>
        <w:tc>
          <w:tcPr>
            <w:tcW w:w="2722" w:type="dxa"/>
          </w:tcPr>
          <w:p>
            <w:pPr>
              <w:pStyle w:val="nTable"/>
              <w:spacing w:after="40"/>
            </w:pPr>
            <w:r>
              <w:t>Act other than s. 4-9: 21 Dec 1965 (see s. 2(1));</w:t>
            </w:r>
            <w:r>
              <w:br/>
              <w:t>s. 4-9: 14 Feb 1966 (see s. 2(2))</w:t>
            </w:r>
          </w:p>
        </w:tc>
      </w:tr>
      <w:tr>
        <w:trPr>
          <w:cantSplit/>
        </w:trPr>
        <w:tc>
          <w:tcPr>
            <w:tcW w:w="3090" w:type="dxa"/>
          </w:tcPr>
          <w:p>
            <w:pPr>
              <w:pStyle w:val="nTable"/>
              <w:spacing w:after="40"/>
            </w:pPr>
            <w:r>
              <w:t>Untitled regulations</w:t>
            </w:r>
          </w:p>
        </w:tc>
        <w:tc>
          <w:tcPr>
            <w:tcW w:w="1276" w:type="dxa"/>
          </w:tcPr>
          <w:p>
            <w:pPr>
              <w:pStyle w:val="nTable"/>
              <w:spacing w:after="40"/>
            </w:pPr>
            <w:r>
              <w:t>17 Mar 1966 p. 731</w:t>
            </w:r>
          </w:p>
        </w:tc>
        <w:tc>
          <w:tcPr>
            <w:tcW w:w="2722" w:type="dxa"/>
          </w:tcPr>
          <w:p>
            <w:pPr>
              <w:pStyle w:val="nTable"/>
              <w:spacing w:after="40"/>
            </w:pPr>
            <w:r>
              <w:t>17 Mar 1966</w:t>
            </w:r>
          </w:p>
        </w:tc>
      </w:tr>
      <w:tr>
        <w:trPr>
          <w:cantSplit/>
        </w:trPr>
        <w:tc>
          <w:tcPr>
            <w:tcW w:w="3090" w:type="dxa"/>
          </w:tcPr>
          <w:p>
            <w:pPr>
              <w:pStyle w:val="nTable"/>
              <w:spacing w:after="40"/>
            </w:pPr>
            <w:r>
              <w:t>Untitled regulations</w:t>
            </w:r>
          </w:p>
        </w:tc>
        <w:tc>
          <w:tcPr>
            <w:tcW w:w="1276" w:type="dxa"/>
          </w:tcPr>
          <w:p>
            <w:pPr>
              <w:pStyle w:val="nTable"/>
              <w:spacing w:after="40"/>
            </w:pPr>
            <w:r>
              <w:t>14 Apr 1966 p. 918</w:t>
            </w:r>
          </w:p>
        </w:tc>
        <w:tc>
          <w:tcPr>
            <w:tcW w:w="2722" w:type="dxa"/>
          </w:tcPr>
          <w:p>
            <w:pPr>
              <w:pStyle w:val="nTable"/>
              <w:spacing w:after="40"/>
            </w:pPr>
            <w:r>
              <w:t>14 Apr 1966</w:t>
            </w:r>
          </w:p>
        </w:tc>
      </w:tr>
      <w:tr>
        <w:trPr>
          <w:cantSplit/>
        </w:trPr>
        <w:tc>
          <w:tcPr>
            <w:tcW w:w="3090" w:type="dxa"/>
          </w:tcPr>
          <w:p>
            <w:pPr>
              <w:pStyle w:val="nTable"/>
              <w:spacing w:after="40"/>
            </w:pPr>
            <w:r>
              <w:t>Untitled regulations</w:t>
            </w:r>
          </w:p>
        </w:tc>
        <w:tc>
          <w:tcPr>
            <w:tcW w:w="1276" w:type="dxa"/>
          </w:tcPr>
          <w:p>
            <w:pPr>
              <w:pStyle w:val="nTable"/>
              <w:spacing w:after="40"/>
            </w:pPr>
            <w:r>
              <w:t>4 Jun 1968 p. 1684-93</w:t>
            </w:r>
          </w:p>
        </w:tc>
        <w:tc>
          <w:tcPr>
            <w:tcW w:w="2722" w:type="dxa"/>
          </w:tcPr>
          <w:p>
            <w:pPr>
              <w:pStyle w:val="nTable"/>
              <w:spacing w:after="40"/>
            </w:pPr>
            <w:r>
              <w:t>4 Jun 1968</w:t>
            </w:r>
          </w:p>
        </w:tc>
      </w:tr>
      <w:tr>
        <w:trPr>
          <w:cantSplit/>
        </w:trPr>
        <w:tc>
          <w:tcPr>
            <w:tcW w:w="3090" w:type="dxa"/>
          </w:tcPr>
          <w:p>
            <w:pPr>
              <w:pStyle w:val="nTable"/>
              <w:spacing w:after="40"/>
            </w:pPr>
            <w:r>
              <w:t>Untitled regulations</w:t>
            </w:r>
          </w:p>
        </w:tc>
        <w:tc>
          <w:tcPr>
            <w:tcW w:w="1276" w:type="dxa"/>
          </w:tcPr>
          <w:p>
            <w:pPr>
              <w:pStyle w:val="nTable"/>
              <w:spacing w:after="40"/>
            </w:pPr>
            <w:r>
              <w:t>30 Dec 1968 p. 3949</w:t>
            </w:r>
          </w:p>
        </w:tc>
        <w:tc>
          <w:tcPr>
            <w:tcW w:w="2722" w:type="dxa"/>
          </w:tcPr>
          <w:p>
            <w:pPr>
              <w:pStyle w:val="nTable"/>
              <w:spacing w:after="40"/>
            </w:pPr>
            <w:r>
              <w:t>30 Dec 1968</w:t>
            </w:r>
          </w:p>
        </w:tc>
      </w:tr>
      <w:tr>
        <w:trPr>
          <w:cantSplit/>
        </w:trPr>
        <w:tc>
          <w:tcPr>
            <w:tcW w:w="3090" w:type="dxa"/>
          </w:tcPr>
          <w:p>
            <w:pPr>
              <w:pStyle w:val="nTable"/>
              <w:spacing w:after="40"/>
            </w:pPr>
            <w:r>
              <w:t>Untitled regulations</w:t>
            </w:r>
          </w:p>
        </w:tc>
        <w:tc>
          <w:tcPr>
            <w:tcW w:w="1276" w:type="dxa"/>
          </w:tcPr>
          <w:p>
            <w:pPr>
              <w:pStyle w:val="nTable"/>
              <w:spacing w:after="40"/>
            </w:pPr>
            <w:r>
              <w:t>24 Nov 1972 p. 4486-91</w:t>
            </w:r>
          </w:p>
        </w:tc>
        <w:tc>
          <w:tcPr>
            <w:tcW w:w="2722" w:type="dxa"/>
          </w:tcPr>
          <w:p>
            <w:pPr>
              <w:pStyle w:val="nTable"/>
              <w:spacing w:after="40"/>
            </w:pPr>
            <w:r>
              <w:t>24 Nov 1972</w:t>
            </w:r>
          </w:p>
        </w:tc>
      </w:tr>
      <w:tr>
        <w:trPr>
          <w:cantSplit/>
        </w:trPr>
        <w:tc>
          <w:tcPr>
            <w:tcW w:w="3090" w:type="dxa"/>
          </w:tcPr>
          <w:p>
            <w:pPr>
              <w:pStyle w:val="nTable"/>
              <w:spacing w:after="40"/>
            </w:pPr>
            <w:r>
              <w:t>Untitled regulations</w:t>
            </w:r>
          </w:p>
        </w:tc>
        <w:tc>
          <w:tcPr>
            <w:tcW w:w="1276" w:type="dxa"/>
          </w:tcPr>
          <w:p>
            <w:pPr>
              <w:pStyle w:val="nTable"/>
              <w:spacing w:after="40"/>
            </w:pPr>
            <w:r>
              <w:t>15 Jun 1973 p. 2237</w:t>
            </w:r>
            <w:r>
              <w:noBreakHyphen/>
              <w:t>42 (erratum 13 Dec 1974 p. 5544)</w:t>
            </w:r>
          </w:p>
        </w:tc>
        <w:tc>
          <w:tcPr>
            <w:tcW w:w="2722" w:type="dxa"/>
          </w:tcPr>
          <w:p>
            <w:pPr>
              <w:pStyle w:val="nTable"/>
              <w:spacing w:after="40"/>
            </w:pPr>
            <w:r>
              <w:t>1 Jul 1973</w:t>
            </w:r>
          </w:p>
        </w:tc>
      </w:tr>
      <w:tr>
        <w:trPr>
          <w:cantSplit/>
        </w:trPr>
        <w:tc>
          <w:tcPr>
            <w:tcW w:w="3090" w:type="dxa"/>
          </w:tcPr>
          <w:p>
            <w:pPr>
              <w:pStyle w:val="nTable"/>
              <w:spacing w:after="40"/>
            </w:pPr>
            <w:r>
              <w:t>Untitled regulations</w:t>
            </w:r>
          </w:p>
        </w:tc>
        <w:tc>
          <w:tcPr>
            <w:tcW w:w="1276" w:type="dxa"/>
          </w:tcPr>
          <w:p>
            <w:pPr>
              <w:pStyle w:val="nTable"/>
              <w:spacing w:after="40"/>
            </w:pPr>
            <w:r>
              <w:t>19 Oct 1973 p. 3818-19</w:t>
            </w:r>
          </w:p>
        </w:tc>
        <w:tc>
          <w:tcPr>
            <w:tcW w:w="2722" w:type="dxa"/>
          </w:tcPr>
          <w:p>
            <w:pPr>
              <w:pStyle w:val="nTable"/>
              <w:spacing w:after="40"/>
            </w:pPr>
            <w:r>
              <w:t>19 Oct 1973</w:t>
            </w:r>
          </w:p>
        </w:tc>
      </w:tr>
      <w:tr>
        <w:trPr>
          <w:cantSplit/>
        </w:trPr>
        <w:tc>
          <w:tcPr>
            <w:tcW w:w="3090" w:type="dxa"/>
          </w:tcPr>
          <w:p>
            <w:pPr>
              <w:pStyle w:val="nTable"/>
              <w:spacing w:after="40"/>
            </w:pPr>
            <w:r>
              <w:t>Untitled regulations</w:t>
            </w:r>
          </w:p>
        </w:tc>
        <w:tc>
          <w:tcPr>
            <w:tcW w:w="1276" w:type="dxa"/>
          </w:tcPr>
          <w:p>
            <w:pPr>
              <w:pStyle w:val="nTable"/>
              <w:spacing w:after="40"/>
            </w:pPr>
            <w:r>
              <w:t>9 Nov 1973 p. 4192</w:t>
            </w:r>
          </w:p>
        </w:tc>
        <w:tc>
          <w:tcPr>
            <w:tcW w:w="2722" w:type="dxa"/>
          </w:tcPr>
          <w:p>
            <w:pPr>
              <w:pStyle w:val="nTable"/>
              <w:spacing w:after="40"/>
            </w:pPr>
            <w:r>
              <w:t xml:space="preserve">9 Nov 1973 </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p>
        </w:tc>
      </w:tr>
      <w:tr>
        <w:trPr>
          <w:cantSplit/>
        </w:trPr>
        <w:tc>
          <w:tcPr>
            <w:tcW w:w="3090" w:type="dxa"/>
          </w:tcPr>
          <w:p>
            <w:pPr>
              <w:pStyle w:val="nTable"/>
              <w:spacing w:after="40"/>
            </w:pPr>
            <w:r>
              <w:t>Untitled regulations</w:t>
            </w:r>
          </w:p>
        </w:tc>
        <w:tc>
          <w:tcPr>
            <w:tcW w:w="1276" w:type="dxa"/>
          </w:tcPr>
          <w:p>
            <w:pPr>
              <w:pStyle w:val="nTable"/>
              <w:spacing w:after="40"/>
            </w:pPr>
            <w:r>
              <w:t>22 Aug 1975 p. 3040-3</w:t>
            </w:r>
          </w:p>
        </w:tc>
        <w:tc>
          <w:tcPr>
            <w:tcW w:w="2722" w:type="dxa"/>
          </w:tcPr>
          <w:p>
            <w:pPr>
              <w:pStyle w:val="nTable"/>
              <w:spacing w:after="40"/>
            </w:pPr>
            <w:r>
              <w:t>22 Aug 1975</w:t>
            </w:r>
          </w:p>
        </w:tc>
      </w:tr>
      <w:tr>
        <w:trPr>
          <w:cantSplit/>
        </w:trPr>
        <w:tc>
          <w:tcPr>
            <w:tcW w:w="3090" w:type="dxa"/>
          </w:tcPr>
          <w:p>
            <w:pPr>
              <w:pStyle w:val="nTable"/>
              <w:spacing w:after="40"/>
            </w:pPr>
            <w:r>
              <w:t>Untitled regulations</w:t>
            </w:r>
          </w:p>
        </w:tc>
        <w:tc>
          <w:tcPr>
            <w:tcW w:w="1276" w:type="dxa"/>
          </w:tcPr>
          <w:p>
            <w:pPr>
              <w:pStyle w:val="nTable"/>
              <w:spacing w:after="40"/>
            </w:pPr>
            <w:r>
              <w:t>20 Feb 1976 p. 484-7</w:t>
            </w:r>
          </w:p>
        </w:tc>
        <w:tc>
          <w:tcPr>
            <w:tcW w:w="2722" w:type="dxa"/>
          </w:tcPr>
          <w:p>
            <w:pPr>
              <w:pStyle w:val="nTable"/>
              <w:spacing w:after="40"/>
            </w:pPr>
            <w:r>
              <w:t>20 Feb 1976</w:t>
            </w:r>
          </w:p>
        </w:tc>
      </w:tr>
      <w:tr>
        <w:trPr>
          <w:cantSplit/>
        </w:trPr>
        <w:tc>
          <w:tcPr>
            <w:tcW w:w="3090" w:type="dxa"/>
          </w:tcPr>
          <w:p>
            <w:pPr>
              <w:pStyle w:val="nTable"/>
              <w:spacing w:after="40"/>
            </w:pPr>
            <w:r>
              <w:t>Untitled regulations</w:t>
            </w:r>
          </w:p>
        </w:tc>
        <w:tc>
          <w:tcPr>
            <w:tcW w:w="1276" w:type="dxa"/>
          </w:tcPr>
          <w:p>
            <w:pPr>
              <w:pStyle w:val="nTable"/>
              <w:spacing w:after="40"/>
            </w:pPr>
            <w:r>
              <w:t>17 Sep 1976 p. 3463</w:t>
            </w:r>
          </w:p>
        </w:tc>
        <w:tc>
          <w:tcPr>
            <w:tcW w:w="2722" w:type="dxa"/>
          </w:tcPr>
          <w:p>
            <w:pPr>
              <w:pStyle w:val="nTable"/>
              <w:spacing w:after="40"/>
            </w:pPr>
            <w:r>
              <w:t>17 Sep 1976</w:t>
            </w:r>
          </w:p>
        </w:tc>
      </w:tr>
      <w:tr>
        <w:trPr>
          <w:cantSplit/>
        </w:trPr>
        <w:tc>
          <w:tcPr>
            <w:tcW w:w="3090" w:type="dxa"/>
          </w:tcPr>
          <w:p>
            <w:pPr>
              <w:pStyle w:val="nTable"/>
              <w:spacing w:after="40"/>
            </w:pPr>
            <w:r>
              <w:t>Untitled regulations</w:t>
            </w:r>
          </w:p>
        </w:tc>
        <w:tc>
          <w:tcPr>
            <w:tcW w:w="1276" w:type="dxa"/>
          </w:tcPr>
          <w:p>
            <w:pPr>
              <w:pStyle w:val="nTable"/>
              <w:spacing w:after="40"/>
            </w:pPr>
            <w:r>
              <w:t>13 Jan 1978 p. 149-52</w:t>
            </w:r>
          </w:p>
        </w:tc>
        <w:tc>
          <w:tcPr>
            <w:tcW w:w="2722" w:type="dxa"/>
          </w:tcPr>
          <w:p>
            <w:pPr>
              <w:pStyle w:val="nTable"/>
              <w:spacing w:after="40"/>
            </w:pPr>
            <w:r>
              <w:t>13 Feb 1978</w:t>
            </w:r>
          </w:p>
        </w:tc>
      </w:tr>
      <w:tr>
        <w:trPr>
          <w:cantSplit/>
        </w:trPr>
        <w:tc>
          <w:tcPr>
            <w:tcW w:w="3090" w:type="dxa"/>
          </w:tcPr>
          <w:p>
            <w:pPr>
              <w:pStyle w:val="nTable"/>
              <w:spacing w:after="40"/>
            </w:pPr>
            <w:r>
              <w:t>Untitled regulations r. 6 and 7</w:t>
            </w:r>
          </w:p>
        </w:tc>
        <w:tc>
          <w:tcPr>
            <w:tcW w:w="1276" w:type="dxa"/>
          </w:tcPr>
          <w:p>
            <w:pPr>
              <w:pStyle w:val="nTable"/>
              <w:spacing w:after="40"/>
            </w:pPr>
            <w:r>
              <w:t>31 Mar 1978 p. 989</w:t>
            </w:r>
            <w:r>
              <w:noBreakHyphen/>
              <w:t>90</w:t>
            </w:r>
          </w:p>
        </w:tc>
        <w:tc>
          <w:tcPr>
            <w:tcW w:w="2722" w:type="dxa"/>
          </w:tcPr>
          <w:p>
            <w:pPr>
              <w:pStyle w:val="nTable"/>
              <w:spacing w:after="40"/>
            </w:pPr>
            <w:r>
              <w:t>31 Mar 1978</w:t>
            </w:r>
          </w:p>
        </w:tc>
      </w:tr>
      <w:tr>
        <w:trPr>
          <w:cantSplit/>
        </w:trPr>
        <w:tc>
          <w:tcPr>
            <w:tcW w:w="3090" w:type="dxa"/>
          </w:tcPr>
          <w:p>
            <w:pPr>
              <w:pStyle w:val="nTable"/>
              <w:spacing w:after="40"/>
            </w:pPr>
            <w:r>
              <w:t>Untitled regulations</w:t>
            </w:r>
          </w:p>
        </w:tc>
        <w:tc>
          <w:tcPr>
            <w:tcW w:w="1276" w:type="dxa"/>
          </w:tcPr>
          <w:p>
            <w:pPr>
              <w:pStyle w:val="nTable"/>
              <w:spacing w:after="40"/>
            </w:pPr>
            <w:r>
              <w:t>1 Dec 1978 p. 4537-41</w:t>
            </w:r>
          </w:p>
        </w:tc>
        <w:tc>
          <w:tcPr>
            <w:tcW w:w="2722" w:type="dxa"/>
          </w:tcPr>
          <w:p>
            <w:pPr>
              <w:pStyle w:val="nTable"/>
              <w:spacing w:after="40"/>
            </w:pPr>
            <w:r>
              <w:t>1 Jan 1979</w:t>
            </w:r>
          </w:p>
        </w:tc>
      </w:tr>
      <w:tr>
        <w:trPr>
          <w:cantSplit/>
        </w:trPr>
        <w:tc>
          <w:tcPr>
            <w:tcW w:w="3090" w:type="dxa"/>
          </w:tcPr>
          <w:p>
            <w:pPr>
              <w:pStyle w:val="nTable"/>
              <w:spacing w:after="40"/>
            </w:pPr>
            <w:r>
              <w:t>Untitled regulations</w:t>
            </w:r>
          </w:p>
        </w:tc>
        <w:tc>
          <w:tcPr>
            <w:tcW w:w="1276" w:type="dxa"/>
          </w:tcPr>
          <w:p>
            <w:pPr>
              <w:pStyle w:val="nTable"/>
              <w:spacing w:after="40"/>
            </w:pPr>
            <w:r>
              <w:t xml:space="preserve">13 Jul 1979 p. 1915-16 </w:t>
            </w:r>
          </w:p>
        </w:tc>
        <w:tc>
          <w:tcPr>
            <w:tcW w:w="2722" w:type="dxa"/>
          </w:tcPr>
          <w:p>
            <w:pPr>
              <w:pStyle w:val="nTable"/>
              <w:spacing w:after="40"/>
            </w:pPr>
            <w:r>
              <w:t>13 Aug 1979</w:t>
            </w:r>
          </w:p>
        </w:tc>
      </w:tr>
      <w:tr>
        <w:trPr>
          <w:cantSplit/>
        </w:trPr>
        <w:tc>
          <w:tcPr>
            <w:tcW w:w="3090" w:type="dxa"/>
          </w:tcPr>
          <w:p>
            <w:pPr>
              <w:pStyle w:val="nTable"/>
              <w:spacing w:after="40"/>
            </w:pPr>
            <w:r>
              <w:t>Untitled regulations</w:t>
            </w:r>
          </w:p>
        </w:tc>
        <w:tc>
          <w:tcPr>
            <w:tcW w:w="1276" w:type="dxa"/>
          </w:tcPr>
          <w:p>
            <w:pPr>
              <w:pStyle w:val="nTable"/>
              <w:spacing w:after="40"/>
            </w:pPr>
            <w:r>
              <w:t>2 Nov 1979 p. 3467</w:t>
            </w:r>
          </w:p>
        </w:tc>
        <w:tc>
          <w:tcPr>
            <w:tcW w:w="2722" w:type="dxa"/>
          </w:tcPr>
          <w:p>
            <w:pPr>
              <w:pStyle w:val="nTable"/>
              <w:spacing w:after="40"/>
            </w:pPr>
            <w:r>
              <w:t>2 Nov 1979</w:t>
            </w:r>
          </w:p>
        </w:tc>
      </w:tr>
      <w:tr>
        <w:trPr>
          <w:cantSplit/>
        </w:trPr>
        <w:tc>
          <w:tcPr>
            <w:tcW w:w="3090" w:type="dxa"/>
          </w:tcPr>
          <w:p>
            <w:pPr>
              <w:pStyle w:val="nTable"/>
              <w:spacing w:after="40"/>
            </w:pPr>
            <w:r>
              <w:t>Untitled regulations</w:t>
            </w:r>
          </w:p>
        </w:tc>
        <w:tc>
          <w:tcPr>
            <w:tcW w:w="1276" w:type="dxa"/>
          </w:tcPr>
          <w:p>
            <w:pPr>
              <w:pStyle w:val="nTable"/>
              <w:spacing w:after="40"/>
            </w:pPr>
            <w:r>
              <w:t>20 Jun 1980 p. 1834-8</w:t>
            </w:r>
          </w:p>
        </w:tc>
        <w:tc>
          <w:tcPr>
            <w:tcW w:w="2722" w:type="dxa"/>
          </w:tcPr>
          <w:p>
            <w:pPr>
              <w:pStyle w:val="nTable"/>
              <w:spacing w:after="40"/>
            </w:pPr>
            <w:r>
              <w:t>1 Jul 1980 (see r. 2)</w:t>
            </w:r>
          </w:p>
        </w:tc>
      </w:tr>
      <w:tr>
        <w:trPr>
          <w:cantSplit/>
        </w:trPr>
        <w:tc>
          <w:tcPr>
            <w:tcW w:w="3090" w:type="dxa"/>
          </w:tcPr>
          <w:p>
            <w:pPr>
              <w:pStyle w:val="nTable"/>
              <w:spacing w:after="40"/>
              <w:rPr>
                <w:i/>
              </w:rPr>
            </w:pPr>
            <w:r>
              <w:rPr>
                <w:i/>
              </w:rPr>
              <w:t>Jetties Act Amendment Regulations 1980</w:t>
            </w:r>
          </w:p>
        </w:tc>
        <w:tc>
          <w:tcPr>
            <w:tcW w:w="1276" w:type="dxa"/>
          </w:tcPr>
          <w:p>
            <w:pPr>
              <w:pStyle w:val="nTable"/>
              <w:spacing w:after="40"/>
            </w:pPr>
            <w:r>
              <w:t>28 Nov 1980 p. 4050</w:t>
            </w:r>
          </w:p>
        </w:tc>
        <w:tc>
          <w:tcPr>
            <w:tcW w:w="2722" w:type="dxa"/>
          </w:tcPr>
          <w:p>
            <w:pPr>
              <w:pStyle w:val="nTable"/>
              <w:spacing w:after="40"/>
            </w:pPr>
            <w:r>
              <w:t>28 Nov 1980</w:t>
            </w:r>
          </w:p>
        </w:tc>
      </w:tr>
      <w:tr>
        <w:trPr>
          <w:cantSplit/>
        </w:trPr>
        <w:tc>
          <w:tcPr>
            <w:tcW w:w="3090" w:type="dxa"/>
          </w:tcPr>
          <w:p>
            <w:pPr>
              <w:pStyle w:val="nTable"/>
              <w:spacing w:after="40"/>
            </w:pPr>
            <w:r>
              <w:rPr>
                <w:i/>
              </w:rPr>
              <w:t>Jetties Act Amendment Regulations 1981</w:t>
            </w:r>
          </w:p>
        </w:tc>
        <w:tc>
          <w:tcPr>
            <w:tcW w:w="1276" w:type="dxa"/>
          </w:tcPr>
          <w:p>
            <w:pPr>
              <w:pStyle w:val="nTable"/>
              <w:spacing w:after="40"/>
            </w:pPr>
            <w:r>
              <w:t>6 Feb 1981 p. 555</w:t>
            </w:r>
          </w:p>
        </w:tc>
        <w:tc>
          <w:tcPr>
            <w:tcW w:w="2722" w:type="dxa"/>
          </w:tcPr>
          <w:p>
            <w:pPr>
              <w:pStyle w:val="nTable"/>
              <w:spacing w:after="40"/>
            </w:pPr>
            <w:r>
              <w:t>6 Feb 1981</w:t>
            </w:r>
          </w:p>
        </w:tc>
      </w:tr>
      <w:tr>
        <w:trPr>
          <w:cantSplit/>
        </w:trPr>
        <w:tc>
          <w:tcPr>
            <w:tcW w:w="3090" w:type="dxa"/>
          </w:tcPr>
          <w:p>
            <w:pPr>
              <w:pStyle w:val="nTable"/>
              <w:spacing w:after="40"/>
            </w:pPr>
            <w:r>
              <w:rPr>
                <w:i/>
              </w:rPr>
              <w:t>Jetties Act Amendment Regulations (No. 2) 1981</w:t>
            </w:r>
          </w:p>
        </w:tc>
        <w:tc>
          <w:tcPr>
            <w:tcW w:w="1276" w:type="dxa"/>
          </w:tcPr>
          <w:p>
            <w:pPr>
              <w:pStyle w:val="nTable"/>
              <w:spacing w:after="40"/>
            </w:pPr>
            <w:r>
              <w:t>26 Jun 1981 p. 2410-11</w:t>
            </w:r>
          </w:p>
        </w:tc>
        <w:tc>
          <w:tcPr>
            <w:tcW w:w="2722" w:type="dxa"/>
          </w:tcPr>
          <w:p>
            <w:pPr>
              <w:pStyle w:val="nTable"/>
              <w:spacing w:after="40"/>
            </w:pPr>
            <w:r>
              <w:t>1 Jul 1981 (see r. 2)</w:t>
            </w:r>
          </w:p>
        </w:tc>
      </w:tr>
      <w:tr>
        <w:trPr>
          <w:cantSplit/>
        </w:trPr>
        <w:tc>
          <w:tcPr>
            <w:tcW w:w="3090" w:type="dxa"/>
          </w:tcPr>
          <w:p>
            <w:pPr>
              <w:pStyle w:val="nTable"/>
              <w:spacing w:after="40"/>
            </w:pPr>
            <w:r>
              <w:rPr>
                <w:i/>
              </w:rPr>
              <w:t>Jetties Act Amendment Regulations (No. 3) 1981</w:t>
            </w:r>
          </w:p>
        </w:tc>
        <w:tc>
          <w:tcPr>
            <w:tcW w:w="1276" w:type="dxa"/>
          </w:tcPr>
          <w:p>
            <w:pPr>
              <w:pStyle w:val="nTable"/>
              <w:spacing w:after="40"/>
            </w:pPr>
            <w:r>
              <w:t>26 Jun 1981 p. 2413 (erratum 16 Oct 1981 p. 4337)</w:t>
            </w:r>
          </w:p>
        </w:tc>
        <w:tc>
          <w:tcPr>
            <w:tcW w:w="2722" w:type="dxa"/>
          </w:tcPr>
          <w:p>
            <w:pPr>
              <w:pStyle w:val="nTable"/>
              <w:spacing w:after="40"/>
            </w:pPr>
            <w:r>
              <w:t>1 Jul 1981 (see r. 2)</w:t>
            </w:r>
          </w:p>
        </w:tc>
      </w:tr>
      <w:tr>
        <w:trPr>
          <w:cantSplit/>
        </w:trPr>
        <w:tc>
          <w:tcPr>
            <w:tcW w:w="3090" w:type="dxa"/>
          </w:tcPr>
          <w:p>
            <w:pPr>
              <w:pStyle w:val="nTable"/>
              <w:spacing w:after="40"/>
            </w:pPr>
            <w:r>
              <w:rPr>
                <w:i/>
              </w:rPr>
              <w:t>Jetties Act Amendment Regulations (No. 4) 1981</w:t>
            </w:r>
          </w:p>
        </w:tc>
        <w:tc>
          <w:tcPr>
            <w:tcW w:w="1276" w:type="dxa"/>
          </w:tcPr>
          <w:p>
            <w:pPr>
              <w:pStyle w:val="nTable"/>
              <w:spacing w:after="40"/>
            </w:pPr>
            <w:r>
              <w:t xml:space="preserve">14 Aug 1981 p. 3340 </w:t>
            </w:r>
          </w:p>
        </w:tc>
        <w:tc>
          <w:tcPr>
            <w:tcW w:w="2722" w:type="dxa"/>
          </w:tcPr>
          <w:p>
            <w:pPr>
              <w:pStyle w:val="nTable"/>
              <w:spacing w:after="40"/>
            </w:pPr>
            <w:r>
              <w:t>14 Aug 1981</w:t>
            </w:r>
          </w:p>
        </w:tc>
      </w:tr>
      <w:tr>
        <w:trPr>
          <w:cantSplit/>
        </w:trPr>
        <w:tc>
          <w:tcPr>
            <w:tcW w:w="3090" w:type="dxa"/>
          </w:tcPr>
          <w:p>
            <w:pPr>
              <w:pStyle w:val="nTable"/>
              <w:spacing w:after="40"/>
            </w:pPr>
            <w:r>
              <w:rPr>
                <w:i/>
              </w:rPr>
              <w:t>Jetties Act Amendment Regulations 1982</w:t>
            </w:r>
          </w:p>
        </w:tc>
        <w:tc>
          <w:tcPr>
            <w:tcW w:w="1276" w:type="dxa"/>
          </w:tcPr>
          <w:p>
            <w:pPr>
              <w:pStyle w:val="nTable"/>
              <w:spacing w:after="40"/>
            </w:pPr>
            <w:r>
              <w:t>9 Jul 1982 p. 2509-11</w:t>
            </w:r>
          </w:p>
        </w:tc>
        <w:tc>
          <w:tcPr>
            <w:tcW w:w="2722" w:type="dxa"/>
          </w:tcPr>
          <w:p>
            <w:pPr>
              <w:pStyle w:val="nTable"/>
              <w:spacing w:after="40"/>
            </w:pPr>
            <w:r>
              <w:t>9 Jul 1982</w:t>
            </w:r>
          </w:p>
        </w:tc>
      </w:tr>
      <w:tr>
        <w:trPr>
          <w:cantSplit/>
        </w:trPr>
        <w:tc>
          <w:tcPr>
            <w:tcW w:w="3090" w:type="dxa"/>
          </w:tcPr>
          <w:p>
            <w:pPr>
              <w:pStyle w:val="nTable"/>
              <w:spacing w:after="40"/>
            </w:pPr>
            <w:r>
              <w:rPr>
                <w:i/>
              </w:rPr>
              <w:t>Jetties Act Amendment Regulations 1983</w:t>
            </w:r>
          </w:p>
        </w:tc>
        <w:tc>
          <w:tcPr>
            <w:tcW w:w="1276" w:type="dxa"/>
          </w:tcPr>
          <w:p>
            <w:pPr>
              <w:pStyle w:val="nTable"/>
              <w:spacing w:after="40"/>
            </w:pPr>
            <w:r>
              <w:t>5 Aug 1983 p. 2834-6</w:t>
            </w:r>
          </w:p>
        </w:tc>
        <w:tc>
          <w:tcPr>
            <w:tcW w:w="2722" w:type="dxa"/>
          </w:tcPr>
          <w:p>
            <w:pPr>
              <w:pStyle w:val="nTable"/>
              <w:spacing w:after="40"/>
            </w:pPr>
            <w:r>
              <w:t>5 Aug 1983</w:t>
            </w:r>
          </w:p>
        </w:tc>
      </w:tr>
      <w:tr>
        <w:trPr>
          <w:cantSplit/>
        </w:trPr>
        <w:tc>
          <w:tcPr>
            <w:tcW w:w="3090" w:type="dxa"/>
          </w:tcPr>
          <w:p>
            <w:pPr>
              <w:pStyle w:val="nTable"/>
              <w:spacing w:after="40"/>
            </w:pPr>
            <w:r>
              <w:rPr>
                <w:i/>
              </w:rPr>
              <w:t>Jetties Act Amendment Regulations (No. 2) 1983</w:t>
            </w:r>
          </w:p>
        </w:tc>
        <w:tc>
          <w:tcPr>
            <w:tcW w:w="1276" w:type="dxa"/>
          </w:tcPr>
          <w:p>
            <w:pPr>
              <w:pStyle w:val="nTable"/>
              <w:spacing w:after="40"/>
            </w:pPr>
            <w:r>
              <w:t>23 Sep 1983 p. 3817</w:t>
            </w:r>
          </w:p>
        </w:tc>
        <w:tc>
          <w:tcPr>
            <w:tcW w:w="2722" w:type="dxa"/>
          </w:tcPr>
          <w:p>
            <w:pPr>
              <w:pStyle w:val="nTable"/>
              <w:spacing w:after="40"/>
            </w:pPr>
            <w:r>
              <w:t>1 Oct 1983 (see r. 2)</w:t>
            </w:r>
          </w:p>
        </w:tc>
      </w:tr>
      <w:tr>
        <w:trPr>
          <w:cantSplit/>
        </w:trPr>
        <w:tc>
          <w:tcPr>
            <w:tcW w:w="3090" w:type="dxa"/>
          </w:tcPr>
          <w:p>
            <w:pPr>
              <w:pStyle w:val="nTable"/>
              <w:spacing w:after="40"/>
            </w:pPr>
            <w:r>
              <w:rPr>
                <w:i/>
              </w:rPr>
              <w:t>Jetties Act Amendment Regulations (No. 3) 1983</w:t>
            </w:r>
          </w:p>
        </w:tc>
        <w:tc>
          <w:tcPr>
            <w:tcW w:w="1276" w:type="dxa"/>
          </w:tcPr>
          <w:p>
            <w:pPr>
              <w:pStyle w:val="nTable"/>
              <w:spacing w:after="40"/>
            </w:pPr>
            <w:r>
              <w:t>25 Nov 1983 p. 4669-70</w:t>
            </w:r>
          </w:p>
        </w:tc>
        <w:tc>
          <w:tcPr>
            <w:tcW w:w="2722" w:type="dxa"/>
          </w:tcPr>
          <w:p>
            <w:pPr>
              <w:pStyle w:val="nTable"/>
              <w:spacing w:after="40"/>
            </w:pPr>
            <w:r>
              <w:t>25 Nov 1983</w:t>
            </w:r>
          </w:p>
        </w:tc>
      </w:tr>
      <w:tr>
        <w:trPr>
          <w:cantSplit/>
        </w:trPr>
        <w:tc>
          <w:tcPr>
            <w:tcW w:w="3090" w:type="dxa"/>
          </w:tcPr>
          <w:p>
            <w:pPr>
              <w:pStyle w:val="nTable"/>
              <w:spacing w:after="40"/>
            </w:pPr>
            <w:r>
              <w:rPr>
                <w:i/>
              </w:rPr>
              <w:t>Jetties Act Amendment Regulations 1984</w:t>
            </w:r>
          </w:p>
        </w:tc>
        <w:tc>
          <w:tcPr>
            <w:tcW w:w="1276" w:type="dxa"/>
          </w:tcPr>
          <w:p>
            <w:pPr>
              <w:pStyle w:val="nTable"/>
              <w:spacing w:after="40"/>
            </w:pPr>
            <w:r>
              <w:t>6 Jul 1984 p. 2028-9</w:t>
            </w:r>
          </w:p>
        </w:tc>
        <w:tc>
          <w:tcPr>
            <w:tcW w:w="2722" w:type="dxa"/>
          </w:tcPr>
          <w:p>
            <w:pPr>
              <w:pStyle w:val="nTable"/>
              <w:spacing w:after="40"/>
            </w:pPr>
            <w:r>
              <w:t>6 Jul 1984</w:t>
            </w:r>
          </w:p>
        </w:tc>
      </w:tr>
      <w:tr>
        <w:trPr>
          <w:cantSplit/>
        </w:trPr>
        <w:tc>
          <w:tcPr>
            <w:tcW w:w="3090" w:type="dxa"/>
          </w:tcPr>
          <w:p>
            <w:pPr>
              <w:pStyle w:val="nTable"/>
              <w:spacing w:after="40"/>
            </w:pPr>
            <w:r>
              <w:rPr>
                <w:i/>
              </w:rPr>
              <w:t>Jetties Act Amendment Regulations (No. 2) 1984</w:t>
            </w:r>
          </w:p>
        </w:tc>
        <w:tc>
          <w:tcPr>
            <w:tcW w:w="1276" w:type="dxa"/>
          </w:tcPr>
          <w:p>
            <w:pPr>
              <w:pStyle w:val="nTable"/>
              <w:spacing w:after="40"/>
            </w:pPr>
            <w:r>
              <w:t>7 Sep 1984 p. 2859</w:t>
            </w:r>
          </w:p>
        </w:tc>
        <w:tc>
          <w:tcPr>
            <w:tcW w:w="2722" w:type="dxa"/>
          </w:tcPr>
          <w:p>
            <w:pPr>
              <w:pStyle w:val="nTable"/>
              <w:spacing w:after="40"/>
            </w:pPr>
            <w:r>
              <w:t>7 Sep 1984</w:t>
            </w:r>
          </w:p>
        </w:tc>
      </w:tr>
      <w:tr>
        <w:trPr>
          <w:cantSplit/>
        </w:trPr>
        <w:tc>
          <w:tcPr>
            <w:tcW w:w="3090" w:type="dxa"/>
          </w:tcPr>
          <w:p>
            <w:pPr>
              <w:pStyle w:val="nTable"/>
              <w:spacing w:after="40"/>
            </w:pPr>
            <w:r>
              <w:rPr>
                <w:i/>
              </w:rPr>
              <w:t>Jetties Act Amendment Regulations 1985</w:t>
            </w:r>
          </w:p>
        </w:tc>
        <w:tc>
          <w:tcPr>
            <w:tcW w:w="1276" w:type="dxa"/>
          </w:tcPr>
          <w:p>
            <w:pPr>
              <w:pStyle w:val="nTable"/>
              <w:spacing w:after="40"/>
            </w:pPr>
            <w:r>
              <w:t>30 Aug 1985 p. 3077-9</w:t>
            </w:r>
          </w:p>
        </w:tc>
        <w:tc>
          <w:tcPr>
            <w:tcW w:w="2722" w:type="dxa"/>
          </w:tcPr>
          <w:p>
            <w:pPr>
              <w:pStyle w:val="nTable"/>
              <w:spacing w:after="40"/>
            </w:pPr>
            <w:r>
              <w:t>2 Sep 1985 (see r. 3)</w:t>
            </w:r>
          </w:p>
        </w:tc>
      </w:tr>
      <w:tr>
        <w:trPr>
          <w:cantSplit/>
        </w:trPr>
        <w:tc>
          <w:tcPr>
            <w:tcW w:w="3090" w:type="dxa"/>
          </w:tcPr>
          <w:p>
            <w:pPr>
              <w:pStyle w:val="nTable"/>
              <w:spacing w:after="40"/>
            </w:pPr>
            <w:r>
              <w:rPr>
                <w:i/>
              </w:rPr>
              <w:t>Jetties Amendment Regulations 1986</w:t>
            </w:r>
          </w:p>
        </w:tc>
        <w:tc>
          <w:tcPr>
            <w:tcW w:w="1276" w:type="dxa"/>
          </w:tcPr>
          <w:p>
            <w:pPr>
              <w:pStyle w:val="nTable"/>
              <w:spacing w:after="40"/>
            </w:pPr>
            <w:r>
              <w:t>8 Aug 1986 p. 2828-30</w:t>
            </w:r>
          </w:p>
        </w:tc>
        <w:tc>
          <w:tcPr>
            <w:tcW w:w="2722" w:type="dxa"/>
          </w:tcPr>
          <w:p>
            <w:pPr>
              <w:pStyle w:val="nTable"/>
              <w:spacing w:after="40"/>
            </w:pPr>
            <w:r>
              <w:t>8 Aug 1986</w:t>
            </w:r>
          </w:p>
        </w:tc>
      </w:tr>
      <w:tr>
        <w:trPr>
          <w:cantSplit/>
        </w:trPr>
        <w:tc>
          <w:tcPr>
            <w:tcW w:w="3090" w:type="dxa"/>
          </w:tcPr>
          <w:p>
            <w:pPr>
              <w:pStyle w:val="nTable"/>
              <w:spacing w:after="40"/>
            </w:pPr>
            <w:r>
              <w:rPr>
                <w:i/>
              </w:rPr>
              <w:t>Jetties Amendment Regulations 1987</w:t>
            </w:r>
          </w:p>
        </w:tc>
        <w:tc>
          <w:tcPr>
            <w:tcW w:w="1276" w:type="dxa"/>
          </w:tcPr>
          <w:p>
            <w:pPr>
              <w:pStyle w:val="nTable"/>
              <w:spacing w:after="40"/>
            </w:pPr>
            <w:r>
              <w:t>16 Oct 1987 p. 3893-5</w:t>
            </w:r>
          </w:p>
        </w:tc>
        <w:tc>
          <w:tcPr>
            <w:tcW w:w="2722" w:type="dxa"/>
          </w:tcPr>
          <w:p>
            <w:pPr>
              <w:pStyle w:val="nTable"/>
              <w:spacing w:after="40"/>
            </w:pPr>
            <w:r>
              <w:t>16 Oct 1987</w:t>
            </w:r>
          </w:p>
        </w:tc>
      </w:tr>
      <w:tr>
        <w:trPr>
          <w:cantSplit/>
        </w:trPr>
        <w:tc>
          <w:tcPr>
            <w:tcW w:w="3090" w:type="dxa"/>
          </w:tcPr>
          <w:p>
            <w:pPr>
              <w:pStyle w:val="nTable"/>
              <w:spacing w:after="40"/>
            </w:pPr>
            <w:r>
              <w:rPr>
                <w:i/>
              </w:rPr>
              <w:t>Jetties Amendment Regulations 1988</w:t>
            </w:r>
          </w:p>
        </w:tc>
        <w:tc>
          <w:tcPr>
            <w:tcW w:w="1276" w:type="dxa"/>
          </w:tcPr>
          <w:p>
            <w:pPr>
              <w:pStyle w:val="nTable"/>
              <w:spacing w:after="40"/>
            </w:pPr>
            <w:r>
              <w:t>14 Oct 1988 p. 4164-6</w:t>
            </w:r>
          </w:p>
        </w:tc>
        <w:tc>
          <w:tcPr>
            <w:tcW w:w="2722" w:type="dxa"/>
          </w:tcPr>
          <w:p>
            <w:pPr>
              <w:pStyle w:val="nTable"/>
              <w:spacing w:after="40"/>
            </w:pPr>
            <w:r>
              <w:t>14 Oct 1988</w:t>
            </w:r>
          </w:p>
        </w:tc>
      </w:tr>
      <w:tr>
        <w:trPr>
          <w:cantSplit/>
        </w:trPr>
        <w:tc>
          <w:tcPr>
            <w:tcW w:w="3090" w:type="dxa"/>
          </w:tcPr>
          <w:p>
            <w:pPr>
              <w:pStyle w:val="nTable"/>
              <w:spacing w:after="40"/>
            </w:pPr>
            <w:r>
              <w:rPr>
                <w:i/>
              </w:rPr>
              <w:t>Jetties Amendment Regulations 1989</w:t>
            </w:r>
          </w:p>
        </w:tc>
        <w:tc>
          <w:tcPr>
            <w:tcW w:w="1276" w:type="dxa"/>
          </w:tcPr>
          <w:p>
            <w:pPr>
              <w:pStyle w:val="nTable"/>
              <w:spacing w:after="40"/>
            </w:pPr>
            <w:r>
              <w:t>19 May 1989 p. 1493-6</w:t>
            </w:r>
          </w:p>
        </w:tc>
        <w:tc>
          <w:tcPr>
            <w:tcW w:w="2722" w:type="dxa"/>
          </w:tcPr>
          <w:p>
            <w:pPr>
              <w:pStyle w:val="nTable"/>
              <w:spacing w:after="40"/>
            </w:pPr>
            <w:r>
              <w:t>19 May 1989</w:t>
            </w:r>
          </w:p>
        </w:tc>
      </w:tr>
      <w:tr>
        <w:trPr>
          <w:cantSplit/>
        </w:trPr>
        <w:tc>
          <w:tcPr>
            <w:tcW w:w="3090" w:type="dxa"/>
          </w:tcPr>
          <w:p>
            <w:pPr>
              <w:pStyle w:val="nTable"/>
              <w:spacing w:after="40"/>
            </w:pPr>
            <w:r>
              <w:rPr>
                <w:i/>
              </w:rPr>
              <w:t xml:space="preserve">Jetties Amendment Regulations </w:t>
            </w:r>
            <w:r>
              <w:rPr>
                <w:i/>
              </w:rPr>
              <w:br/>
              <w:t>(No. 2) 1989</w:t>
            </w:r>
          </w:p>
        </w:tc>
        <w:tc>
          <w:tcPr>
            <w:tcW w:w="1276" w:type="dxa"/>
          </w:tcPr>
          <w:p>
            <w:pPr>
              <w:pStyle w:val="nTable"/>
              <w:spacing w:after="40"/>
            </w:pPr>
            <w:r>
              <w:t>30 Jun 1989 p. 1917-20</w:t>
            </w:r>
          </w:p>
        </w:tc>
        <w:tc>
          <w:tcPr>
            <w:tcW w:w="2722" w:type="dxa"/>
          </w:tcPr>
          <w:p>
            <w:pPr>
              <w:pStyle w:val="nTable"/>
              <w:spacing w:after="40"/>
            </w:pPr>
            <w:r>
              <w:t>1 Jul 1989 (see r. 2)</w:t>
            </w:r>
          </w:p>
        </w:tc>
      </w:tr>
      <w:tr>
        <w:trPr>
          <w:cantSplit/>
        </w:trPr>
        <w:tc>
          <w:tcPr>
            <w:tcW w:w="3090" w:type="dxa"/>
          </w:tcPr>
          <w:p>
            <w:pPr>
              <w:pStyle w:val="nTable"/>
              <w:spacing w:after="40"/>
            </w:pPr>
            <w:r>
              <w:rPr>
                <w:i/>
              </w:rPr>
              <w:t>Jetties Amendment Regulations 1990</w:t>
            </w:r>
          </w:p>
        </w:tc>
        <w:tc>
          <w:tcPr>
            <w:tcW w:w="1276" w:type="dxa"/>
          </w:tcPr>
          <w:p>
            <w:pPr>
              <w:pStyle w:val="nTable"/>
              <w:spacing w:after="40"/>
            </w:pPr>
            <w:r>
              <w:t>1 Aug 1990 p. 3633-40</w:t>
            </w:r>
          </w:p>
        </w:tc>
        <w:tc>
          <w:tcPr>
            <w:tcW w:w="2722" w:type="dxa"/>
          </w:tcPr>
          <w:p>
            <w:pPr>
              <w:pStyle w:val="nTable"/>
              <w:spacing w:after="40"/>
            </w:pPr>
            <w:r>
              <w:t>1 Aug 1990 (see r. 2)</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p>
        </w:tc>
      </w:tr>
      <w:tr>
        <w:trPr>
          <w:cantSplit/>
        </w:trPr>
        <w:tc>
          <w:tcPr>
            <w:tcW w:w="3090" w:type="dxa"/>
          </w:tcPr>
          <w:p>
            <w:pPr>
              <w:pStyle w:val="nTable"/>
              <w:spacing w:after="40"/>
            </w:pPr>
            <w:r>
              <w:rPr>
                <w:i/>
              </w:rPr>
              <w:t>Jetties Amendment Regulations 1991</w:t>
            </w:r>
          </w:p>
        </w:tc>
        <w:tc>
          <w:tcPr>
            <w:tcW w:w="1276" w:type="dxa"/>
          </w:tcPr>
          <w:p>
            <w:pPr>
              <w:pStyle w:val="nTable"/>
              <w:spacing w:after="40"/>
            </w:pPr>
            <w:r>
              <w:t>26 Jul 1991 p. 3920</w:t>
            </w:r>
            <w:r>
              <w:noBreakHyphen/>
              <w:t xml:space="preserve">4 </w:t>
            </w:r>
          </w:p>
        </w:tc>
        <w:tc>
          <w:tcPr>
            <w:tcW w:w="2722" w:type="dxa"/>
          </w:tcPr>
          <w:p>
            <w:pPr>
              <w:pStyle w:val="nTable"/>
              <w:spacing w:after="40"/>
            </w:pPr>
            <w:r>
              <w:t>1 Aug 1991 (see r. 2)</w:t>
            </w:r>
          </w:p>
        </w:tc>
      </w:tr>
      <w:tr>
        <w:trPr>
          <w:cantSplit/>
        </w:trPr>
        <w:tc>
          <w:tcPr>
            <w:tcW w:w="3090" w:type="dxa"/>
          </w:tcPr>
          <w:p>
            <w:pPr>
              <w:pStyle w:val="nTable"/>
              <w:spacing w:after="40"/>
            </w:pPr>
            <w:r>
              <w:rPr>
                <w:i/>
              </w:rPr>
              <w:t>Jetties Amendment Regulations 1992</w:t>
            </w:r>
          </w:p>
        </w:tc>
        <w:tc>
          <w:tcPr>
            <w:tcW w:w="1276" w:type="dxa"/>
          </w:tcPr>
          <w:p>
            <w:pPr>
              <w:pStyle w:val="nTable"/>
              <w:spacing w:after="40"/>
            </w:pPr>
            <w:r>
              <w:t>30 Jun 1992 p. 2892</w:t>
            </w:r>
            <w:r>
              <w:noBreakHyphen/>
              <w:t xml:space="preserve">9 </w:t>
            </w:r>
          </w:p>
        </w:tc>
        <w:tc>
          <w:tcPr>
            <w:tcW w:w="2722" w:type="dxa"/>
          </w:tcPr>
          <w:p>
            <w:pPr>
              <w:pStyle w:val="nTable"/>
              <w:spacing w:after="40"/>
            </w:pPr>
            <w:r>
              <w:t>1 Jul 1992 (see r. 2)</w:t>
            </w:r>
          </w:p>
        </w:tc>
      </w:tr>
      <w:tr>
        <w:trPr>
          <w:cantSplit/>
        </w:trPr>
        <w:tc>
          <w:tcPr>
            <w:tcW w:w="3090" w:type="dxa"/>
          </w:tcPr>
          <w:p>
            <w:pPr>
              <w:pStyle w:val="nTable"/>
              <w:spacing w:after="40"/>
            </w:pPr>
            <w:r>
              <w:rPr>
                <w:i/>
              </w:rPr>
              <w:t>Jetties Amendment Regulations 1993</w:t>
            </w:r>
          </w:p>
        </w:tc>
        <w:tc>
          <w:tcPr>
            <w:tcW w:w="1276" w:type="dxa"/>
          </w:tcPr>
          <w:p>
            <w:pPr>
              <w:pStyle w:val="nTable"/>
              <w:spacing w:after="40"/>
            </w:pPr>
            <w:r>
              <w:t xml:space="preserve">7 May 1993 p. 2361 </w:t>
            </w:r>
          </w:p>
        </w:tc>
        <w:tc>
          <w:tcPr>
            <w:tcW w:w="2722" w:type="dxa"/>
          </w:tcPr>
          <w:p>
            <w:pPr>
              <w:pStyle w:val="nTable"/>
              <w:spacing w:after="40"/>
            </w:pPr>
            <w:r>
              <w:t>7 May 1993</w:t>
            </w:r>
          </w:p>
        </w:tc>
      </w:tr>
      <w:tr>
        <w:trPr>
          <w:cantSplit/>
        </w:trPr>
        <w:tc>
          <w:tcPr>
            <w:tcW w:w="3090" w:type="dxa"/>
          </w:tcPr>
          <w:p>
            <w:pPr>
              <w:pStyle w:val="nTable"/>
              <w:spacing w:after="40"/>
            </w:pPr>
            <w:r>
              <w:rPr>
                <w:i/>
              </w:rPr>
              <w:t>Jetties Amendment Regulations</w:t>
            </w:r>
            <w:r>
              <w:rPr>
                <w:i/>
              </w:rPr>
              <w:br/>
              <w:t>(No. 2) 1993</w:t>
            </w:r>
          </w:p>
        </w:tc>
        <w:tc>
          <w:tcPr>
            <w:tcW w:w="1276" w:type="dxa"/>
          </w:tcPr>
          <w:p>
            <w:pPr>
              <w:pStyle w:val="nTable"/>
              <w:spacing w:after="40"/>
            </w:pPr>
            <w:r>
              <w:t>29 Jun 1993 p. 3191</w:t>
            </w:r>
            <w:r>
              <w:noBreakHyphen/>
              <w:t xml:space="preserve">7 </w:t>
            </w:r>
          </w:p>
        </w:tc>
        <w:tc>
          <w:tcPr>
            <w:tcW w:w="2722" w:type="dxa"/>
          </w:tcPr>
          <w:p>
            <w:pPr>
              <w:pStyle w:val="nTable"/>
              <w:spacing w:after="40"/>
            </w:pPr>
            <w:r>
              <w:t>1 Jul 1993 (see r. 2)</w:t>
            </w:r>
          </w:p>
        </w:tc>
      </w:tr>
      <w:tr>
        <w:trPr>
          <w:cantSplit/>
        </w:trPr>
        <w:tc>
          <w:tcPr>
            <w:tcW w:w="3090" w:type="dxa"/>
          </w:tcPr>
          <w:p>
            <w:pPr>
              <w:pStyle w:val="nTable"/>
              <w:spacing w:after="40"/>
            </w:pPr>
            <w:r>
              <w:rPr>
                <w:i/>
              </w:rPr>
              <w:t>Jetties Amendment Regulations 1994</w:t>
            </w:r>
          </w:p>
        </w:tc>
        <w:tc>
          <w:tcPr>
            <w:tcW w:w="1276" w:type="dxa"/>
          </w:tcPr>
          <w:p>
            <w:pPr>
              <w:pStyle w:val="nTable"/>
              <w:spacing w:after="40"/>
            </w:pPr>
            <w:r>
              <w:t>14 Jun 1994 p. 2475</w:t>
            </w:r>
            <w:r>
              <w:noBreakHyphen/>
              <w:t xml:space="preserve">82 </w:t>
            </w:r>
          </w:p>
        </w:tc>
        <w:tc>
          <w:tcPr>
            <w:tcW w:w="2722" w:type="dxa"/>
          </w:tcPr>
          <w:p>
            <w:pPr>
              <w:pStyle w:val="nTable"/>
              <w:spacing w:after="40"/>
            </w:pPr>
            <w:r>
              <w:t>1 Jul 1994 (see r. 2)</w:t>
            </w:r>
          </w:p>
        </w:tc>
      </w:tr>
      <w:tr>
        <w:trPr>
          <w:cantSplit/>
        </w:trPr>
        <w:tc>
          <w:tcPr>
            <w:tcW w:w="3090" w:type="dxa"/>
          </w:tcPr>
          <w:p>
            <w:pPr>
              <w:pStyle w:val="nTable"/>
              <w:spacing w:after="40"/>
            </w:pPr>
            <w:r>
              <w:rPr>
                <w:i/>
              </w:rPr>
              <w:t>Jetties Amendment Regulations 1995</w:t>
            </w:r>
          </w:p>
        </w:tc>
        <w:tc>
          <w:tcPr>
            <w:tcW w:w="1276" w:type="dxa"/>
          </w:tcPr>
          <w:p>
            <w:pPr>
              <w:pStyle w:val="nTable"/>
              <w:spacing w:after="40"/>
            </w:pPr>
            <w:r>
              <w:t>30 Jun 1995 p. 2698</w:t>
            </w:r>
            <w:r>
              <w:noBreakHyphen/>
              <w:t xml:space="preserve">705 </w:t>
            </w:r>
          </w:p>
        </w:tc>
        <w:tc>
          <w:tcPr>
            <w:tcW w:w="2722" w:type="dxa"/>
          </w:tcPr>
          <w:p>
            <w:pPr>
              <w:pStyle w:val="nTable"/>
              <w:spacing w:after="40"/>
            </w:pPr>
            <w:r>
              <w:t>1 Jul 1995 (see r. 2)</w:t>
            </w:r>
          </w:p>
        </w:tc>
      </w:tr>
      <w:tr>
        <w:trPr>
          <w:cantSplit/>
        </w:trPr>
        <w:tc>
          <w:tcPr>
            <w:tcW w:w="3090" w:type="dxa"/>
          </w:tcPr>
          <w:p>
            <w:pPr>
              <w:pStyle w:val="nTable"/>
              <w:spacing w:after="40"/>
            </w:pPr>
            <w:r>
              <w:rPr>
                <w:i/>
              </w:rPr>
              <w:t>Jetties Amendment Regulations 1996</w:t>
            </w:r>
          </w:p>
        </w:tc>
        <w:tc>
          <w:tcPr>
            <w:tcW w:w="1276" w:type="dxa"/>
          </w:tcPr>
          <w:p>
            <w:pPr>
              <w:pStyle w:val="nTable"/>
              <w:spacing w:after="40"/>
            </w:pPr>
            <w:r>
              <w:t>25 Jun 1996 p. 2981</w:t>
            </w:r>
            <w:r>
              <w:noBreakHyphen/>
              <w:t xml:space="preserve">91 </w:t>
            </w:r>
          </w:p>
        </w:tc>
        <w:tc>
          <w:tcPr>
            <w:tcW w:w="2722" w:type="dxa"/>
          </w:tcPr>
          <w:p>
            <w:pPr>
              <w:pStyle w:val="nTable"/>
              <w:spacing w:after="40"/>
            </w:pPr>
            <w:r>
              <w:t>1 Jul 1996 (see r. 2)</w:t>
            </w:r>
          </w:p>
        </w:tc>
      </w:tr>
      <w:tr>
        <w:trPr>
          <w:cantSplit/>
        </w:trPr>
        <w:tc>
          <w:tcPr>
            <w:tcW w:w="3090" w:type="dxa"/>
          </w:tcPr>
          <w:p>
            <w:pPr>
              <w:pStyle w:val="nTable"/>
              <w:spacing w:after="40"/>
            </w:pPr>
            <w:r>
              <w:rPr>
                <w:i/>
              </w:rPr>
              <w:t>Jetties Amendment Regulations 1997</w:t>
            </w:r>
          </w:p>
        </w:tc>
        <w:tc>
          <w:tcPr>
            <w:tcW w:w="1276" w:type="dxa"/>
          </w:tcPr>
          <w:p>
            <w:pPr>
              <w:pStyle w:val="nTable"/>
              <w:spacing w:after="40"/>
            </w:pPr>
            <w:r>
              <w:t xml:space="preserve">13 May 1997 p. 2349 </w:t>
            </w:r>
          </w:p>
        </w:tc>
        <w:tc>
          <w:tcPr>
            <w:tcW w:w="2722" w:type="dxa"/>
          </w:tcPr>
          <w:p>
            <w:pPr>
              <w:pStyle w:val="nTable"/>
              <w:spacing w:after="40"/>
            </w:pPr>
            <w:r>
              <w:t>13 May 1997</w:t>
            </w:r>
          </w:p>
        </w:tc>
      </w:tr>
      <w:tr>
        <w:trPr>
          <w:cantSplit/>
        </w:trPr>
        <w:tc>
          <w:tcPr>
            <w:tcW w:w="3090" w:type="dxa"/>
          </w:tcPr>
          <w:p>
            <w:pPr>
              <w:pStyle w:val="nTable"/>
              <w:spacing w:after="40"/>
            </w:pPr>
            <w:r>
              <w:rPr>
                <w:i/>
              </w:rPr>
              <w:t xml:space="preserve">Jetties Amendment Regulations </w:t>
            </w:r>
            <w:r>
              <w:rPr>
                <w:i/>
              </w:rPr>
              <w:br/>
              <w:t>(No. 2) 1997</w:t>
            </w:r>
          </w:p>
        </w:tc>
        <w:tc>
          <w:tcPr>
            <w:tcW w:w="1276" w:type="dxa"/>
          </w:tcPr>
          <w:p>
            <w:pPr>
              <w:pStyle w:val="nTable"/>
              <w:spacing w:after="40"/>
            </w:pPr>
            <w:r>
              <w:t>27 Jun 1997 p. 3151</w:t>
            </w:r>
            <w:r>
              <w:noBreakHyphen/>
              <w:t xml:space="preserve">64 </w:t>
            </w:r>
          </w:p>
        </w:tc>
        <w:tc>
          <w:tcPr>
            <w:tcW w:w="2722" w:type="dxa"/>
          </w:tcPr>
          <w:p>
            <w:pPr>
              <w:pStyle w:val="nTable"/>
              <w:spacing w:after="40"/>
            </w:pPr>
            <w:r>
              <w:t>1 Jul 1997 (see r. 2)</w:t>
            </w:r>
          </w:p>
        </w:tc>
      </w:tr>
      <w:tr>
        <w:trPr>
          <w:cantSplit/>
        </w:trPr>
        <w:tc>
          <w:tcPr>
            <w:tcW w:w="3090" w:type="dxa"/>
          </w:tcPr>
          <w:p>
            <w:pPr>
              <w:pStyle w:val="nTable"/>
              <w:spacing w:after="40"/>
            </w:pPr>
            <w:r>
              <w:br w:type="page"/>
            </w:r>
            <w:r>
              <w:rPr>
                <w:i/>
              </w:rPr>
              <w:t xml:space="preserve">Miscellaneous Amendments Regulations 1997 </w:t>
            </w:r>
            <w:r>
              <w:t>r. 2</w:t>
            </w:r>
          </w:p>
        </w:tc>
        <w:tc>
          <w:tcPr>
            <w:tcW w:w="1276" w:type="dxa"/>
          </w:tcPr>
          <w:p>
            <w:pPr>
              <w:pStyle w:val="nTable"/>
              <w:spacing w:after="40"/>
            </w:pPr>
            <w:r>
              <w:t xml:space="preserve">6 Jan 1998 p. 33 </w:t>
            </w:r>
          </w:p>
        </w:tc>
        <w:tc>
          <w:tcPr>
            <w:tcW w:w="2722" w:type="dxa"/>
          </w:tcPr>
          <w:p>
            <w:pPr>
              <w:pStyle w:val="nTable"/>
              <w:spacing w:after="40"/>
            </w:pPr>
            <w:r>
              <w:t>6 Jan 1998</w:t>
            </w:r>
          </w:p>
        </w:tc>
      </w:tr>
      <w:tr>
        <w:trPr>
          <w:cantSplit/>
        </w:trPr>
        <w:tc>
          <w:tcPr>
            <w:tcW w:w="3090" w:type="dxa"/>
          </w:tcPr>
          <w:p>
            <w:pPr>
              <w:pStyle w:val="nTable"/>
              <w:spacing w:after="40"/>
              <w:rPr>
                <w:i/>
              </w:rPr>
            </w:pPr>
            <w:r>
              <w:br w:type="page"/>
            </w:r>
            <w:r>
              <w:rPr>
                <w:i/>
              </w:rPr>
              <w:t>Jetties Amendment Regulations 1998</w:t>
            </w:r>
          </w:p>
        </w:tc>
        <w:tc>
          <w:tcPr>
            <w:tcW w:w="1276" w:type="dxa"/>
          </w:tcPr>
          <w:p>
            <w:pPr>
              <w:pStyle w:val="nTable"/>
              <w:spacing w:after="40"/>
            </w:pPr>
            <w:r>
              <w:t>12 May 1998 p. 2775</w:t>
            </w:r>
            <w:r>
              <w:noBreakHyphen/>
              <w:t>90</w:t>
            </w:r>
          </w:p>
        </w:tc>
        <w:tc>
          <w:tcPr>
            <w:tcW w:w="2722" w:type="dxa"/>
          </w:tcPr>
          <w:p>
            <w:pPr>
              <w:pStyle w:val="nTable"/>
              <w:spacing w:after="40"/>
            </w:pPr>
            <w:r>
              <w:t>1 Jul 1998 (see r. 2)</w:t>
            </w:r>
          </w:p>
        </w:tc>
      </w:tr>
      <w:tr>
        <w:trPr>
          <w:cantSplit/>
        </w:trPr>
        <w:tc>
          <w:tcPr>
            <w:tcW w:w="3090" w:type="dxa"/>
          </w:tcPr>
          <w:p>
            <w:pPr>
              <w:pStyle w:val="nTable"/>
              <w:spacing w:after="40"/>
              <w:rPr>
                <w:i/>
              </w:rPr>
            </w:pPr>
            <w:r>
              <w:rPr>
                <w:i/>
              </w:rPr>
              <w:t>Jetties Amendment Regulations 1999</w:t>
            </w:r>
          </w:p>
        </w:tc>
        <w:tc>
          <w:tcPr>
            <w:tcW w:w="1276" w:type="dxa"/>
          </w:tcPr>
          <w:p>
            <w:pPr>
              <w:pStyle w:val="nTable"/>
              <w:spacing w:after="40"/>
            </w:pPr>
            <w:r>
              <w:t>22 Jun 1999 p. 2678</w:t>
            </w:r>
            <w:r>
              <w:noBreakHyphen/>
              <w:t>89</w:t>
            </w:r>
          </w:p>
        </w:tc>
        <w:tc>
          <w:tcPr>
            <w:tcW w:w="2722" w:type="dxa"/>
          </w:tcPr>
          <w:p>
            <w:pPr>
              <w:pStyle w:val="nTable"/>
              <w:spacing w:after="40"/>
            </w:pPr>
            <w:r>
              <w:t>1 Jul 1999 (see r. 2)</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as at 10 Dec 1999</w:t>
            </w:r>
            <w:r>
              <w:t xml:space="preserve"> (includes amendments listed above)</w:t>
            </w:r>
          </w:p>
        </w:tc>
      </w:tr>
      <w:tr>
        <w:trPr>
          <w:cantSplit/>
        </w:trPr>
        <w:tc>
          <w:tcPr>
            <w:tcW w:w="3090" w:type="dxa"/>
          </w:tcPr>
          <w:p>
            <w:pPr>
              <w:pStyle w:val="nTable"/>
              <w:spacing w:after="40"/>
              <w:rPr>
                <w:i/>
              </w:rPr>
            </w:pPr>
            <w:r>
              <w:rPr>
                <w:i/>
              </w:rPr>
              <w:t>Jetties Amendment Regulations 2000</w:t>
            </w:r>
          </w:p>
        </w:tc>
        <w:tc>
          <w:tcPr>
            <w:tcW w:w="1276" w:type="dxa"/>
          </w:tcPr>
          <w:p>
            <w:pPr>
              <w:pStyle w:val="nTable"/>
              <w:spacing w:after="40"/>
            </w:pPr>
            <w:r>
              <w:t>20 Jun 2000 p. 3043</w:t>
            </w:r>
            <w:r>
              <w:noBreakHyphen/>
              <w:t>60</w:t>
            </w:r>
          </w:p>
        </w:tc>
        <w:tc>
          <w:tcPr>
            <w:tcW w:w="2722" w:type="dxa"/>
          </w:tcPr>
          <w:p>
            <w:pPr>
              <w:pStyle w:val="nTable"/>
              <w:spacing w:after="40"/>
            </w:pPr>
            <w:r>
              <w:t>1 Jul 2000 (see r. 2)</w:t>
            </w:r>
          </w:p>
        </w:tc>
      </w:tr>
      <w:tr>
        <w:trPr>
          <w:cantSplit/>
        </w:trPr>
        <w:tc>
          <w:tcPr>
            <w:tcW w:w="3090" w:type="dxa"/>
          </w:tcPr>
          <w:p>
            <w:pPr>
              <w:pStyle w:val="nTable"/>
              <w:spacing w:after="40"/>
              <w:rPr>
                <w:i/>
              </w:rPr>
            </w:pPr>
            <w:r>
              <w:rPr>
                <w:i/>
              </w:rPr>
              <w:t>Jetties Amendment Regulations (No. 2) 2000</w:t>
            </w:r>
          </w:p>
        </w:tc>
        <w:tc>
          <w:tcPr>
            <w:tcW w:w="1276" w:type="dxa"/>
          </w:tcPr>
          <w:p>
            <w:pPr>
              <w:pStyle w:val="nTable"/>
              <w:spacing w:after="40"/>
            </w:pPr>
            <w:r>
              <w:t>18 Aug 2000 p. 4790</w:t>
            </w:r>
          </w:p>
        </w:tc>
        <w:tc>
          <w:tcPr>
            <w:tcW w:w="2722" w:type="dxa"/>
          </w:tcPr>
          <w:p>
            <w:pPr>
              <w:pStyle w:val="nTable"/>
              <w:spacing w:after="40"/>
            </w:pPr>
            <w:r>
              <w:t xml:space="preserve">18 Aug 2000 </w:t>
            </w:r>
          </w:p>
        </w:tc>
      </w:tr>
      <w:tr>
        <w:trPr>
          <w:cantSplit/>
        </w:trPr>
        <w:tc>
          <w:tcPr>
            <w:tcW w:w="3090" w:type="dxa"/>
          </w:tcPr>
          <w:p>
            <w:pPr>
              <w:pStyle w:val="nTable"/>
              <w:spacing w:after="40"/>
              <w:rPr>
                <w:i/>
              </w:rPr>
            </w:pPr>
            <w:r>
              <w:rPr>
                <w:i/>
              </w:rPr>
              <w:t>Jetties Amendment Regulations 2001</w:t>
            </w:r>
          </w:p>
        </w:tc>
        <w:tc>
          <w:tcPr>
            <w:tcW w:w="1276" w:type="dxa"/>
          </w:tcPr>
          <w:p>
            <w:pPr>
              <w:pStyle w:val="nTable"/>
              <w:spacing w:after="40"/>
            </w:pPr>
            <w:r>
              <w:t>27 Jul 2001 p. 3813</w:t>
            </w:r>
            <w:r>
              <w:noBreakHyphen/>
              <w:t>28</w:t>
            </w:r>
          </w:p>
        </w:tc>
        <w:tc>
          <w:tcPr>
            <w:tcW w:w="2722" w:type="dxa"/>
          </w:tcPr>
          <w:p>
            <w:pPr>
              <w:pStyle w:val="nTable"/>
              <w:spacing w:after="40"/>
            </w:pPr>
            <w:r>
              <w:t>1 Aug 2001 (see r. 2)</w:t>
            </w:r>
          </w:p>
        </w:tc>
      </w:tr>
      <w:tr>
        <w:trPr>
          <w:cantSplit/>
        </w:trPr>
        <w:tc>
          <w:tcPr>
            <w:tcW w:w="3090" w:type="dxa"/>
          </w:tcPr>
          <w:p>
            <w:pPr>
              <w:pStyle w:val="nTable"/>
              <w:spacing w:after="40"/>
              <w:rPr>
                <w:i/>
              </w:rPr>
            </w:pPr>
            <w:r>
              <w:rPr>
                <w:i/>
              </w:rPr>
              <w:t>Jetties Amendment Regulations 2002</w:t>
            </w:r>
          </w:p>
        </w:tc>
        <w:tc>
          <w:tcPr>
            <w:tcW w:w="1276" w:type="dxa"/>
          </w:tcPr>
          <w:p>
            <w:pPr>
              <w:pStyle w:val="nTable"/>
              <w:spacing w:after="40"/>
            </w:pPr>
            <w:r>
              <w:t>14 Jun 2002 p. 2299-300</w:t>
            </w:r>
          </w:p>
        </w:tc>
        <w:tc>
          <w:tcPr>
            <w:tcW w:w="2722" w:type="dxa"/>
          </w:tcPr>
          <w:p>
            <w:pPr>
              <w:pStyle w:val="nTable"/>
              <w:spacing w:after="40"/>
            </w:pPr>
            <w:r>
              <w:t xml:space="preserve">14 Jun 2002 </w:t>
            </w:r>
          </w:p>
        </w:tc>
      </w:tr>
      <w:tr>
        <w:trPr>
          <w:cantSplit/>
        </w:trPr>
        <w:tc>
          <w:tcPr>
            <w:tcW w:w="3090" w:type="dxa"/>
          </w:tcPr>
          <w:p>
            <w:pPr>
              <w:pStyle w:val="nTable"/>
              <w:spacing w:after="40"/>
              <w:rPr>
                <w:i/>
              </w:rPr>
            </w:pPr>
            <w:r>
              <w:rPr>
                <w:i/>
              </w:rPr>
              <w:t>Jetties Amendment Regulations (No. 2) 2002</w:t>
            </w:r>
          </w:p>
        </w:tc>
        <w:tc>
          <w:tcPr>
            <w:tcW w:w="1276" w:type="dxa"/>
          </w:tcPr>
          <w:p>
            <w:pPr>
              <w:pStyle w:val="nTable"/>
              <w:spacing w:after="40"/>
            </w:pPr>
            <w:r>
              <w:t>14 Jun 2002 p. 2301</w:t>
            </w:r>
            <w:r>
              <w:noBreakHyphen/>
              <w:t>18</w:t>
            </w:r>
          </w:p>
        </w:tc>
        <w:tc>
          <w:tcPr>
            <w:tcW w:w="2722" w:type="dxa"/>
          </w:tcPr>
          <w:p>
            <w:pPr>
              <w:pStyle w:val="nTable"/>
              <w:spacing w:after="40"/>
            </w:pPr>
            <w:r>
              <w:t>1 Jul 2002 (see r. 2)</w:t>
            </w:r>
          </w:p>
        </w:tc>
      </w:tr>
      <w:tr>
        <w:trPr>
          <w:cantSplit/>
        </w:trPr>
        <w:tc>
          <w:tcPr>
            <w:tcW w:w="3090" w:type="dxa"/>
          </w:tcPr>
          <w:p>
            <w:pPr>
              <w:pStyle w:val="nTable"/>
              <w:spacing w:after="40"/>
              <w:rPr>
                <w:i/>
              </w:rPr>
            </w:pPr>
            <w:r>
              <w:rPr>
                <w:i/>
              </w:rPr>
              <w:t>Jetties Amendment Regulations 2003</w:t>
            </w:r>
          </w:p>
        </w:tc>
        <w:tc>
          <w:tcPr>
            <w:tcW w:w="1276" w:type="dxa"/>
          </w:tcPr>
          <w:p>
            <w:pPr>
              <w:pStyle w:val="nTable"/>
              <w:spacing w:after="40"/>
            </w:pPr>
            <w:r>
              <w:rPr>
                <w:color w:val="000000"/>
              </w:rPr>
              <w:t>27 Jun 2003 p. </w:t>
            </w:r>
            <w:r>
              <w:t>2502</w:t>
            </w:r>
            <w:r>
              <w:noBreakHyphen/>
              <w:t>19</w:t>
            </w:r>
          </w:p>
        </w:tc>
        <w:tc>
          <w:tcPr>
            <w:tcW w:w="2722" w:type="dxa"/>
          </w:tcPr>
          <w:p>
            <w:pPr>
              <w:pStyle w:val="nTable"/>
              <w:spacing w:after="40"/>
            </w:pPr>
            <w:r>
              <w:t>1 Jul 2003 (see r. 2)</w:t>
            </w:r>
          </w:p>
        </w:tc>
      </w:tr>
      <w:tr>
        <w:trPr>
          <w:cantSplit/>
        </w:trPr>
        <w:tc>
          <w:tcPr>
            <w:tcW w:w="3090" w:type="dxa"/>
          </w:tcPr>
          <w:p>
            <w:pPr>
              <w:pStyle w:val="nTable"/>
              <w:spacing w:after="40"/>
              <w:rPr>
                <w:i/>
              </w:rPr>
            </w:pPr>
            <w:r>
              <w:rPr>
                <w:i/>
              </w:rPr>
              <w:t>Jetties Amendment Regulations (No. 2) 2004</w:t>
            </w:r>
          </w:p>
        </w:tc>
        <w:tc>
          <w:tcPr>
            <w:tcW w:w="1276" w:type="dxa"/>
          </w:tcPr>
          <w:p>
            <w:pPr>
              <w:pStyle w:val="nTable"/>
              <w:spacing w:after="40"/>
            </w:pPr>
            <w:r>
              <w:rPr>
                <w:color w:val="000000"/>
              </w:rPr>
              <w:t>25 Jun 2004 p. </w:t>
            </w:r>
            <w:r>
              <w:t>2270</w:t>
            </w:r>
            <w:r>
              <w:noBreakHyphen/>
              <w:t>87</w:t>
            </w:r>
          </w:p>
        </w:tc>
        <w:tc>
          <w:tcPr>
            <w:tcW w:w="2722" w:type="dxa"/>
          </w:tcPr>
          <w:p>
            <w:pPr>
              <w:pStyle w:val="nTable"/>
              <w:spacing w:after="40"/>
            </w:pPr>
            <w:r>
              <w:t>1 Jul 2004 (see r. 2)</w:t>
            </w:r>
          </w:p>
        </w:tc>
      </w:tr>
      <w:tr>
        <w:trPr>
          <w:cantSplit/>
        </w:trPr>
        <w:tc>
          <w:tcPr>
            <w:tcW w:w="3090" w:type="dxa"/>
          </w:tcPr>
          <w:p>
            <w:pPr>
              <w:pStyle w:val="nTable"/>
              <w:spacing w:after="40"/>
              <w:rPr>
                <w:i/>
              </w:rPr>
            </w:pPr>
            <w:r>
              <w:rPr>
                <w:i/>
              </w:rPr>
              <w:t>Jetties Amendment Regulations (No. 3 ) 2004</w:t>
            </w:r>
          </w:p>
        </w:tc>
        <w:tc>
          <w:tcPr>
            <w:tcW w:w="1276" w:type="dxa"/>
          </w:tcPr>
          <w:p>
            <w:pPr>
              <w:pStyle w:val="nTable"/>
              <w:spacing w:after="40"/>
            </w:pPr>
            <w:r>
              <w:t>24 Aug 2004 p. 3658</w:t>
            </w:r>
            <w:r>
              <w:noBreakHyphen/>
              <w:t>9</w:t>
            </w:r>
          </w:p>
        </w:tc>
        <w:tc>
          <w:tcPr>
            <w:tcW w:w="2722" w:type="dxa"/>
          </w:tcPr>
          <w:p>
            <w:pPr>
              <w:pStyle w:val="nTable"/>
              <w:spacing w:after="40"/>
            </w:pPr>
            <w:r>
              <w:t>24 Aug 2004</w:t>
            </w:r>
          </w:p>
        </w:tc>
      </w:tr>
      <w:tr>
        <w:trPr>
          <w:cantSplit/>
        </w:trPr>
        <w:tc>
          <w:tcPr>
            <w:tcW w:w="3090" w:type="dxa"/>
          </w:tcPr>
          <w:p>
            <w:pPr>
              <w:pStyle w:val="nTable"/>
              <w:spacing w:after="40"/>
              <w:rPr>
                <w:i/>
              </w:rPr>
            </w:pPr>
            <w:r>
              <w:rPr>
                <w:i/>
              </w:rPr>
              <w:t>Jetties Amendment Regulations 2004</w:t>
            </w:r>
          </w:p>
        </w:tc>
        <w:tc>
          <w:tcPr>
            <w:tcW w:w="1276" w:type="dxa"/>
          </w:tcPr>
          <w:p>
            <w:pPr>
              <w:pStyle w:val="nTable"/>
              <w:spacing w:after="40"/>
            </w:pPr>
            <w:r>
              <w:t>30 Dec 2004 p. 6953</w:t>
            </w:r>
          </w:p>
        </w:tc>
        <w:tc>
          <w:tcPr>
            <w:tcW w:w="2722" w:type="dxa"/>
          </w:tcPr>
          <w:p>
            <w:pPr>
              <w:pStyle w:val="nTable"/>
              <w:spacing w:after="40"/>
            </w:pPr>
            <w:r>
              <w:t xml:space="preserve">1 Jan 2005 (see r. 2 and </w:t>
            </w:r>
            <w:r>
              <w:rPr>
                <w:i/>
              </w:rPr>
              <w:t>Gazette</w:t>
            </w:r>
            <w:r>
              <w:t xml:space="preserve"> 31 Dec 2004 p. 7130)</w:t>
            </w:r>
          </w:p>
        </w:tc>
      </w:tr>
      <w:tr>
        <w:trPr>
          <w:cantSplit/>
        </w:trPr>
        <w:tc>
          <w:tcPr>
            <w:tcW w:w="7088" w:type="dxa"/>
            <w:gridSpan w:val="3"/>
          </w:tcPr>
          <w:p>
            <w:pPr>
              <w:pStyle w:val="nTable"/>
              <w:spacing w:after="40"/>
            </w:pPr>
            <w:r>
              <w:rPr>
                <w:b/>
              </w:rPr>
              <w:t xml:space="preserve">Reprint 5: The </w:t>
            </w:r>
            <w:r>
              <w:rPr>
                <w:b/>
                <w:i/>
              </w:rPr>
              <w:t xml:space="preserve">Jetties Regulations 1940 </w:t>
            </w:r>
            <w:r>
              <w:rPr>
                <w:b/>
              </w:rPr>
              <w:t>as at 15 Apr 2005</w:t>
            </w:r>
            <w:r>
              <w:t xml:space="preserve"> (includes amendments listed above)</w:t>
            </w:r>
          </w:p>
        </w:tc>
      </w:tr>
      <w:tr>
        <w:trPr>
          <w:cantSplit/>
        </w:trPr>
        <w:tc>
          <w:tcPr>
            <w:tcW w:w="3090" w:type="dxa"/>
          </w:tcPr>
          <w:p>
            <w:pPr>
              <w:pStyle w:val="nTable"/>
              <w:spacing w:after="40"/>
              <w:rPr>
                <w:bCs/>
                <w:i/>
                <w:iCs/>
              </w:rPr>
            </w:pPr>
            <w:r>
              <w:rPr>
                <w:bCs/>
                <w:i/>
                <w:iCs/>
              </w:rPr>
              <w:t>Jetties Amendment Regulations (No. 2) 2005</w:t>
            </w:r>
          </w:p>
        </w:tc>
        <w:tc>
          <w:tcPr>
            <w:tcW w:w="1276" w:type="dxa"/>
          </w:tcPr>
          <w:p>
            <w:pPr>
              <w:pStyle w:val="nTable"/>
              <w:spacing w:after="40"/>
              <w:rPr>
                <w:bCs/>
              </w:rPr>
            </w:pPr>
            <w:r>
              <w:rPr>
                <w:bCs/>
              </w:rPr>
              <w:t>24 Jun 2005 p. 2813-47</w:t>
            </w:r>
          </w:p>
        </w:tc>
        <w:tc>
          <w:tcPr>
            <w:tcW w:w="2722" w:type="dxa"/>
          </w:tcPr>
          <w:p>
            <w:pPr>
              <w:pStyle w:val="nTable"/>
              <w:spacing w:after="40"/>
              <w:rPr>
                <w:bCs/>
              </w:rPr>
            </w:pPr>
            <w:r>
              <w:rPr>
                <w:bCs/>
              </w:rPr>
              <w:t>1 Jul 2005 (see r. 2)</w:t>
            </w:r>
          </w:p>
        </w:tc>
      </w:tr>
      <w:tr>
        <w:trPr>
          <w:cantSplit/>
        </w:trPr>
        <w:tc>
          <w:tcPr>
            <w:tcW w:w="3090" w:type="dxa"/>
          </w:tcPr>
          <w:p>
            <w:pPr>
              <w:pStyle w:val="nTable"/>
              <w:spacing w:after="40"/>
              <w:rPr>
                <w:bCs/>
                <w:i/>
                <w:iCs/>
              </w:rPr>
            </w:pPr>
            <w:r>
              <w:rPr>
                <w:bCs/>
                <w:i/>
                <w:iCs/>
              </w:rPr>
              <w:t>Jetties Amendment Regulations 2006</w:t>
            </w:r>
          </w:p>
        </w:tc>
        <w:tc>
          <w:tcPr>
            <w:tcW w:w="1276" w:type="dxa"/>
          </w:tcPr>
          <w:p>
            <w:pPr>
              <w:pStyle w:val="nTable"/>
              <w:spacing w:after="40"/>
              <w:rPr>
                <w:bCs/>
              </w:rPr>
            </w:pPr>
            <w:r>
              <w:rPr>
                <w:bCs/>
              </w:rPr>
              <w:t>23 Jun 2006 p. 2193</w:t>
            </w:r>
            <w:r>
              <w:rPr>
                <w:bCs/>
              </w:rPr>
              <w:noBreakHyphen/>
              <w:t>204</w:t>
            </w:r>
          </w:p>
        </w:tc>
        <w:tc>
          <w:tcPr>
            <w:tcW w:w="2722" w:type="dxa"/>
          </w:tcPr>
          <w:p>
            <w:pPr>
              <w:pStyle w:val="nTable"/>
              <w:spacing w:after="40"/>
              <w:rPr>
                <w:bCs/>
              </w:rPr>
            </w:pPr>
            <w:r>
              <w:rPr>
                <w:bCs/>
              </w:rPr>
              <w:t>1 Jul 2006 (see r. 2)</w:t>
            </w:r>
          </w:p>
        </w:tc>
      </w:tr>
      <w:tr>
        <w:trPr>
          <w:cantSplit/>
        </w:trPr>
        <w:tc>
          <w:tcPr>
            <w:tcW w:w="3090" w:type="dxa"/>
          </w:tcPr>
          <w:p>
            <w:pPr>
              <w:pStyle w:val="nTable"/>
              <w:spacing w:after="40"/>
              <w:rPr>
                <w:bCs/>
                <w:i/>
                <w:iCs/>
              </w:rPr>
            </w:pPr>
            <w:r>
              <w:rPr>
                <w:bCs/>
                <w:i/>
                <w:iCs/>
              </w:rPr>
              <w:t>Jetties Amendment Regulations 2007</w:t>
            </w:r>
          </w:p>
        </w:tc>
        <w:tc>
          <w:tcPr>
            <w:tcW w:w="1276" w:type="dxa"/>
          </w:tcPr>
          <w:p>
            <w:pPr>
              <w:pStyle w:val="nTable"/>
              <w:spacing w:after="40"/>
              <w:rPr>
                <w:bCs/>
              </w:rPr>
            </w:pPr>
            <w:r>
              <w:rPr>
                <w:bCs/>
              </w:rPr>
              <w:t>22 Jun 2007 p. 2903</w:t>
            </w:r>
            <w:r>
              <w:rPr>
                <w:bCs/>
              </w:rPr>
              <w:noBreakHyphen/>
              <w:t>40</w:t>
            </w:r>
          </w:p>
        </w:tc>
        <w:tc>
          <w:tcPr>
            <w:tcW w:w="2722" w:type="dxa"/>
          </w:tcPr>
          <w:p>
            <w:pPr>
              <w:pStyle w:val="nTable"/>
              <w:spacing w:after="40"/>
              <w:rPr>
                <w:bCs/>
              </w:rPr>
            </w:pPr>
            <w:r>
              <w:rPr>
                <w:bCs/>
                <w:snapToGrid w:val="0"/>
              </w:rPr>
              <w:t>r. 1 and 2: 22 Jun 2007 (see r. 2(a));</w:t>
            </w:r>
            <w:r>
              <w:rPr>
                <w:bCs/>
                <w:snapToGrid w:val="0"/>
              </w:rPr>
              <w:br/>
              <w:t>Regulations other than r. 1 and 2: 1 Jul 2007 (see r. 2(b)(ii))</w:t>
            </w:r>
          </w:p>
        </w:tc>
      </w:tr>
      <w:tr>
        <w:trPr>
          <w:cantSplit/>
        </w:trPr>
        <w:tc>
          <w:tcPr>
            <w:tcW w:w="7088" w:type="dxa"/>
            <w:gridSpan w:val="3"/>
          </w:tcPr>
          <w:p>
            <w:pPr>
              <w:pStyle w:val="nTable"/>
              <w:spacing w:after="40"/>
              <w:rPr>
                <w:bCs/>
                <w:snapToGrid w:val="0"/>
              </w:rPr>
            </w:pPr>
            <w:r>
              <w:rPr>
                <w:b/>
              </w:rPr>
              <w:t xml:space="preserve">Reprint 6: The </w:t>
            </w:r>
            <w:r>
              <w:rPr>
                <w:b/>
                <w:i/>
              </w:rPr>
              <w:t xml:space="preserve">Jetties Regulations 1940 </w:t>
            </w:r>
            <w:r>
              <w:rPr>
                <w:b/>
              </w:rPr>
              <w:t>as at 9 Nov 2007</w:t>
            </w:r>
            <w:r>
              <w:t xml:space="preserve"> (includes amendments listed above)</w:t>
            </w:r>
          </w:p>
        </w:tc>
      </w:tr>
      <w:tr>
        <w:trPr>
          <w:cantSplit/>
        </w:trPr>
        <w:tc>
          <w:tcPr>
            <w:tcW w:w="3090" w:type="dxa"/>
          </w:tcPr>
          <w:p>
            <w:pPr>
              <w:pStyle w:val="nTable"/>
              <w:spacing w:after="40"/>
              <w:rPr>
                <w:bCs/>
                <w:i/>
                <w:iCs/>
              </w:rPr>
            </w:pPr>
            <w:r>
              <w:rPr>
                <w:bCs/>
                <w:i/>
                <w:iCs/>
              </w:rPr>
              <w:t>Jetties Amendment Regulations (No. 2) 2007</w:t>
            </w:r>
          </w:p>
        </w:tc>
        <w:tc>
          <w:tcPr>
            <w:tcW w:w="1276" w:type="dxa"/>
          </w:tcPr>
          <w:p>
            <w:pPr>
              <w:pStyle w:val="nTable"/>
              <w:spacing w:after="40"/>
              <w:rPr>
                <w:bCs/>
              </w:rPr>
            </w:pPr>
            <w:r>
              <w:rPr>
                <w:bCs/>
              </w:rPr>
              <w:t>7 Dec 2007 p. 5983-4</w:t>
            </w:r>
          </w:p>
        </w:tc>
        <w:tc>
          <w:tcPr>
            <w:tcW w:w="2722" w:type="dxa"/>
          </w:tcPr>
          <w:p>
            <w:pPr>
              <w:pStyle w:val="nTable"/>
              <w:spacing w:after="40"/>
              <w:rPr>
                <w:bCs/>
              </w:rPr>
            </w:pPr>
            <w:r>
              <w:rPr>
                <w:bCs/>
              </w:rPr>
              <w:t>r. 1 and 2: 7 Dec 2007 (see r. 2(a));</w:t>
            </w:r>
            <w:r>
              <w:rPr>
                <w:bCs/>
              </w:rPr>
              <w:br/>
              <w:t>Regulations other than r. 1 and 2: 8 Dec 2007 (see r. 2(b))</w:t>
            </w:r>
          </w:p>
        </w:tc>
      </w:tr>
      <w:tr>
        <w:trPr>
          <w:cantSplit/>
        </w:trPr>
        <w:tc>
          <w:tcPr>
            <w:tcW w:w="3090" w:type="dxa"/>
          </w:tcPr>
          <w:p>
            <w:pPr>
              <w:pStyle w:val="nTable"/>
              <w:spacing w:after="40"/>
              <w:rPr>
                <w:bCs/>
                <w:i/>
                <w:iCs/>
              </w:rPr>
            </w:pPr>
            <w:r>
              <w:rPr>
                <w:bCs/>
                <w:i/>
                <w:iCs/>
              </w:rPr>
              <w:t>Jetties Amendment Regulations 2008</w:t>
            </w:r>
          </w:p>
        </w:tc>
        <w:tc>
          <w:tcPr>
            <w:tcW w:w="1276" w:type="dxa"/>
          </w:tcPr>
          <w:p>
            <w:pPr>
              <w:pStyle w:val="nTable"/>
              <w:spacing w:after="40"/>
              <w:rPr>
                <w:bCs/>
              </w:rPr>
            </w:pPr>
            <w:r>
              <w:rPr>
                <w:bCs/>
              </w:rPr>
              <w:t>8 Feb 2008 p. 314-15</w:t>
            </w:r>
          </w:p>
        </w:tc>
        <w:tc>
          <w:tcPr>
            <w:tcW w:w="2722" w:type="dxa"/>
          </w:tcPr>
          <w:p>
            <w:pPr>
              <w:pStyle w:val="nTable"/>
              <w:spacing w:after="40"/>
              <w:rPr>
                <w:bCs/>
              </w:rPr>
            </w:pPr>
            <w:r>
              <w:rPr>
                <w:bCs/>
              </w:rPr>
              <w:t>r. 1 and 2: 8 Feb 2008 (see r. 2(a));</w:t>
            </w:r>
            <w:r>
              <w:rPr>
                <w:bCs/>
              </w:rPr>
              <w:br/>
              <w:t>Regulations other than r. 1 and 2: 9 Feb 2008 (see r. 2(b))</w:t>
            </w:r>
          </w:p>
        </w:tc>
      </w:tr>
      <w:tr>
        <w:trPr>
          <w:cantSplit/>
        </w:trPr>
        <w:tc>
          <w:tcPr>
            <w:tcW w:w="3090" w:type="dxa"/>
          </w:tcPr>
          <w:p>
            <w:pPr>
              <w:pStyle w:val="nTable"/>
              <w:spacing w:after="40"/>
              <w:rPr>
                <w:bCs/>
                <w:i/>
                <w:iCs/>
              </w:rPr>
            </w:pPr>
            <w:r>
              <w:rPr>
                <w:bCs/>
                <w:i/>
                <w:iCs/>
              </w:rPr>
              <w:t>Jetties Amendment Regulations (No. 2) 2008</w:t>
            </w:r>
          </w:p>
        </w:tc>
        <w:tc>
          <w:tcPr>
            <w:tcW w:w="1276" w:type="dxa"/>
          </w:tcPr>
          <w:p>
            <w:pPr>
              <w:pStyle w:val="nTable"/>
              <w:spacing w:after="40"/>
              <w:rPr>
                <w:bCs/>
              </w:rPr>
            </w:pPr>
            <w:r>
              <w:rPr>
                <w:bCs/>
              </w:rPr>
              <w:t>1 Jul 2008 p. 3140</w:t>
            </w:r>
            <w:r>
              <w:rPr>
                <w:bCs/>
              </w:rPr>
              <w:noBreakHyphen/>
              <w:t>53</w:t>
            </w:r>
          </w:p>
        </w:tc>
        <w:tc>
          <w:tcPr>
            <w:tcW w:w="2722" w:type="dxa"/>
          </w:tcPr>
          <w:p>
            <w:pPr>
              <w:pStyle w:val="nTable"/>
              <w:spacing w:after="40"/>
              <w:rPr>
                <w:bCs/>
              </w:rPr>
            </w:pPr>
            <w:r>
              <w:rPr>
                <w:bCs/>
              </w:rPr>
              <w:t>r. 1 and 2: 1 Jul 2008 (see r. 2(a));</w:t>
            </w:r>
            <w:r>
              <w:rPr>
                <w:bCs/>
              </w:rPr>
              <w:br/>
              <w:t>Regulations other than r. 1 and 2: 1 Jul 2008 (see r. 2(b))</w:t>
            </w:r>
          </w:p>
        </w:tc>
      </w:tr>
      <w:tr>
        <w:trPr>
          <w:cantSplit/>
        </w:trPr>
        <w:tc>
          <w:tcPr>
            <w:tcW w:w="7088" w:type="dxa"/>
            <w:gridSpan w:val="3"/>
          </w:tcPr>
          <w:p>
            <w:pPr>
              <w:pStyle w:val="nTable"/>
              <w:spacing w:after="40"/>
              <w:rPr>
                <w:bCs/>
              </w:rPr>
            </w:pPr>
            <w:r>
              <w:rPr>
                <w:b/>
              </w:rPr>
              <w:t xml:space="preserve">Reprint 7:  The </w:t>
            </w:r>
            <w:r>
              <w:rPr>
                <w:b/>
                <w:i/>
              </w:rPr>
              <w:t xml:space="preserve">Jetties Regulations 1940 </w:t>
            </w:r>
            <w:r>
              <w:rPr>
                <w:b/>
              </w:rPr>
              <w:t xml:space="preserve">as at 13 Feb 2009 </w:t>
            </w:r>
            <w:r>
              <w:rPr>
                <w:bCs/>
              </w:rPr>
              <w:t xml:space="preserve">(includes amendments listed above) </w:t>
            </w:r>
          </w:p>
        </w:tc>
      </w:tr>
      <w:tr>
        <w:trPr>
          <w:cantSplit/>
        </w:trPr>
        <w:tc>
          <w:tcPr>
            <w:tcW w:w="3090" w:type="dxa"/>
          </w:tcPr>
          <w:p>
            <w:pPr>
              <w:pStyle w:val="nTable"/>
              <w:spacing w:after="40"/>
              <w:rPr>
                <w:bCs/>
                <w:i/>
                <w:iCs/>
              </w:rPr>
            </w:pPr>
            <w:r>
              <w:rPr>
                <w:bCs/>
                <w:i/>
                <w:iCs/>
              </w:rPr>
              <w:t>Jetties Amendment Regulations 2009</w:t>
            </w:r>
          </w:p>
        </w:tc>
        <w:tc>
          <w:tcPr>
            <w:tcW w:w="1276" w:type="dxa"/>
          </w:tcPr>
          <w:p>
            <w:pPr>
              <w:pStyle w:val="nTable"/>
              <w:spacing w:after="40"/>
              <w:rPr>
                <w:bCs/>
              </w:rPr>
            </w:pPr>
            <w:r>
              <w:rPr>
                <w:bCs/>
              </w:rPr>
              <w:t>23 Jun 2009 p. 2490-1</w:t>
            </w:r>
          </w:p>
        </w:tc>
        <w:tc>
          <w:tcPr>
            <w:tcW w:w="2722" w:type="dxa"/>
          </w:tcPr>
          <w:p>
            <w:pPr>
              <w:pStyle w:val="nTable"/>
              <w:spacing w:after="40"/>
              <w:rPr>
                <w:bCs/>
              </w:rPr>
            </w:pPr>
            <w:r>
              <w:rPr>
                <w:bCs/>
              </w:rPr>
              <w:t>r. 1 and 2: 23 Jun 2009 (see r. 2(a));</w:t>
            </w:r>
            <w:r>
              <w:rPr>
                <w:bCs/>
              </w:rPr>
              <w:br/>
              <w:t>Regulations other than r. 1 and 2: 24 Jun 2009 (see r. 2(b))</w:t>
            </w:r>
          </w:p>
        </w:tc>
      </w:tr>
      <w:tr>
        <w:trPr>
          <w:cantSplit/>
        </w:trPr>
        <w:tc>
          <w:tcPr>
            <w:tcW w:w="3090" w:type="dxa"/>
          </w:tcPr>
          <w:p>
            <w:pPr>
              <w:pStyle w:val="nTable"/>
              <w:spacing w:after="40"/>
              <w:rPr>
                <w:bCs/>
                <w:i/>
                <w:iCs/>
              </w:rPr>
            </w:pPr>
            <w:r>
              <w:rPr>
                <w:bCs/>
                <w:i/>
                <w:iCs/>
              </w:rPr>
              <w:t>Jetties Amendment Regulations (No. 2) 2009</w:t>
            </w:r>
          </w:p>
        </w:tc>
        <w:tc>
          <w:tcPr>
            <w:tcW w:w="1276" w:type="dxa"/>
          </w:tcPr>
          <w:p>
            <w:pPr>
              <w:pStyle w:val="nTable"/>
              <w:spacing w:after="40"/>
              <w:rPr>
                <w:bCs/>
              </w:rPr>
            </w:pPr>
            <w:r>
              <w:rPr>
                <w:bCs/>
              </w:rPr>
              <w:t>31 Jul 2009 p. 3071-97</w:t>
            </w:r>
          </w:p>
        </w:tc>
        <w:tc>
          <w:tcPr>
            <w:tcW w:w="2722" w:type="dxa"/>
          </w:tcPr>
          <w:p>
            <w:pPr>
              <w:pStyle w:val="nTable"/>
              <w:spacing w:after="40"/>
              <w:rPr>
                <w:bCs/>
              </w:rPr>
            </w:pPr>
            <w:r>
              <w:rPr>
                <w:bCs/>
              </w:rPr>
              <w:t>r. 1 and 2: 31 Jul 2009 (see r. 2(a));</w:t>
            </w:r>
            <w:r>
              <w:rPr>
                <w:bCs/>
              </w:rPr>
              <w:br/>
              <w:t>Regulations other than r. 1 and 2: 1 Aug 2009 (see r. 2(b))</w:t>
            </w:r>
          </w:p>
        </w:tc>
      </w:tr>
      <w:tr>
        <w:trPr>
          <w:cantSplit/>
        </w:trPr>
        <w:tc>
          <w:tcPr>
            <w:tcW w:w="3090" w:type="dxa"/>
          </w:tcPr>
          <w:p>
            <w:pPr>
              <w:pStyle w:val="nTable"/>
              <w:spacing w:after="40"/>
              <w:rPr>
                <w:bCs/>
                <w:i/>
                <w:iCs/>
              </w:rPr>
            </w:pPr>
            <w:r>
              <w:rPr>
                <w:bCs/>
                <w:i/>
                <w:iCs/>
              </w:rPr>
              <w:t>Jetties Amendment Regulations 2010</w:t>
            </w:r>
          </w:p>
        </w:tc>
        <w:tc>
          <w:tcPr>
            <w:tcW w:w="1276" w:type="dxa"/>
          </w:tcPr>
          <w:p>
            <w:pPr>
              <w:pStyle w:val="nTable"/>
              <w:spacing w:after="40"/>
              <w:rPr>
                <w:bCs/>
              </w:rPr>
            </w:pPr>
            <w:r>
              <w:rPr>
                <w:bCs/>
              </w:rPr>
              <w:t>16 Jul 2010 p. 3309-54</w:t>
            </w:r>
          </w:p>
        </w:tc>
        <w:tc>
          <w:tcPr>
            <w:tcW w:w="2722" w:type="dxa"/>
          </w:tcPr>
          <w:p>
            <w:pPr>
              <w:pStyle w:val="nTable"/>
              <w:spacing w:after="40"/>
              <w:rPr>
                <w:bCs/>
              </w:rPr>
            </w:pPr>
            <w:r>
              <w:rPr>
                <w:bCs/>
              </w:rPr>
              <w:t>r. 1 and 2: 16 Jul 2010 (see r. 2(a));</w:t>
            </w:r>
            <w:r>
              <w:rPr>
                <w:bCs/>
              </w:rPr>
              <w:br/>
              <w:t>Regulations other than r. 1 and 2: 17 Jul 2010 (see r. 2(b))</w:t>
            </w:r>
          </w:p>
        </w:tc>
      </w:tr>
      <w:tr>
        <w:trPr>
          <w:cantSplit/>
        </w:trPr>
        <w:tc>
          <w:tcPr>
            <w:tcW w:w="3090" w:type="dxa"/>
          </w:tcPr>
          <w:p>
            <w:pPr>
              <w:pStyle w:val="nTable"/>
              <w:spacing w:after="40"/>
              <w:rPr>
                <w:bCs/>
                <w:i/>
                <w:iCs/>
              </w:rPr>
            </w:pPr>
            <w:r>
              <w:rPr>
                <w:bCs/>
                <w:i/>
                <w:iCs/>
              </w:rPr>
              <w:t>Jetties Amendment Regulations 2011</w:t>
            </w:r>
          </w:p>
        </w:tc>
        <w:tc>
          <w:tcPr>
            <w:tcW w:w="1276" w:type="dxa"/>
          </w:tcPr>
          <w:p>
            <w:pPr>
              <w:pStyle w:val="nTable"/>
              <w:spacing w:after="40"/>
              <w:rPr>
                <w:bCs/>
              </w:rPr>
            </w:pPr>
            <w:r>
              <w:rPr>
                <w:bCs/>
              </w:rPr>
              <w:t>21 Jun 2011 p. 2265</w:t>
            </w:r>
            <w:r>
              <w:rPr>
                <w:bCs/>
              </w:rPr>
              <w:noBreakHyphen/>
              <w:t>303</w:t>
            </w:r>
          </w:p>
        </w:tc>
        <w:tc>
          <w:tcPr>
            <w:tcW w:w="2722" w:type="dxa"/>
          </w:tcPr>
          <w:p>
            <w:pPr>
              <w:pStyle w:val="nTable"/>
              <w:spacing w:after="40"/>
              <w:rPr>
                <w:bCs/>
              </w:rPr>
            </w:pPr>
            <w:r>
              <w:rPr>
                <w:bCs/>
              </w:rPr>
              <w:t>r. 1 and 2: 21 Jun 2011 (see r. 2(a));</w:t>
            </w:r>
            <w:r>
              <w:rPr>
                <w:bCs/>
              </w:rPr>
              <w:br/>
              <w:t>Regulations other than r. 1 and 2: 1 Jul 2011 (see r. 2(b))</w:t>
            </w:r>
          </w:p>
        </w:tc>
      </w:tr>
      <w:tr>
        <w:trPr>
          <w:cantSplit/>
        </w:trPr>
        <w:tc>
          <w:tcPr>
            <w:tcW w:w="3090" w:type="dxa"/>
          </w:tcPr>
          <w:p>
            <w:pPr>
              <w:pStyle w:val="nTable"/>
              <w:spacing w:after="40"/>
              <w:rPr>
                <w:bCs/>
                <w:i/>
                <w:iCs/>
              </w:rPr>
            </w:pPr>
            <w:r>
              <w:rPr>
                <w:bCs/>
                <w:i/>
                <w:iCs/>
              </w:rPr>
              <w:t>Jetties Amendment Regulations 2012</w:t>
            </w:r>
          </w:p>
        </w:tc>
        <w:tc>
          <w:tcPr>
            <w:tcW w:w="1276" w:type="dxa"/>
          </w:tcPr>
          <w:p>
            <w:pPr>
              <w:pStyle w:val="nTable"/>
              <w:spacing w:after="40"/>
              <w:rPr>
                <w:bCs/>
              </w:rPr>
            </w:pPr>
            <w:r>
              <w:rPr>
                <w:bCs/>
              </w:rPr>
              <w:t>13 Jul 2012 p. 3173</w:t>
            </w:r>
            <w:r>
              <w:rPr>
                <w:bCs/>
              </w:rPr>
              <w:noBreakHyphen/>
              <w:t>214</w:t>
            </w:r>
          </w:p>
        </w:tc>
        <w:tc>
          <w:tcPr>
            <w:tcW w:w="2722" w:type="dxa"/>
          </w:tcPr>
          <w:p>
            <w:pPr>
              <w:pStyle w:val="nTable"/>
              <w:spacing w:after="40"/>
              <w:rPr>
                <w:bCs/>
              </w:rPr>
            </w:pPr>
            <w:r>
              <w:rPr>
                <w:bCs/>
              </w:rPr>
              <w:t>r. 1 and 2: 13 Jul 2012 (see r. 2(a));</w:t>
            </w:r>
            <w:r>
              <w:rPr>
                <w:bCs/>
              </w:rPr>
              <w:br/>
              <w:t>Regulations other than r. 1 and 2: 14 Jul 2012 (see r. 2(b))</w:t>
            </w:r>
          </w:p>
        </w:tc>
      </w:tr>
      <w:tr>
        <w:trPr>
          <w:cantSplit/>
        </w:trPr>
        <w:tc>
          <w:tcPr>
            <w:tcW w:w="3090" w:type="dxa"/>
          </w:tcPr>
          <w:p>
            <w:pPr>
              <w:pStyle w:val="nTable"/>
              <w:spacing w:after="40"/>
              <w:rPr>
                <w:bCs/>
                <w:i/>
                <w:iCs/>
              </w:rPr>
            </w:pPr>
            <w:r>
              <w:rPr>
                <w:bCs/>
                <w:i/>
                <w:iCs/>
              </w:rPr>
              <w:t>Jetties Amendment Regulations (No. 2) 2012</w:t>
            </w:r>
          </w:p>
        </w:tc>
        <w:tc>
          <w:tcPr>
            <w:tcW w:w="1276" w:type="dxa"/>
          </w:tcPr>
          <w:p>
            <w:pPr>
              <w:pStyle w:val="nTable"/>
              <w:spacing w:after="40"/>
              <w:rPr>
                <w:bCs/>
              </w:rPr>
            </w:pPr>
            <w:r>
              <w:rPr>
                <w:bCs/>
              </w:rPr>
              <w:t>23 Oct 2012 p. 5057</w:t>
            </w:r>
          </w:p>
        </w:tc>
        <w:tc>
          <w:tcPr>
            <w:tcW w:w="2722" w:type="dxa"/>
          </w:tcPr>
          <w:p>
            <w:pPr>
              <w:pStyle w:val="nTable"/>
              <w:spacing w:after="40"/>
              <w:rPr>
                <w:bCs/>
              </w:rPr>
            </w:pPr>
            <w:r>
              <w:rPr>
                <w:bCs/>
                <w:snapToGrid w:val="0"/>
              </w:rPr>
              <w:t>r. 1 and 2: 23 Oct 2012 (see r. 2(a));</w:t>
            </w:r>
            <w:r>
              <w:rPr>
                <w:bCs/>
                <w:snapToGrid w:val="0"/>
              </w:rPr>
              <w:br/>
              <w:t>Regulations other than r. 1 and 2: 24 Oct 2012 (see r. 2(b))</w:t>
            </w:r>
          </w:p>
        </w:tc>
      </w:tr>
      <w:tr>
        <w:trPr>
          <w:cantSplit/>
        </w:trPr>
        <w:tc>
          <w:tcPr>
            <w:tcW w:w="3090" w:type="dxa"/>
          </w:tcPr>
          <w:p>
            <w:pPr>
              <w:pStyle w:val="nTable"/>
              <w:spacing w:after="40"/>
              <w:rPr>
                <w:bCs/>
                <w:i/>
                <w:iCs/>
              </w:rPr>
            </w:pPr>
            <w:r>
              <w:rPr>
                <w:bCs/>
                <w:i/>
                <w:iCs/>
              </w:rPr>
              <w:t>Jetties Amendment Regulations 2013</w:t>
            </w:r>
          </w:p>
        </w:tc>
        <w:tc>
          <w:tcPr>
            <w:tcW w:w="1276" w:type="dxa"/>
          </w:tcPr>
          <w:p>
            <w:pPr>
              <w:pStyle w:val="nTable"/>
              <w:spacing w:after="40"/>
              <w:rPr>
                <w:bCs/>
              </w:rPr>
            </w:pPr>
            <w:r>
              <w:rPr>
                <w:bCs/>
              </w:rPr>
              <w:t>7 May 2013 p. 1918-23</w:t>
            </w:r>
          </w:p>
        </w:tc>
        <w:tc>
          <w:tcPr>
            <w:tcW w:w="2722" w:type="dxa"/>
          </w:tcPr>
          <w:p>
            <w:pPr>
              <w:pStyle w:val="nTable"/>
              <w:spacing w:after="40"/>
              <w:rPr>
                <w:bCs/>
                <w:snapToGrid w:val="0"/>
              </w:rPr>
            </w:pPr>
            <w:r>
              <w:rPr>
                <w:bCs/>
                <w:snapToGrid w:val="0"/>
              </w:rPr>
              <w:t>r. 1 and 2: 7 May 2013 (see r. 2(a));</w:t>
            </w:r>
            <w:r>
              <w:rPr>
                <w:bCs/>
                <w:snapToGrid w:val="0"/>
              </w:rPr>
              <w:br/>
              <w:t>Regulations other than r. 1 and 2: 8 May 2013 (see r. 2(b))</w:t>
            </w:r>
          </w:p>
        </w:tc>
      </w:tr>
      <w:tr>
        <w:trPr>
          <w:cantSplit/>
        </w:trPr>
        <w:tc>
          <w:tcPr>
            <w:tcW w:w="3090" w:type="dxa"/>
          </w:tcPr>
          <w:p>
            <w:pPr>
              <w:pStyle w:val="nTable"/>
              <w:spacing w:after="40"/>
              <w:rPr>
                <w:bCs/>
                <w:i/>
                <w:iCs/>
              </w:rPr>
            </w:pPr>
            <w:r>
              <w:rPr>
                <w:bCs/>
                <w:i/>
                <w:iCs/>
              </w:rPr>
              <w:t>Jetties Amendment Regulations (No. 2) 2013</w:t>
            </w:r>
          </w:p>
        </w:tc>
        <w:tc>
          <w:tcPr>
            <w:tcW w:w="1276" w:type="dxa"/>
          </w:tcPr>
          <w:p>
            <w:pPr>
              <w:pStyle w:val="nTable"/>
              <w:spacing w:after="40"/>
              <w:rPr>
                <w:bCs/>
              </w:rPr>
            </w:pPr>
            <w:r>
              <w:rPr>
                <w:bCs/>
              </w:rPr>
              <w:t>28 Jun 2013 p. 2831</w:t>
            </w:r>
            <w:r>
              <w:rPr>
                <w:bCs/>
              </w:rPr>
              <w:noBreakHyphen/>
              <w:t>85</w:t>
            </w:r>
          </w:p>
        </w:tc>
        <w:tc>
          <w:tcPr>
            <w:tcW w:w="2722" w:type="dxa"/>
          </w:tcPr>
          <w:p>
            <w:pPr>
              <w:pStyle w:val="nTable"/>
              <w:spacing w:after="40"/>
              <w:rPr>
                <w:bCs/>
                <w:snapToGrid w:val="0"/>
              </w:rPr>
            </w:pPr>
            <w:r>
              <w:rPr>
                <w:bCs/>
                <w:snapToGrid w:val="0"/>
              </w:rPr>
              <w:t>r. 1 and 2: 28 Jun 2013 (see r. 2(a));</w:t>
            </w:r>
            <w:r>
              <w:rPr>
                <w:bCs/>
                <w:snapToGrid w:val="0"/>
              </w:rPr>
              <w:br/>
              <w:t>Regulations other than r. 1 and 2: 1 Jul 2013 (see r. 2(b))</w:t>
            </w:r>
          </w:p>
        </w:tc>
      </w:tr>
      <w:tr>
        <w:trPr>
          <w:cantSplit/>
        </w:trPr>
        <w:tc>
          <w:tcPr>
            <w:tcW w:w="7088" w:type="dxa"/>
            <w:gridSpan w:val="3"/>
            <w:shd w:val="clear" w:color="auto" w:fill="auto"/>
          </w:tcPr>
          <w:p>
            <w:pPr>
              <w:pStyle w:val="nTable"/>
              <w:spacing w:after="40"/>
              <w:rPr>
                <w:b/>
                <w:bCs/>
                <w:snapToGrid w:val="0"/>
              </w:rPr>
            </w:pPr>
            <w:r>
              <w:rPr>
                <w:b/>
              </w:rPr>
              <w:t xml:space="preserve">Reprint 8:  The </w:t>
            </w:r>
            <w:r>
              <w:rPr>
                <w:b/>
                <w:i/>
              </w:rPr>
              <w:t xml:space="preserve">Jetties Regulations 1940 </w:t>
            </w:r>
            <w:r>
              <w:rPr>
                <w:b/>
              </w:rPr>
              <w:t xml:space="preserve">as at 11 Oct 2013 </w:t>
            </w:r>
            <w:r>
              <w:rPr>
                <w:bCs/>
              </w:rPr>
              <w:t>(includes amendments listed above)</w:t>
            </w:r>
          </w:p>
        </w:tc>
      </w:tr>
      <w:tr>
        <w:trPr>
          <w:cantSplit/>
        </w:trPr>
        <w:tc>
          <w:tcPr>
            <w:tcW w:w="3090" w:type="dxa"/>
          </w:tcPr>
          <w:p>
            <w:pPr>
              <w:pStyle w:val="nTable"/>
              <w:spacing w:after="40"/>
              <w:rPr>
                <w:bCs/>
                <w:i/>
                <w:iCs/>
              </w:rPr>
            </w:pPr>
            <w:r>
              <w:rPr>
                <w:bCs/>
                <w:i/>
                <w:iCs/>
              </w:rPr>
              <w:t>Jetties Amendment Regulations 2014</w:t>
            </w:r>
          </w:p>
        </w:tc>
        <w:tc>
          <w:tcPr>
            <w:tcW w:w="1276" w:type="dxa"/>
          </w:tcPr>
          <w:p>
            <w:pPr>
              <w:pStyle w:val="nTable"/>
              <w:spacing w:after="40"/>
              <w:rPr>
                <w:bCs/>
              </w:rPr>
            </w:pPr>
            <w:r>
              <w:rPr>
                <w:bCs/>
              </w:rPr>
              <w:t>7 Feb 2014 p. 287</w:t>
            </w:r>
            <w:r>
              <w:rPr>
                <w:bCs/>
              </w:rPr>
              <w:noBreakHyphen/>
              <w:t>9</w:t>
            </w:r>
          </w:p>
        </w:tc>
        <w:tc>
          <w:tcPr>
            <w:tcW w:w="2722" w:type="dxa"/>
          </w:tcPr>
          <w:p>
            <w:pPr>
              <w:pStyle w:val="nTable"/>
              <w:spacing w:after="40"/>
              <w:rPr>
                <w:bCs/>
                <w:snapToGrid w:val="0"/>
              </w:rPr>
            </w:pPr>
            <w:r>
              <w:rPr>
                <w:bCs/>
                <w:snapToGrid w:val="0"/>
              </w:rPr>
              <w:t>r. 1 and 2: 7 Feb 2014 (see r. 2(a));</w:t>
            </w:r>
            <w:r>
              <w:rPr>
                <w:bCs/>
                <w:snapToGrid w:val="0"/>
              </w:rPr>
              <w:br/>
              <w:t>Regulations other than r. 1 and 2: 8 Feb 2014 (see r. 2(b))</w:t>
            </w:r>
          </w:p>
        </w:tc>
      </w:tr>
      <w:tr>
        <w:trPr>
          <w:cantSplit/>
        </w:trPr>
        <w:tc>
          <w:tcPr>
            <w:tcW w:w="3090" w:type="dxa"/>
          </w:tcPr>
          <w:p>
            <w:pPr>
              <w:pStyle w:val="nTable"/>
              <w:spacing w:after="40"/>
              <w:rPr>
                <w:bCs/>
                <w:iCs/>
                <w:vertAlign w:val="superscript"/>
              </w:rPr>
            </w:pPr>
            <w:r>
              <w:rPr>
                <w:bCs/>
                <w:i/>
                <w:iCs/>
              </w:rPr>
              <w:t>Jetties Amendment Regulations (No. 2) 2014 </w:t>
            </w:r>
            <w:r>
              <w:rPr>
                <w:bCs/>
                <w:iCs/>
                <w:vertAlign w:val="superscript"/>
              </w:rPr>
              <w:t>11</w:t>
            </w:r>
          </w:p>
        </w:tc>
        <w:tc>
          <w:tcPr>
            <w:tcW w:w="1276" w:type="dxa"/>
          </w:tcPr>
          <w:p>
            <w:pPr>
              <w:pStyle w:val="nTable"/>
              <w:spacing w:after="40"/>
              <w:rPr>
                <w:bCs/>
              </w:rPr>
            </w:pPr>
            <w:r>
              <w:rPr>
                <w:bCs/>
              </w:rPr>
              <w:t>25 Jul 2014 p. 2607-61</w:t>
            </w:r>
          </w:p>
        </w:tc>
        <w:tc>
          <w:tcPr>
            <w:tcW w:w="2722" w:type="dxa"/>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rPr>
          <w:cantSplit/>
        </w:trPr>
        <w:tc>
          <w:tcPr>
            <w:tcW w:w="3090" w:type="dxa"/>
          </w:tcPr>
          <w:p>
            <w:pPr>
              <w:pStyle w:val="nTable"/>
              <w:spacing w:after="40"/>
              <w:rPr>
                <w:bCs/>
                <w:i/>
                <w:iCs/>
              </w:rPr>
            </w:pPr>
            <w:r>
              <w:rPr>
                <w:bCs/>
                <w:i/>
                <w:iCs/>
              </w:rPr>
              <w:t>Jetties Amendment Regulations (No. 4) 2014</w:t>
            </w:r>
          </w:p>
        </w:tc>
        <w:tc>
          <w:tcPr>
            <w:tcW w:w="1276" w:type="dxa"/>
          </w:tcPr>
          <w:p>
            <w:pPr>
              <w:pStyle w:val="nTable"/>
              <w:spacing w:after="40"/>
              <w:rPr>
                <w:bCs/>
              </w:rPr>
            </w:pPr>
            <w:r>
              <w:rPr>
                <w:bCs/>
              </w:rPr>
              <w:t>4 Nov 2014 p. 4204</w:t>
            </w:r>
            <w:r>
              <w:rPr>
                <w:bCs/>
              </w:rPr>
              <w:noBreakHyphen/>
              <w:t>5</w:t>
            </w:r>
          </w:p>
        </w:tc>
        <w:tc>
          <w:tcPr>
            <w:tcW w:w="2722" w:type="dxa"/>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rPr>
          <w:cantSplit/>
        </w:trPr>
        <w:tc>
          <w:tcPr>
            <w:tcW w:w="3090" w:type="dxa"/>
            <w:shd w:val="clear" w:color="auto" w:fill="auto"/>
          </w:tcPr>
          <w:p>
            <w:pPr>
              <w:pStyle w:val="nTable"/>
              <w:spacing w:after="40"/>
              <w:rPr>
                <w:bCs/>
                <w:i/>
                <w:iCs/>
              </w:rPr>
            </w:pPr>
            <w:r>
              <w:rPr>
                <w:bCs/>
                <w:i/>
                <w:iCs/>
              </w:rPr>
              <w:t>Jetties Amendment Regulations 2015</w:t>
            </w:r>
          </w:p>
        </w:tc>
        <w:tc>
          <w:tcPr>
            <w:tcW w:w="1276" w:type="dxa"/>
            <w:shd w:val="clear" w:color="auto" w:fill="auto"/>
          </w:tcPr>
          <w:p>
            <w:pPr>
              <w:pStyle w:val="nTable"/>
              <w:spacing w:after="40"/>
              <w:rPr>
                <w:bCs/>
              </w:rPr>
            </w:pPr>
            <w:r>
              <w:rPr>
                <w:bCs/>
              </w:rPr>
              <w:t>22 Jul 2015 p. 2951</w:t>
            </w:r>
            <w:r>
              <w:rPr>
                <w:bCs/>
              </w:rPr>
              <w:noBreakHyphen/>
              <w:t>95</w:t>
            </w:r>
          </w:p>
        </w:tc>
        <w:tc>
          <w:tcPr>
            <w:tcW w:w="2722" w:type="dxa"/>
            <w:shd w:val="clear" w:color="auto" w:fill="auto"/>
          </w:tcPr>
          <w:p>
            <w:pPr>
              <w:pStyle w:val="nTable"/>
              <w:spacing w:after="40"/>
              <w:rPr>
                <w:bCs/>
                <w:snapToGrid w:val="0"/>
              </w:rPr>
            </w:pPr>
            <w:r>
              <w:rPr>
                <w:bCs/>
                <w:snapToGrid w:val="0"/>
              </w:rPr>
              <w:t xml:space="preserve">r. 1 and 2: </w:t>
            </w:r>
            <w:r>
              <w:rPr>
                <w:bCs/>
              </w:rPr>
              <w:t>22 Jul 2015</w:t>
            </w:r>
            <w:r>
              <w:rPr>
                <w:bCs/>
                <w:snapToGrid w:val="0"/>
              </w:rPr>
              <w:t xml:space="preserve"> (see r. 2(a));</w:t>
            </w:r>
            <w:r>
              <w:rPr>
                <w:bCs/>
                <w:snapToGrid w:val="0"/>
              </w:rPr>
              <w:br/>
              <w:t>Regulations other than r. 1 and 2: 1 Aug 2015 (see r. 2(b))</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9: The </w:t>
            </w:r>
            <w:r>
              <w:rPr>
                <w:b/>
                <w:bCs/>
                <w:i/>
                <w:noProof/>
                <w:snapToGrid w:val="0"/>
              </w:rPr>
              <w:t>Jetties Regulations 1940</w:t>
            </w:r>
            <w:r>
              <w:rPr>
                <w:b/>
                <w:bCs/>
                <w:snapToGrid w:val="0"/>
              </w:rPr>
              <w:t xml:space="preserve"> as at 5 Feb 2016</w:t>
            </w:r>
            <w:r>
              <w:rPr>
                <w:bCs/>
                <w:snapToGrid w:val="0"/>
              </w:rPr>
              <w:t xml:space="preserve"> (includes amendments listed above)</w:t>
            </w:r>
          </w:p>
        </w:tc>
      </w:tr>
      <w:tr>
        <w:trPr>
          <w:cantSplit/>
        </w:trPr>
        <w:tc>
          <w:tcPr>
            <w:tcW w:w="3090" w:type="dxa"/>
            <w:shd w:val="clear" w:color="auto" w:fill="auto"/>
          </w:tcPr>
          <w:p>
            <w:pPr>
              <w:pStyle w:val="nTable"/>
              <w:spacing w:after="40"/>
              <w:rPr>
                <w:bCs/>
                <w:i/>
                <w:iCs/>
              </w:rPr>
            </w:pPr>
            <w:r>
              <w:rPr>
                <w:bCs/>
                <w:i/>
                <w:iCs/>
              </w:rPr>
              <w:t>Jetties Amendment Regulations 2016</w:t>
            </w:r>
          </w:p>
        </w:tc>
        <w:tc>
          <w:tcPr>
            <w:tcW w:w="1276" w:type="dxa"/>
            <w:shd w:val="clear" w:color="auto" w:fill="auto"/>
          </w:tcPr>
          <w:p>
            <w:pPr>
              <w:pStyle w:val="nTable"/>
              <w:spacing w:after="40"/>
              <w:rPr>
                <w:bCs/>
              </w:rPr>
            </w:pPr>
            <w:r>
              <w:rPr>
                <w:bCs/>
              </w:rPr>
              <w:t>5 Apr 2016 p. 1022</w:t>
            </w:r>
            <w:r>
              <w:rPr>
                <w:bCs/>
              </w:rPr>
              <w:noBreakHyphen/>
              <w:t>5</w:t>
            </w:r>
          </w:p>
        </w:tc>
        <w:tc>
          <w:tcPr>
            <w:tcW w:w="2722" w:type="dxa"/>
            <w:shd w:val="clear" w:color="auto" w:fill="auto"/>
          </w:tcPr>
          <w:p>
            <w:pPr>
              <w:pStyle w:val="nTable"/>
              <w:spacing w:after="40"/>
              <w:rPr>
                <w:bCs/>
                <w:snapToGrid w:val="0"/>
              </w:rPr>
            </w:pPr>
            <w:r>
              <w:rPr>
                <w:bCs/>
                <w:snapToGrid w:val="0"/>
              </w:rPr>
              <w:t xml:space="preserve">r. 1 and 2: </w:t>
            </w:r>
            <w:r>
              <w:rPr>
                <w:bCs/>
              </w:rPr>
              <w:t>5 Apr 2016</w:t>
            </w:r>
            <w:r>
              <w:rPr>
                <w:bCs/>
                <w:snapToGrid w:val="0"/>
              </w:rPr>
              <w:t xml:space="preserve"> (see r. 2(a));</w:t>
            </w:r>
            <w:r>
              <w:rPr>
                <w:bCs/>
                <w:snapToGrid w:val="0"/>
              </w:rPr>
              <w:br/>
              <w:t xml:space="preserve">Regulations other than r. 1 and 2: </w:t>
            </w:r>
            <w:r>
              <w:rPr>
                <w:bCs/>
              </w:rPr>
              <w:t>6 Apr 2016</w:t>
            </w:r>
            <w:r>
              <w:rPr>
                <w:bCs/>
                <w:snapToGrid w:val="0"/>
              </w:rPr>
              <w:t xml:space="preserve"> (see r. 2(b))</w:t>
            </w:r>
          </w:p>
        </w:tc>
      </w:tr>
      <w:tr>
        <w:tblPrEx>
          <w:tblBorders>
            <w:top w:val="single" w:sz="8" w:space="0" w:color="auto"/>
            <w:bottom w:val="single" w:sz="4" w:space="0" w:color="auto"/>
            <w:insideH w:val="single" w:sz="8" w:space="0" w:color="auto"/>
          </w:tblBorders>
        </w:tblPrEx>
        <w:trPr>
          <w:cantSplit/>
        </w:trPr>
        <w:tc>
          <w:tcPr>
            <w:tcW w:w="3090" w:type="dxa"/>
            <w:tcBorders>
              <w:top w:val="nil"/>
              <w:bottom w:val="nil"/>
            </w:tcBorders>
          </w:tcPr>
          <w:p>
            <w:pPr>
              <w:pStyle w:val="nTable"/>
              <w:spacing w:after="40"/>
            </w:pPr>
            <w:r>
              <w:rPr>
                <w:bCs/>
                <w:i/>
                <w:iCs/>
              </w:rPr>
              <w:t>Jetties Amendment Regulations (No. 2) 2016</w:t>
            </w:r>
          </w:p>
        </w:tc>
        <w:tc>
          <w:tcPr>
            <w:tcW w:w="1276" w:type="dxa"/>
            <w:tcBorders>
              <w:top w:val="nil"/>
              <w:bottom w:val="nil"/>
            </w:tcBorders>
          </w:tcPr>
          <w:p>
            <w:pPr>
              <w:pStyle w:val="nTable"/>
              <w:spacing w:after="40"/>
            </w:pPr>
            <w:r>
              <w:t>15 Apr 2016 p. 1172</w:t>
            </w:r>
            <w:r>
              <w:noBreakHyphen/>
              <w:t>81</w:t>
            </w:r>
          </w:p>
        </w:tc>
        <w:tc>
          <w:tcPr>
            <w:tcW w:w="2722" w:type="dxa"/>
            <w:tcBorders>
              <w:top w:val="nil"/>
              <w:bottom w:val="nil"/>
            </w:tcBorders>
          </w:tcPr>
          <w:p>
            <w:pPr>
              <w:pStyle w:val="nTable"/>
              <w:spacing w:after="40"/>
            </w:pPr>
            <w:r>
              <w:rPr>
                <w:bCs/>
                <w:snapToGrid w:val="0"/>
              </w:rPr>
              <w:t>r. 1 and 2: 1</w:t>
            </w:r>
            <w:r>
              <w:rPr>
                <w:bCs/>
              </w:rPr>
              <w:t>5 Apr 2016</w:t>
            </w:r>
            <w:r>
              <w:rPr>
                <w:bCs/>
                <w:snapToGrid w:val="0"/>
              </w:rPr>
              <w:t xml:space="preserve"> (see r. 2(a));</w:t>
            </w:r>
            <w:r>
              <w:rPr>
                <w:bCs/>
                <w:snapToGrid w:val="0"/>
              </w:rPr>
              <w:br/>
              <w:t>Regulations other than r. 1 and 2:</w:t>
            </w:r>
            <w:r>
              <w:t>1 Jul 2016 (see r. 2(b))</w:t>
            </w:r>
          </w:p>
        </w:tc>
      </w:tr>
      <w:tr>
        <w:tblPrEx>
          <w:tblBorders>
            <w:top w:val="single" w:sz="8" w:space="0" w:color="auto"/>
            <w:bottom w:val="single" w:sz="4" w:space="0" w:color="auto"/>
            <w:insideH w:val="single" w:sz="8" w:space="0" w:color="auto"/>
          </w:tblBorders>
        </w:tblPrEx>
        <w:trPr>
          <w:cantSplit/>
        </w:trPr>
        <w:tc>
          <w:tcPr>
            <w:tcW w:w="3090" w:type="dxa"/>
            <w:tcBorders>
              <w:top w:val="nil"/>
              <w:bottom w:val="nil"/>
            </w:tcBorders>
          </w:tcPr>
          <w:p>
            <w:pPr>
              <w:pStyle w:val="nTable"/>
              <w:spacing w:after="40"/>
              <w:rPr>
                <w:bCs/>
                <w:iCs/>
              </w:rPr>
            </w:pPr>
            <w:r>
              <w:rPr>
                <w:i/>
              </w:rPr>
              <w:t>Transport Regulations Amendment (Fees and Charges) Regulations (No. 3) 2016</w:t>
            </w:r>
            <w:r>
              <w:t xml:space="preserve"> Pt. 2</w:t>
            </w:r>
          </w:p>
        </w:tc>
        <w:tc>
          <w:tcPr>
            <w:tcW w:w="1276" w:type="dxa"/>
            <w:tcBorders>
              <w:top w:val="nil"/>
              <w:bottom w:val="nil"/>
            </w:tcBorders>
          </w:tcPr>
          <w:p>
            <w:pPr>
              <w:pStyle w:val="nTable"/>
              <w:spacing w:after="40"/>
            </w:pPr>
            <w:r>
              <w:t>23 Dec 2016 p. 5913</w:t>
            </w:r>
            <w:r>
              <w:noBreakHyphen/>
              <w:t>15</w:t>
            </w:r>
          </w:p>
        </w:tc>
        <w:tc>
          <w:tcPr>
            <w:tcW w:w="2722" w:type="dxa"/>
            <w:tcBorders>
              <w:top w:val="nil"/>
              <w:bottom w:val="nil"/>
            </w:tcBorders>
          </w:tcPr>
          <w:p>
            <w:pPr>
              <w:pStyle w:val="nTable"/>
              <w:spacing w:after="40"/>
              <w:rPr>
                <w:bCs/>
                <w:i/>
                <w:snapToGrid w:val="0"/>
              </w:rPr>
            </w:pPr>
            <w:r>
              <w:rPr>
                <w:bCs/>
                <w:snapToGrid w:val="0"/>
              </w:rPr>
              <w:t>24 Dec 2016 (see r. 2(b))</w:t>
            </w:r>
          </w:p>
        </w:tc>
      </w:tr>
      <w:tr>
        <w:tblPrEx>
          <w:tblBorders>
            <w:top w:val="single" w:sz="8" w:space="0" w:color="auto"/>
            <w:bottom w:val="single" w:sz="4" w:space="0" w:color="auto"/>
            <w:insideH w:val="single" w:sz="8" w:space="0" w:color="auto"/>
          </w:tblBorders>
        </w:tblPrEx>
        <w:trPr>
          <w:cantSplit/>
        </w:trPr>
        <w:tc>
          <w:tcPr>
            <w:tcW w:w="3090" w:type="dxa"/>
            <w:tcBorders>
              <w:top w:val="nil"/>
              <w:bottom w:val="nil"/>
            </w:tcBorders>
          </w:tcPr>
          <w:p>
            <w:pPr>
              <w:pStyle w:val="nTable"/>
              <w:spacing w:after="40"/>
              <w:rPr>
                <w:i/>
              </w:rPr>
            </w:pPr>
            <w:r>
              <w:rPr>
                <w:bCs/>
                <w:i/>
                <w:iCs/>
              </w:rPr>
              <w:t>Jetties Amendment Regulations 2017</w:t>
            </w:r>
          </w:p>
        </w:tc>
        <w:tc>
          <w:tcPr>
            <w:tcW w:w="1276" w:type="dxa"/>
            <w:tcBorders>
              <w:top w:val="nil"/>
              <w:bottom w:val="nil"/>
            </w:tcBorders>
          </w:tcPr>
          <w:p>
            <w:pPr>
              <w:pStyle w:val="nTable"/>
              <w:keepNext/>
              <w:keepLines/>
              <w:spacing w:after="40"/>
            </w:pPr>
            <w:r>
              <w:t>26 May 2017 p. 2623</w:t>
            </w:r>
            <w:r>
              <w:noBreakHyphen/>
              <w:t>32</w:t>
            </w:r>
          </w:p>
        </w:tc>
        <w:tc>
          <w:tcPr>
            <w:tcW w:w="2722" w:type="dxa"/>
            <w:tcBorders>
              <w:top w:val="nil"/>
              <w:bottom w:val="nil"/>
            </w:tcBorders>
          </w:tcPr>
          <w:p>
            <w:pPr>
              <w:pStyle w:val="nTable"/>
              <w:spacing w:after="40"/>
              <w:rPr>
                <w:bCs/>
                <w:snapToGrid w:val="0"/>
              </w:rPr>
            </w:pPr>
            <w:r>
              <w:rPr>
                <w:bCs/>
                <w:snapToGrid w:val="0"/>
              </w:rPr>
              <w:t xml:space="preserve">r. 1 and 2: </w:t>
            </w:r>
            <w:r>
              <w:t>26 May 2017</w:t>
            </w:r>
            <w:r>
              <w:rPr>
                <w:bCs/>
                <w:snapToGrid w:val="0"/>
              </w:rPr>
              <w:t xml:space="preserve"> (see r. 2(a));</w:t>
            </w:r>
            <w:r>
              <w:rPr>
                <w:bCs/>
                <w:snapToGrid w:val="0"/>
              </w:rPr>
              <w:br/>
              <w:t xml:space="preserve">Regulations other than r. 1 and 2: </w:t>
            </w:r>
            <w:r>
              <w:t>1 Jul 2017 (see r. 2(b))</w:t>
            </w:r>
          </w:p>
        </w:tc>
      </w:tr>
      <w:tr>
        <w:tblPrEx>
          <w:tblBorders>
            <w:top w:val="single" w:sz="8" w:space="0" w:color="auto"/>
            <w:bottom w:val="single" w:sz="4" w:space="0" w:color="auto"/>
            <w:insideH w:val="single" w:sz="8" w:space="0" w:color="auto"/>
          </w:tblBorders>
        </w:tblPrEx>
        <w:trPr>
          <w:cantSplit/>
        </w:trPr>
        <w:tc>
          <w:tcPr>
            <w:tcW w:w="3090" w:type="dxa"/>
            <w:tcBorders>
              <w:top w:val="nil"/>
              <w:bottom w:val="nil"/>
            </w:tcBorders>
          </w:tcPr>
          <w:p>
            <w:pPr>
              <w:pStyle w:val="nTable"/>
              <w:spacing w:after="40"/>
              <w:rPr>
                <w:bCs/>
                <w:i/>
                <w:iCs/>
              </w:rPr>
            </w:pPr>
            <w:r>
              <w:rPr>
                <w:i/>
              </w:rPr>
              <w:t>Jetties Amendment Regulations 2018</w:t>
            </w:r>
          </w:p>
        </w:tc>
        <w:tc>
          <w:tcPr>
            <w:tcW w:w="1276" w:type="dxa"/>
            <w:tcBorders>
              <w:top w:val="nil"/>
              <w:bottom w:val="nil"/>
            </w:tcBorders>
          </w:tcPr>
          <w:p>
            <w:pPr>
              <w:pStyle w:val="nTable"/>
              <w:keepNext/>
              <w:keepLines/>
              <w:spacing w:after="40"/>
            </w:pPr>
            <w:r>
              <w:t>20 Mar 2018 p. 994</w:t>
            </w:r>
            <w:r>
              <w:noBreakHyphen/>
              <w:t>6</w:t>
            </w:r>
          </w:p>
        </w:tc>
        <w:tc>
          <w:tcPr>
            <w:tcW w:w="2722" w:type="dxa"/>
            <w:tcBorders>
              <w:top w:val="nil"/>
              <w:bottom w:val="nil"/>
            </w:tcBorders>
          </w:tcPr>
          <w:p>
            <w:pPr>
              <w:pStyle w:val="nTable"/>
              <w:spacing w:after="40"/>
              <w:rPr>
                <w:bCs/>
                <w:snapToGrid w:val="0"/>
              </w:rPr>
            </w:pPr>
            <w:r>
              <w:rPr>
                <w:bCs/>
                <w:snapToGrid w:val="0"/>
              </w:rPr>
              <w:t xml:space="preserve">r. 1 and 2: </w:t>
            </w:r>
            <w:r>
              <w:t>20 Mar 2018</w:t>
            </w:r>
            <w:r>
              <w:rPr>
                <w:bCs/>
                <w:snapToGrid w:val="0"/>
              </w:rPr>
              <w:t xml:space="preserve"> (see r. 2(a));</w:t>
            </w:r>
            <w:r>
              <w:rPr>
                <w:bCs/>
                <w:snapToGrid w:val="0"/>
              </w:rPr>
              <w:br/>
              <w:t>Regulations other than r. 1 and 2: 21</w:t>
            </w:r>
            <w:r>
              <w:t> Mar 2018 (see r. 2(b))</w:t>
            </w:r>
          </w:p>
        </w:tc>
      </w:tr>
      <w:tr>
        <w:tblPrEx>
          <w:tblBorders>
            <w:top w:val="single" w:sz="8" w:space="0" w:color="auto"/>
            <w:bottom w:val="single" w:sz="4" w:space="0" w:color="auto"/>
            <w:insideH w:val="single" w:sz="8" w:space="0" w:color="auto"/>
          </w:tblBorders>
        </w:tblPrEx>
        <w:trPr>
          <w:cantSplit/>
        </w:trPr>
        <w:tc>
          <w:tcPr>
            <w:tcW w:w="3090" w:type="dxa"/>
            <w:tcBorders>
              <w:top w:val="nil"/>
              <w:bottom w:val="nil"/>
            </w:tcBorders>
          </w:tcPr>
          <w:p>
            <w:pPr>
              <w:pStyle w:val="nTable"/>
              <w:spacing w:after="40"/>
            </w:pPr>
            <w:r>
              <w:rPr>
                <w:i/>
              </w:rPr>
              <w:t>Jetties Amendment Regulations (No. 2) 2018</w:t>
            </w:r>
            <w:r>
              <w:t xml:space="preserve"> </w:t>
            </w:r>
          </w:p>
        </w:tc>
        <w:tc>
          <w:tcPr>
            <w:tcW w:w="1276" w:type="dxa"/>
            <w:tcBorders>
              <w:top w:val="nil"/>
              <w:bottom w:val="nil"/>
            </w:tcBorders>
          </w:tcPr>
          <w:p>
            <w:pPr>
              <w:pStyle w:val="nTable"/>
              <w:keepNext/>
              <w:spacing w:after="40"/>
            </w:pPr>
            <w:r>
              <w:t>25 May 2018 p. 1669</w:t>
            </w:r>
            <w:r>
              <w:noBreakHyphen/>
              <w:t>709</w:t>
            </w:r>
          </w:p>
        </w:tc>
        <w:tc>
          <w:tcPr>
            <w:tcW w:w="2722" w:type="dxa"/>
            <w:tcBorders>
              <w:top w:val="nil"/>
              <w:bottom w:val="nil"/>
            </w:tcBorders>
          </w:tcPr>
          <w:p>
            <w:pPr>
              <w:pStyle w:val="nTable"/>
              <w:keepNext/>
              <w:spacing w:after="40"/>
            </w:pPr>
            <w:r>
              <w:rPr>
                <w:bCs/>
                <w:snapToGrid w:val="0"/>
              </w:rPr>
              <w:t xml:space="preserve">r. 1 and 2: </w:t>
            </w:r>
            <w:r>
              <w:t>25 May 2018</w:t>
            </w:r>
            <w:r>
              <w:rPr>
                <w:bCs/>
                <w:snapToGrid w:val="0"/>
              </w:rPr>
              <w:t xml:space="preserve"> (see r. 2(a));</w:t>
            </w:r>
            <w:r>
              <w:rPr>
                <w:bCs/>
                <w:snapToGrid w:val="0"/>
              </w:rPr>
              <w:br/>
              <w:t>Regulations other than r. 1 and 2: 1</w:t>
            </w:r>
            <w:r>
              <w:t> Jul 2018 (see r. 2(b))</w:t>
            </w:r>
          </w:p>
        </w:tc>
      </w:tr>
      <w:tr>
        <w:tblPrEx>
          <w:tblBorders>
            <w:top w:val="single" w:sz="8" w:space="0" w:color="auto"/>
            <w:bottom w:val="single" w:sz="4" w:space="0" w:color="auto"/>
            <w:insideH w:val="single" w:sz="8" w:space="0" w:color="auto"/>
          </w:tblBorders>
        </w:tblPrEx>
        <w:trPr>
          <w:cantSplit/>
        </w:trPr>
        <w:tc>
          <w:tcPr>
            <w:tcW w:w="3090" w:type="dxa"/>
            <w:tcBorders>
              <w:top w:val="nil"/>
              <w:bottom w:val="single" w:sz="4" w:space="0" w:color="auto"/>
            </w:tcBorders>
          </w:tcPr>
          <w:p>
            <w:pPr>
              <w:pStyle w:val="nTable"/>
              <w:keepNext/>
              <w:spacing w:after="40"/>
              <w:rPr>
                <w:i/>
              </w:rPr>
            </w:pPr>
            <w:r>
              <w:rPr>
                <w:i/>
              </w:rPr>
              <w:t>Jetties Amendment Regulations (No. 2) 2019</w:t>
            </w:r>
          </w:p>
        </w:tc>
        <w:tc>
          <w:tcPr>
            <w:tcW w:w="1276" w:type="dxa"/>
            <w:tcBorders>
              <w:top w:val="nil"/>
              <w:bottom w:val="single" w:sz="4" w:space="0" w:color="auto"/>
            </w:tcBorders>
          </w:tcPr>
          <w:p>
            <w:pPr>
              <w:pStyle w:val="nTable"/>
              <w:keepNext/>
              <w:spacing w:after="40"/>
            </w:pPr>
            <w:r>
              <w:t>31 May 2019 p. 1755</w:t>
            </w:r>
            <w:r>
              <w:noBreakHyphen/>
              <w:t>94</w:t>
            </w:r>
          </w:p>
        </w:tc>
        <w:tc>
          <w:tcPr>
            <w:tcW w:w="2722" w:type="dxa"/>
            <w:tcBorders>
              <w:top w:val="nil"/>
              <w:bottom w:val="single" w:sz="4" w:space="0" w:color="auto"/>
            </w:tcBorders>
          </w:tcPr>
          <w:p>
            <w:pPr>
              <w:pStyle w:val="nTable"/>
              <w:keepNext/>
              <w:spacing w:after="40"/>
              <w:rPr>
                <w:bCs/>
                <w:snapToGrid w:val="0"/>
              </w:rPr>
            </w:pPr>
            <w:r>
              <w:rPr>
                <w:bCs/>
                <w:snapToGrid w:val="0"/>
              </w:rPr>
              <w:t>r. 1 and 2: 31</w:t>
            </w:r>
            <w:r>
              <w:t> May 2019</w:t>
            </w:r>
            <w:r>
              <w:rPr>
                <w:bCs/>
                <w:snapToGrid w:val="0"/>
              </w:rPr>
              <w:t xml:space="preserve"> (see r. 2(a));</w:t>
            </w:r>
            <w:r>
              <w:rPr>
                <w:bCs/>
                <w:snapToGrid w:val="0"/>
              </w:rPr>
              <w:br/>
              <w:t>Regulations other than r. 1 and 2: 1</w:t>
            </w:r>
            <w:r>
              <w:t> Jul 2019 (see r. 2(b))</w:t>
            </w:r>
          </w:p>
        </w:tc>
      </w:tr>
    </w:tbl>
    <w:p>
      <w:pPr>
        <w:pStyle w:val="nSubsection"/>
        <w:spacing w:before="160"/>
      </w:pPr>
      <w:r>
        <w:rPr>
          <w:vertAlign w:val="superscript"/>
        </w:rPr>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p>
    <w:p>
      <w:pPr>
        <w:pStyle w:val="nSubsection"/>
      </w:pPr>
      <w:r>
        <w:rPr>
          <w:vertAlign w:val="superscript"/>
        </w:rPr>
        <w:t>3</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Subsection"/>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r>
        <w:t>.</w:t>
      </w:r>
    </w:p>
    <w:p>
      <w:pPr>
        <w:pStyle w:val="nSubsection"/>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Transport.</w:t>
      </w:r>
    </w:p>
    <w:p>
      <w:pPr>
        <w:pStyle w:val="nSubsection"/>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9</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Pr>
        <w:pStyle w:val="nSubsection"/>
        <w:keepNext/>
        <w:tabs>
          <w:tab w:val="left" w:pos="720"/>
          <w:tab w:val="left" w:pos="1440"/>
          <w:tab w:val="left" w:pos="2160"/>
          <w:tab w:val="left" w:pos="2880"/>
          <w:tab w:val="left" w:pos="3600"/>
          <w:tab w:val="left" w:pos="4211"/>
        </w:tabs>
      </w:pPr>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p>
    <w:p>
      <w:pPr>
        <w:pStyle w:val="BlankOpen"/>
      </w:pPr>
    </w:p>
    <w:p>
      <w:pPr>
        <w:pStyle w:val="nzHeading5"/>
        <w:spacing w:before="0"/>
      </w:pPr>
      <w:r>
        <w:t>17.</w:t>
      </w:r>
      <w:r>
        <w:tab/>
        <w:t>Regulation 95A amended</w:t>
      </w:r>
    </w:p>
    <w:p>
      <w:pPr>
        <w:pStyle w:val="nzSubsection"/>
        <w:keepNext/>
      </w:pPr>
      <w:r>
        <w:tab/>
      </w:r>
      <w:r>
        <w:tab/>
        <w:t>In regulation 95A(1) delete “schedule of charges.” and insert:</w:t>
      </w:r>
    </w:p>
    <w:p>
      <w:pPr>
        <w:pStyle w:val="BlankOpen"/>
      </w:pPr>
    </w:p>
    <w:p>
      <w:pPr>
        <w:pStyle w:val="nzSubsection"/>
        <w:keepNext/>
      </w:pPr>
      <w:r>
        <w:tab/>
      </w:r>
      <w:r>
        <w:tab/>
        <w:t>the requirement to pay any applicable dues or charges prescribed in Schedule 1.</w:t>
      </w:r>
    </w:p>
    <w:p>
      <w:pPr>
        <w:pStyle w:val="BlankClose"/>
      </w:pPr>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376" w:name="_Toc12881413"/>
      <w:r>
        <w:rPr>
          <w:sz w:val="28"/>
        </w:rPr>
        <w:t>Defined terms</w:t>
      </w:r>
      <w:bookmarkEnd w:id="3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commercial vessel</w:t>
      </w:r>
      <w:r>
        <w:tab/>
        <w:t>3(1)</w:t>
      </w:r>
    </w:p>
    <w:p>
      <w:pPr>
        <w:pStyle w:val="DefinedTerms"/>
      </w:pPr>
      <w:r>
        <w:t>day</w:t>
      </w:r>
      <w:r>
        <w:tab/>
        <w:t>3(2)</w:t>
      </w:r>
    </w:p>
    <w:p>
      <w:pPr>
        <w:pStyle w:val="DefinedTerms"/>
      </w:pPr>
      <w:r>
        <w:t>Department</w:t>
      </w:r>
      <w:r>
        <w:tab/>
        <w:t>3(1)</w:t>
      </w:r>
    </w:p>
    <w:p>
      <w:pPr>
        <w:pStyle w:val="DefinedTerms"/>
      </w:pPr>
      <w:r>
        <w:t>enhanced facilities</w:t>
      </w:r>
      <w:r>
        <w:tab/>
        <w:t>Sch. 1 cl. 32(1)</w:t>
      </w:r>
    </w:p>
    <w:p>
      <w:pPr>
        <w:pStyle w:val="DefinedTerms"/>
      </w:pPr>
      <w:r>
        <w:t>fishing vessel</w:t>
      </w:r>
      <w:r>
        <w:tab/>
        <w:t>3(1)</w:t>
      </w:r>
    </w:p>
    <w:p>
      <w:pPr>
        <w:pStyle w:val="DefinedTerms"/>
      </w:pPr>
      <w:r>
        <w:t>jetty</w:t>
      </w:r>
      <w:r>
        <w:tab/>
        <w:t>3(1)</w:t>
      </w:r>
    </w:p>
    <w:p>
      <w:pPr>
        <w:pStyle w:val="DefinedTerms"/>
      </w:pPr>
      <w:r>
        <w:t>master</w:t>
      </w:r>
      <w:r>
        <w:tab/>
        <w:t>3(1)</w:t>
      </w:r>
    </w:p>
    <w:p>
      <w:pPr>
        <w:pStyle w:val="DefinedTerms"/>
      </w:pPr>
      <w:r>
        <w:t>officer</w:t>
      </w:r>
      <w:r>
        <w:tab/>
        <w:t>3(1)</w:t>
      </w:r>
    </w:p>
    <w:p>
      <w:pPr>
        <w:pStyle w:val="DefinedTerms"/>
      </w:pPr>
      <w:r>
        <w:t>owner</w:t>
      </w:r>
      <w:r>
        <w:tab/>
        <w:t>3(1)</w:t>
      </w:r>
    </w:p>
    <w:p>
      <w:pPr>
        <w:pStyle w:val="DefinedTerms"/>
      </w:pPr>
      <w:r>
        <w:t>premises</w:t>
      </w:r>
      <w:r>
        <w:tab/>
        <w:t>3(1)</w:t>
      </w:r>
    </w:p>
    <w:p>
      <w:pPr>
        <w:pStyle w:val="DefinedTerms"/>
      </w:pPr>
      <w:r>
        <w:t>public jetty</w:t>
      </w:r>
      <w:r>
        <w:tab/>
        <w:t>3(1)</w:t>
      </w:r>
    </w:p>
    <w:p>
      <w:pPr>
        <w:pStyle w:val="DefinedTerms"/>
      </w:pPr>
      <w:r>
        <w:t>recreational vessel</w:t>
      </w:r>
      <w:r>
        <w:tab/>
        <w:t>3(1)</w:t>
      </w:r>
    </w:p>
    <w:p>
      <w:pPr>
        <w:pStyle w:val="DefinedTerms"/>
      </w:pPr>
      <w:r>
        <w:t>short term</w:t>
      </w:r>
      <w:r>
        <w:tab/>
        <w:t>3(2)</w:t>
      </w:r>
    </w:p>
    <w:p>
      <w:pPr>
        <w:pStyle w:val="DefinedTerms"/>
      </w:pPr>
      <w:r>
        <w:t>swing mooring fee</w:t>
      </w:r>
      <w:r>
        <w:tab/>
        <w:t>3(1)</w:t>
      </w:r>
    </w:p>
    <w:p>
      <w:pPr>
        <w:pStyle w:val="DefinedTerms"/>
      </w:pPr>
      <w:r>
        <w:t>tourism vessel</w:t>
      </w:r>
      <w:r>
        <w:tab/>
        <w:t>3(1)</w:t>
      </w:r>
    </w:p>
    <w:p>
      <w:pPr>
        <w:pStyle w:val="DefinedTerms"/>
      </w:pPr>
      <w:r>
        <w:t>unit</w:t>
      </w:r>
      <w:r>
        <w:tab/>
        <w:t>3(5)</w:t>
      </w:r>
    </w:p>
    <w:p>
      <w:pPr>
        <w:pStyle w:val="DefinedTerms"/>
      </w:pPr>
      <w:r>
        <w:t>vessel</w:t>
      </w:r>
      <w:r>
        <w:tab/>
        <w:t>3(1)</w:t>
      </w:r>
    </w:p>
    <w:p>
      <w:pPr>
        <w:pStyle w:val="DefinedTerms"/>
      </w:pPr>
      <w:r>
        <w:t>week</w:t>
      </w:r>
      <w:r>
        <w:tab/>
        <w:t>3(2)</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09-l0-02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09-l0-02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09-l0-02</w:t>
    </w:r>
    <w:r>
      <w:rPr>
        <w:sz w:val="20"/>
      </w:rPr>
      <w:fldChar w:fldCharType="end"/>
    </w:r>
  </w:p>
  <w:p>
    <w:pPr>
      <w:pStyle w:val="Footer"/>
      <w:tabs>
        <w:tab w:val="center" w:pos="3600"/>
      </w:tabs>
      <w:jc w:val="center"/>
      <w:rPr>
        <w:sz w:val="16"/>
      </w:rPr>
    </w:pPr>
    <w:r>
      <w:rPr>
        <w:sz w:val="16"/>
      </w:rPr>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09-l0-02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jc w:val="center"/>
      <w:rPr>
        <w:sz w:val="16"/>
      </w:rPr>
    </w:pPr>
    <w:r>
      <w:rPr>
        <w:sz w:val="16"/>
      </w:rPr>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09-l0-02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jc w:val="center"/>
      <w:rPr>
        <w:sz w:val="16"/>
      </w:rPr>
    </w:pPr>
    <w:r>
      <w:rPr>
        <w:sz w:val="16"/>
      </w:rPr>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09-l0-02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jc w:val="center"/>
      <w:rPr>
        <w:sz w:val="16"/>
      </w:rPr>
    </w:pPr>
    <w:r>
      <w:rPr>
        <w:sz w:val="16"/>
      </w:rPr>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09-l0-02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jc w:val="center"/>
      <w:rPr>
        <w:sz w:val="16"/>
      </w:rPr>
    </w:pPr>
    <w:r>
      <w:rPr>
        <w:sz w:val="16"/>
      </w:rPr>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09-l0-02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107</w:t>
    </w:r>
    <w:r>
      <w:rPr>
        <w:sz w:val="20"/>
      </w:rPr>
      <w:fldChar w:fldCharType="end"/>
    </w:r>
  </w:p>
  <w:p>
    <w:pPr>
      <w:pStyle w:val="Footer"/>
      <w:tabs>
        <w:tab w:val="center" w:pos="3600"/>
      </w:tabs>
      <w:jc w:val="center"/>
      <w:rPr>
        <w:sz w:val="16"/>
      </w:rPr>
    </w:pPr>
    <w:r>
      <w:rPr>
        <w:sz w:val="16"/>
      </w:rPr>
      <w:t>Published on www.legislation.wa.gov.au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Port of Perth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Charges for other places</w: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10</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Port of Perth charges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Charges for other places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xml:space="preserve"> </w:instrText>
          </w:r>
          <w:r>
            <w:rPr>
              <w:b/>
            </w:rPr>
            <w:fldChar w:fldCharType="separate"/>
          </w:r>
          <w:r>
            <w:rPr>
              <w:b/>
            </w:rPr>
            <w:t>10</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75" w:name="Compilation"/>
    <w:bookmarkEnd w:id="37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7" w:name="DefinedTerms"/>
    <w:bookmarkEnd w:id="37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8" w:name="Coversheet"/>
    <w:bookmarkEnd w:id="37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381F54"/>
    <w:lvl w:ilvl="0">
      <w:start w:val="1"/>
      <w:numFmt w:val="decimal"/>
      <w:lvlText w:val="%1."/>
      <w:lvlJc w:val="left"/>
      <w:pPr>
        <w:tabs>
          <w:tab w:val="num" w:pos="1492"/>
        </w:tabs>
        <w:ind w:left="1492" w:hanging="360"/>
      </w:pPr>
    </w:lvl>
  </w:abstractNum>
  <w:abstractNum w:abstractNumId="1">
    <w:nsid w:val="FFFFFF7D"/>
    <w:multiLevelType w:val="singleLevel"/>
    <w:tmpl w:val="39BC533A"/>
    <w:lvl w:ilvl="0">
      <w:start w:val="1"/>
      <w:numFmt w:val="decimal"/>
      <w:lvlText w:val="%1."/>
      <w:lvlJc w:val="left"/>
      <w:pPr>
        <w:tabs>
          <w:tab w:val="num" w:pos="1209"/>
        </w:tabs>
        <w:ind w:left="1209" w:hanging="360"/>
      </w:pPr>
    </w:lvl>
  </w:abstractNum>
  <w:abstractNum w:abstractNumId="2">
    <w:nsid w:val="FFFFFF7E"/>
    <w:multiLevelType w:val="singleLevel"/>
    <w:tmpl w:val="FD3A4256"/>
    <w:lvl w:ilvl="0">
      <w:start w:val="1"/>
      <w:numFmt w:val="decimal"/>
      <w:lvlText w:val="%1."/>
      <w:lvlJc w:val="left"/>
      <w:pPr>
        <w:tabs>
          <w:tab w:val="num" w:pos="926"/>
        </w:tabs>
        <w:ind w:left="926" w:hanging="360"/>
      </w:pPr>
    </w:lvl>
  </w:abstractNum>
  <w:abstractNum w:abstractNumId="3">
    <w:nsid w:val="FFFFFF7F"/>
    <w:multiLevelType w:val="singleLevel"/>
    <w:tmpl w:val="C8E23BB6"/>
    <w:lvl w:ilvl="0">
      <w:start w:val="1"/>
      <w:numFmt w:val="decimal"/>
      <w:lvlText w:val="%1."/>
      <w:lvlJc w:val="left"/>
      <w:pPr>
        <w:tabs>
          <w:tab w:val="num" w:pos="643"/>
        </w:tabs>
        <w:ind w:left="643" w:hanging="360"/>
      </w:pPr>
    </w:lvl>
  </w:abstractNum>
  <w:abstractNum w:abstractNumId="4">
    <w:nsid w:val="FFFFFF80"/>
    <w:multiLevelType w:val="singleLevel"/>
    <w:tmpl w:val="C5F85D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4068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1AF1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8858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E831FA"/>
    <w:lvl w:ilvl="0">
      <w:start w:val="1"/>
      <w:numFmt w:val="decimal"/>
      <w:lvlText w:val="%1."/>
      <w:lvlJc w:val="left"/>
      <w:pPr>
        <w:tabs>
          <w:tab w:val="num" w:pos="360"/>
        </w:tabs>
        <w:ind w:left="360" w:hanging="360"/>
      </w:pPr>
    </w:lvl>
  </w:abstractNum>
  <w:abstractNum w:abstractNumId="9">
    <w:nsid w:val="FFFFFF89"/>
    <w:multiLevelType w:val="singleLevel"/>
    <w:tmpl w:val="C6E23E3A"/>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44AE226E"/>
    <w:lvl w:ilvl="0">
      <w:start w:val="1"/>
      <w:numFmt w:val="bullet"/>
      <w:lvlText w:val=""/>
      <w:lvlJc w:val="left"/>
      <w:pPr>
        <w:tabs>
          <w:tab w:val="num" w:pos="1446"/>
        </w:tabs>
        <w:ind w:left="1446" w:hanging="567"/>
      </w:pPr>
      <w:rPr>
        <w:rFonts w:ascii="Symbol" w:hAnsi="Symbol"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8"/>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8122006"/>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 w:name="WAFER_20150721152017" w:val="RemoveTocBookmarks,RemoveUnusedBookmarks,RemoveLanguageTags,UsedStyles,ResetPageSize"/>
    <w:docVar w:name="WAFER_20150721152017_GUID" w:val="bba3e186-5e66-481d-a3d9-11e9d329a7c7"/>
    <w:docVar w:name="WAFER_20150915125407" w:val="ResetPageSize,UpdateArrangement,UpdateNTable"/>
    <w:docVar w:name="WAFER_20150915125407_GUID" w:val="9e7f7345-3a80-47b4-9cc7-f55bc852754c"/>
    <w:docVar w:name="WAFER_20151009080520" w:val="RemoveTocBookmarks,RemoveUnusedBookmarks,RemoveLanguageTags,UsedStyles,ResetPageSize,RemoveCustomizations"/>
    <w:docVar w:name="WAFER_20151009080520_GUID" w:val="63fad61a-c943-437b-a906-78527b539a33"/>
    <w:docVar w:name="WAFER_20151103095602" w:val="UpdateStyles,UsedStyles"/>
    <w:docVar w:name="WAFER_20151103095602_GUID" w:val="973ce251-f689-4320-9226-bed5d1318251"/>
    <w:docVar w:name="WAFER_20160113135802" w:val="RemoveTocBookmarks,RemoveUnusedBookmarks,RemoveLanguageTags,UsedStyles,RemoveTrackChanges"/>
    <w:docVar w:name="WAFER_20160113135802_GUID" w:val="a3342dad-364e-4604-9bf7-8f69a4100577"/>
    <w:docVar w:name="WAFER_20160113135900" w:val="RemoveTocBookmarks,RemoveLanguageTags,RemoveTrackChanges,RunningHeaders"/>
    <w:docVar w:name="WAFER_20160113135900_GUID" w:val="445c8e23-24c9-425f-9dd8-354f1d5f2f67"/>
    <w:docVar w:name="WAFER_20161222153555" w:val="RemoveTocBookmarks,RemoveUnusedBookmarks,RemoveLanguageTags,UsedStyles,ResetPageSize"/>
    <w:docVar w:name="WAFER_20161222153555_GUID" w:val="2f5d449f-4100-493f-941f-4ce3776595a9"/>
    <w:docVar w:name="WAFER_20180628112145" w:val="RemoveTocBookmarks,RemoveUnusedBookmarks,RemoveLanguageTags,UsedStyles,ResetPageSize"/>
    <w:docVar w:name="WAFER_20180628112145_GUID" w:val="3e243480-1c48-4ed5-8a44-90875dbc078e"/>
    <w:docVar w:name="WAFER_20190530155724" w:val="RemoveTocBookmarks,RemoveUnusedBookmarks,RemoveLanguageTags,ResetPageSize,RunningHeaders,UpdateStyles,UsedStyles"/>
    <w:docVar w:name="WAFER_20190530155724_GUID" w:val="5317e316-25cc-42f9-9230-fec0170fd2ff"/>
    <w:docVar w:name="WAFER_20190618122006" w:val="RemoveTocBookmarks,RemoveUnusedBookmarks,RemoveLanguageTags,ResetPageSize,RunningHeaders,UpdateStyles,UsedStyles"/>
    <w:docVar w:name="WAFER_20190618122006_GUID" w:val="89039f19-a10c-4b19-b61b-4aa677e197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5152">
      <w:bodyDiv w:val="1"/>
      <w:marLeft w:val="0"/>
      <w:marRight w:val="0"/>
      <w:marTop w:val="0"/>
      <w:marBottom w:val="0"/>
      <w:divBdr>
        <w:top w:val="none" w:sz="0" w:space="0" w:color="auto"/>
        <w:left w:val="none" w:sz="0" w:space="0" w:color="auto"/>
        <w:bottom w:val="none" w:sz="0" w:space="0" w:color="auto"/>
        <w:right w:val="none" w:sz="0" w:space="0" w:color="auto"/>
      </w:divBdr>
    </w:div>
    <w:div w:id="471142796">
      <w:bodyDiv w:val="1"/>
      <w:marLeft w:val="0"/>
      <w:marRight w:val="0"/>
      <w:marTop w:val="0"/>
      <w:marBottom w:val="0"/>
      <w:divBdr>
        <w:top w:val="none" w:sz="0" w:space="0" w:color="auto"/>
        <w:left w:val="none" w:sz="0" w:space="0" w:color="auto"/>
        <w:bottom w:val="none" w:sz="0" w:space="0" w:color="auto"/>
        <w:right w:val="none" w:sz="0" w:space="0" w:color="auto"/>
      </w:divBdr>
    </w:div>
    <w:div w:id="565921649">
      <w:bodyDiv w:val="1"/>
      <w:marLeft w:val="0"/>
      <w:marRight w:val="0"/>
      <w:marTop w:val="0"/>
      <w:marBottom w:val="0"/>
      <w:divBdr>
        <w:top w:val="none" w:sz="0" w:space="0" w:color="auto"/>
        <w:left w:val="none" w:sz="0" w:space="0" w:color="auto"/>
        <w:bottom w:val="none" w:sz="0" w:space="0" w:color="auto"/>
        <w:right w:val="none" w:sz="0" w:space="0" w:color="auto"/>
      </w:divBdr>
    </w:div>
    <w:div w:id="570233925">
      <w:bodyDiv w:val="1"/>
      <w:marLeft w:val="0"/>
      <w:marRight w:val="0"/>
      <w:marTop w:val="0"/>
      <w:marBottom w:val="0"/>
      <w:divBdr>
        <w:top w:val="none" w:sz="0" w:space="0" w:color="auto"/>
        <w:left w:val="none" w:sz="0" w:space="0" w:color="auto"/>
        <w:bottom w:val="none" w:sz="0" w:space="0" w:color="auto"/>
        <w:right w:val="none" w:sz="0" w:space="0" w:color="auto"/>
      </w:divBdr>
    </w:div>
    <w:div w:id="572006845">
      <w:bodyDiv w:val="1"/>
      <w:marLeft w:val="0"/>
      <w:marRight w:val="0"/>
      <w:marTop w:val="0"/>
      <w:marBottom w:val="0"/>
      <w:divBdr>
        <w:top w:val="none" w:sz="0" w:space="0" w:color="auto"/>
        <w:left w:val="none" w:sz="0" w:space="0" w:color="auto"/>
        <w:bottom w:val="none" w:sz="0" w:space="0" w:color="auto"/>
        <w:right w:val="none" w:sz="0" w:space="0" w:color="auto"/>
      </w:divBdr>
    </w:div>
    <w:div w:id="592782758">
      <w:bodyDiv w:val="1"/>
      <w:marLeft w:val="0"/>
      <w:marRight w:val="0"/>
      <w:marTop w:val="0"/>
      <w:marBottom w:val="0"/>
      <w:divBdr>
        <w:top w:val="none" w:sz="0" w:space="0" w:color="auto"/>
        <w:left w:val="none" w:sz="0" w:space="0" w:color="auto"/>
        <w:bottom w:val="none" w:sz="0" w:space="0" w:color="auto"/>
        <w:right w:val="none" w:sz="0" w:space="0" w:color="auto"/>
      </w:divBdr>
    </w:div>
    <w:div w:id="695887950">
      <w:bodyDiv w:val="1"/>
      <w:marLeft w:val="0"/>
      <w:marRight w:val="0"/>
      <w:marTop w:val="0"/>
      <w:marBottom w:val="0"/>
      <w:divBdr>
        <w:top w:val="none" w:sz="0" w:space="0" w:color="auto"/>
        <w:left w:val="none" w:sz="0" w:space="0" w:color="auto"/>
        <w:bottom w:val="none" w:sz="0" w:space="0" w:color="auto"/>
        <w:right w:val="none" w:sz="0" w:space="0" w:color="auto"/>
      </w:divBdr>
    </w:div>
    <w:div w:id="1323780433">
      <w:bodyDiv w:val="1"/>
      <w:marLeft w:val="0"/>
      <w:marRight w:val="0"/>
      <w:marTop w:val="0"/>
      <w:marBottom w:val="0"/>
      <w:divBdr>
        <w:top w:val="none" w:sz="0" w:space="0" w:color="auto"/>
        <w:left w:val="none" w:sz="0" w:space="0" w:color="auto"/>
        <w:bottom w:val="none" w:sz="0" w:space="0" w:color="auto"/>
        <w:right w:val="none" w:sz="0" w:space="0" w:color="auto"/>
      </w:divBdr>
    </w:div>
    <w:div w:id="1340540194">
      <w:bodyDiv w:val="1"/>
      <w:marLeft w:val="0"/>
      <w:marRight w:val="0"/>
      <w:marTop w:val="0"/>
      <w:marBottom w:val="0"/>
      <w:divBdr>
        <w:top w:val="none" w:sz="0" w:space="0" w:color="auto"/>
        <w:left w:val="none" w:sz="0" w:space="0" w:color="auto"/>
        <w:bottom w:val="none" w:sz="0" w:space="0" w:color="auto"/>
        <w:right w:val="none" w:sz="0" w:space="0" w:color="auto"/>
      </w:divBdr>
    </w:div>
    <w:div w:id="1430849826">
      <w:bodyDiv w:val="1"/>
      <w:marLeft w:val="0"/>
      <w:marRight w:val="0"/>
      <w:marTop w:val="0"/>
      <w:marBottom w:val="0"/>
      <w:divBdr>
        <w:top w:val="none" w:sz="0" w:space="0" w:color="auto"/>
        <w:left w:val="none" w:sz="0" w:space="0" w:color="auto"/>
        <w:bottom w:val="none" w:sz="0" w:space="0" w:color="auto"/>
        <w:right w:val="none" w:sz="0" w:space="0" w:color="auto"/>
      </w:divBdr>
    </w:div>
    <w:div w:id="1519659747">
      <w:bodyDiv w:val="1"/>
      <w:marLeft w:val="0"/>
      <w:marRight w:val="0"/>
      <w:marTop w:val="0"/>
      <w:marBottom w:val="0"/>
      <w:divBdr>
        <w:top w:val="none" w:sz="0" w:space="0" w:color="auto"/>
        <w:left w:val="none" w:sz="0" w:space="0" w:color="auto"/>
        <w:bottom w:val="none" w:sz="0" w:space="0" w:color="auto"/>
        <w:right w:val="none" w:sz="0" w:space="0" w:color="auto"/>
      </w:divBdr>
    </w:div>
    <w:div w:id="1678073298">
      <w:bodyDiv w:val="1"/>
      <w:marLeft w:val="0"/>
      <w:marRight w:val="0"/>
      <w:marTop w:val="0"/>
      <w:marBottom w:val="0"/>
      <w:divBdr>
        <w:top w:val="none" w:sz="0" w:space="0" w:color="auto"/>
        <w:left w:val="none" w:sz="0" w:space="0" w:color="auto"/>
        <w:bottom w:val="none" w:sz="0" w:space="0" w:color="auto"/>
        <w:right w:val="none" w:sz="0" w:space="0" w:color="auto"/>
      </w:divBdr>
    </w:div>
    <w:div w:id="1715084814">
      <w:bodyDiv w:val="1"/>
      <w:marLeft w:val="0"/>
      <w:marRight w:val="0"/>
      <w:marTop w:val="0"/>
      <w:marBottom w:val="0"/>
      <w:divBdr>
        <w:top w:val="none" w:sz="0" w:space="0" w:color="auto"/>
        <w:left w:val="none" w:sz="0" w:space="0" w:color="auto"/>
        <w:bottom w:val="none" w:sz="0" w:space="0" w:color="auto"/>
        <w:right w:val="none" w:sz="0" w:space="0" w:color="auto"/>
      </w:divBdr>
    </w:div>
    <w:div w:id="1730029861">
      <w:bodyDiv w:val="1"/>
      <w:marLeft w:val="0"/>
      <w:marRight w:val="0"/>
      <w:marTop w:val="0"/>
      <w:marBottom w:val="0"/>
      <w:divBdr>
        <w:top w:val="none" w:sz="0" w:space="0" w:color="auto"/>
        <w:left w:val="none" w:sz="0" w:space="0" w:color="auto"/>
        <w:bottom w:val="none" w:sz="0" w:space="0" w:color="auto"/>
        <w:right w:val="none" w:sz="0" w:space="0" w:color="auto"/>
      </w:divBdr>
    </w:div>
    <w:div w:id="1810826204">
      <w:bodyDiv w:val="1"/>
      <w:marLeft w:val="0"/>
      <w:marRight w:val="0"/>
      <w:marTop w:val="0"/>
      <w:marBottom w:val="0"/>
      <w:divBdr>
        <w:top w:val="none" w:sz="0" w:space="0" w:color="auto"/>
        <w:left w:val="none" w:sz="0" w:space="0" w:color="auto"/>
        <w:bottom w:val="none" w:sz="0" w:space="0" w:color="auto"/>
        <w:right w:val="none" w:sz="0" w:space="0" w:color="auto"/>
      </w:divBdr>
    </w:div>
    <w:div w:id="1868832941">
      <w:bodyDiv w:val="1"/>
      <w:marLeft w:val="0"/>
      <w:marRight w:val="0"/>
      <w:marTop w:val="0"/>
      <w:marBottom w:val="0"/>
      <w:divBdr>
        <w:top w:val="none" w:sz="0" w:space="0" w:color="auto"/>
        <w:left w:val="none" w:sz="0" w:space="0" w:color="auto"/>
        <w:bottom w:val="none" w:sz="0" w:space="0" w:color="auto"/>
        <w:right w:val="none" w:sz="0" w:space="0" w:color="auto"/>
      </w:divBdr>
    </w:div>
    <w:div w:id="1886602482">
      <w:bodyDiv w:val="1"/>
      <w:marLeft w:val="0"/>
      <w:marRight w:val="0"/>
      <w:marTop w:val="0"/>
      <w:marBottom w:val="0"/>
      <w:divBdr>
        <w:top w:val="none" w:sz="0" w:space="0" w:color="auto"/>
        <w:left w:val="none" w:sz="0" w:space="0" w:color="auto"/>
        <w:bottom w:val="none" w:sz="0" w:space="0" w:color="auto"/>
        <w:right w:val="none" w:sz="0" w:space="0" w:color="auto"/>
      </w:divBdr>
    </w:div>
    <w:div w:id="19297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460E6-836D-40B1-9B31-9091B9962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117</Pages>
  <Words>26945</Words>
  <Characters>125838</Characters>
  <Application>Microsoft Office Word</Application>
  <DocSecurity>0</DocSecurity>
  <Lines>4339</Lines>
  <Paragraphs>2829</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149954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1940 - 09-l0-02</dc:title>
  <dc:subject/>
  <dc:creator/>
  <cp:keywords/>
  <dc:description/>
  <cp:lastModifiedBy>svcMRProcess</cp:lastModifiedBy>
  <cp:revision>4</cp:revision>
  <cp:lastPrinted>2018-06-29T07:24:00Z</cp:lastPrinted>
  <dcterms:created xsi:type="dcterms:W3CDTF">2020-02-05T08:45:00Z</dcterms:created>
  <dcterms:modified xsi:type="dcterms:W3CDTF">2020-02-05T08:46:00Z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DocumentType">
    <vt:lpwstr>Reg</vt:lpwstr>
  </property>
  <property fmtid="{D5CDD505-2E9C-101B-9397-08002B2CF9AE}" pid="4" name="OwlsUID">
    <vt:i4>8924</vt:i4>
  </property>
  <property fmtid="{D5CDD505-2E9C-101B-9397-08002B2CF9AE}" pid="5" name="ReprintedAsAt">
    <vt:filetime>2016-02-04T16:00:00Z</vt:filetime>
  </property>
  <property fmtid="{D5CDD505-2E9C-101B-9397-08002B2CF9AE}" pid="6" name="ReprintNo">
    <vt:lpwstr>9</vt:lpwstr>
  </property>
  <property fmtid="{D5CDD505-2E9C-101B-9397-08002B2CF9AE}" pid="7" name="AsAtDate">
    <vt:lpwstr>01 Jul 2019</vt:lpwstr>
  </property>
  <property fmtid="{D5CDD505-2E9C-101B-9397-08002B2CF9AE}" pid="8" name="Suffix">
    <vt:lpwstr>09-l0-02</vt:lpwstr>
  </property>
  <property fmtid="{D5CDD505-2E9C-101B-9397-08002B2CF9AE}" pid="9" name="CommencementDate">
    <vt:lpwstr>20190701</vt:lpwstr>
  </property>
</Properties>
</file>