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11" name="Picture 1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PrincipalActRegPage1"/>
      </w:pPr>
      <w:r>
        <w:fldChar w:fldCharType="begin"/>
      </w:r>
      <w:r>
        <w:instrText xml:space="preserve"> STYLEREF "PrincipalAct_Reg"</w:instrText>
      </w:r>
      <w:r>
        <w:fldChar w:fldCharType="separate"/>
      </w:r>
      <w:r>
        <w:rPr>
          <w:noProof/>
        </w:rPr>
        <w:t>Western Australian Health Promotion Foundation Act 2016</w:t>
      </w:r>
      <w:r>
        <w:fldChar w:fldCharType="end"/>
      </w:r>
    </w:p>
    <w:p>
      <w:pPr>
        <w:pStyle w:val="NameofActRegPage1"/>
        <w:spacing w:before="180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Western Australian Health Promotion Foundation Regulations 2016</w:t>
      </w:r>
      <w:r>
        <w:fldChar w:fldCharType="end"/>
      </w:r>
    </w:p>
    <w:p>
      <w:pPr>
        <w:jc w:val="center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Western Australian Health Promotion Foundation Regulations 2016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1.</w:t>
      </w:r>
      <w:r>
        <w:tab/>
        <w:t>Citation</w:t>
      </w:r>
      <w:r>
        <w:tab/>
      </w:r>
      <w:r>
        <w:fldChar w:fldCharType="begin"/>
      </w:r>
      <w:r>
        <w:instrText xml:space="preserve"> PAGEREF _Toc12021616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pacing w:val="-2"/>
        </w:rPr>
        <w:t>.</w:t>
      </w:r>
      <w:r>
        <w:rPr>
          <w:spacing w:val="-2"/>
        </w:rPr>
        <w:tab/>
        <w:t>Commencement</w:t>
      </w:r>
      <w:r>
        <w:tab/>
      </w:r>
      <w:r>
        <w:fldChar w:fldCharType="begin"/>
      </w:r>
      <w:r>
        <w:instrText xml:space="preserve"> PAGEREF _Toc12021617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3.</w:t>
      </w:r>
      <w:r>
        <w:tab/>
        <w:t>Foundation’s Funds</w:t>
      </w:r>
      <w:r>
        <w:tab/>
      </w:r>
      <w:r>
        <w:fldChar w:fldCharType="begin"/>
      </w:r>
      <w:r>
        <w:instrText xml:space="preserve"> PAGEREF _Toc12021618 \h </w:instrText>
      </w:r>
      <w:r>
        <w:fldChar w:fldCharType="separate"/>
      </w:r>
      <w:r>
        <w:t>1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ab/>
        <w:t>Compilation table</w:t>
      </w:r>
      <w:r>
        <w:tab/>
      </w:r>
      <w:r>
        <w:fldChar w:fldCharType="begin"/>
      </w:r>
      <w:r>
        <w:instrText xml:space="preserve"> PAGEREF _Toc12021620 \h </w:instrText>
      </w:r>
      <w:r>
        <w:fldChar w:fldCharType="separate"/>
      </w:r>
      <w:r>
        <w:t>3</w:t>
      </w:r>
      <w:r>
        <w:fldChar w:fldCharType="end"/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PrincipalActReg"/>
      </w:pPr>
      <w:r>
        <w:t>Western Australian Health Promotion Foundation Act 2016</w:t>
      </w:r>
    </w:p>
    <w:p>
      <w:pPr>
        <w:pStyle w:val="NameofActReg"/>
      </w:pPr>
      <w:r>
        <w:t>Western Australian Health Promotion Foundation Regulations 2016</w:t>
      </w:r>
    </w:p>
    <w:p>
      <w:pPr>
        <w:pStyle w:val="Heading5"/>
      </w:pPr>
      <w:bookmarkStart w:id="3" w:name="_Toc12021616"/>
      <w:r>
        <w:rPr>
          <w:rStyle w:val="CharSectno"/>
        </w:rPr>
        <w:t>1</w:t>
      </w:r>
      <w:r>
        <w:t>.</w:t>
      </w:r>
      <w:r>
        <w:tab/>
        <w:t>Citation</w:t>
      </w:r>
      <w:bookmarkEnd w:id="3"/>
    </w:p>
    <w:p>
      <w:pPr>
        <w:pStyle w:val="Subsection"/>
        <w:spacing w:before="120"/>
      </w:pPr>
      <w:r>
        <w:tab/>
      </w:r>
      <w:r>
        <w:tab/>
      </w:r>
      <w:bookmarkStart w:id="4" w:name="Start_Cursor"/>
      <w:bookmarkEnd w:id="4"/>
      <w:r>
        <w:rPr>
          <w:spacing w:val="-2"/>
        </w:rPr>
        <w:t>These</w:t>
      </w:r>
      <w:r>
        <w:t xml:space="preserve"> </w:t>
      </w:r>
      <w:r>
        <w:rPr>
          <w:spacing w:val="-2"/>
        </w:rPr>
        <w:t>regulations</w:t>
      </w:r>
      <w:r>
        <w:t xml:space="preserve"> are the </w:t>
      </w:r>
      <w:r>
        <w:rPr>
          <w:i/>
        </w:rPr>
        <w:t>Western Australian Health Promotion Foundation Regulations 2016</w:t>
      </w:r>
      <w:r>
        <w:t>.</w:t>
      </w:r>
    </w:p>
    <w:p>
      <w:pPr>
        <w:pStyle w:val="Heading5"/>
        <w:rPr>
          <w:spacing w:val="-2"/>
        </w:rPr>
      </w:pPr>
      <w:bookmarkStart w:id="5" w:name="_Toc12021617"/>
      <w:r>
        <w:rPr>
          <w:rStyle w:val="CharSectno"/>
        </w:rPr>
        <w:t>2</w:t>
      </w:r>
      <w:r>
        <w:rPr>
          <w:spacing w:val="-2"/>
        </w:rPr>
        <w:t>.</w:t>
      </w:r>
      <w:r>
        <w:rPr>
          <w:spacing w:val="-2"/>
        </w:rPr>
        <w:tab/>
        <w:t>Commencement</w:t>
      </w:r>
      <w:bookmarkEnd w:id="5"/>
    </w:p>
    <w:p>
      <w:pPr>
        <w:pStyle w:val="Subsection"/>
        <w:spacing w:before="12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  <w:t>These regulations come into operation as follows</w:t>
      </w:r>
      <w:r>
        <w:t> —</w:t>
      </w:r>
    </w:p>
    <w:p>
      <w:pPr>
        <w:pStyle w:val="Indenta"/>
      </w:pPr>
      <w:r>
        <w:tab/>
        <w:t>(a)</w:t>
      </w:r>
      <w:r>
        <w:tab/>
      </w:r>
      <w:r>
        <w:rPr>
          <w:spacing w:val="-2"/>
        </w:rPr>
        <w:t>regulations</w:t>
      </w:r>
      <w:r>
        <w:t xml:space="preserve"> 1 and 2 — on the day on which these </w:t>
      </w:r>
      <w:r>
        <w:rPr>
          <w:spacing w:val="-2"/>
        </w:rPr>
        <w:t>regulations</w:t>
      </w:r>
      <w:r>
        <w:t xml:space="preserve"> are published in the </w:t>
      </w:r>
      <w:r>
        <w:rPr>
          <w:i/>
          <w:iCs/>
        </w:rPr>
        <w:t>Gazette</w:t>
      </w:r>
      <w:r>
        <w:t>;</w:t>
      </w:r>
    </w:p>
    <w:p>
      <w:pPr>
        <w:pStyle w:val="Indenta"/>
      </w:pPr>
      <w:r>
        <w:tab/>
        <w:t>(b)</w:t>
      </w:r>
      <w:r>
        <w:tab/>
        <w:t xml:space="preserve">the rest of the </w:t>
      </w:r>
      <w:r>
        <w:rPr>
          <w:spacing w:val="-2"/>
        </w:rPr>
        <w:t>regulations</w:t>
      </w:r>
      <w:r>
        <w:t xml:space="preserve"> — on the day on which the </w:t>
      </w:r>
      <w:r>
        <w:rPr>
          <w:i/>
        </w:rPr>
        <w:t>Western Australian Health Promotion Foundation Act 2016</w:t>
      </w:r>
      <w:r>
        <w:t xml:space="preserve"> Part 6 comes into operation.</w:t>
      </w:r>
    </w:p>
    <w:p>
      <w:pPr>
        <w:pStyle w:val="Heading5"/>
      </w:pPr>
      <w:bookmarkStart w:id="6" w:name="_Toc12021618"/>
      <w:r>
        <w:rPr>
          <w:rStyle w:val="CharSectno"/>
        </w:rPr>
        <w:t>3</w:t>
      </w:r>
      <w:r>
        <w:t>.</w:t>
      </w:r>
      <w:r>
        <w:tab/>
        <w:t>Foundation’s Funds</w:t>
      </w:r>
      <w:bookmarkEnd w:id="6"/>
    </w:p>
    <w:p>
      <w:pPr>
        <w:pStyle w:val="Subsection"/>
        <w:spacing w:before="120"/>
      </w:pPr>
      <w:r>
        <w:tab/>
      </w:r>
      <w:r>
        <w:tab/>
        <w:t>For the purposes of section 43(2) of the Act, the amount specified in Column 2 of the Table opposite a financial year specified in Column 1 is the prescribed amount for that financial year.</w:t>
      </w:r>
    </w:p>
    <w:p>
      <w:pPr>
        <w:pStyle w:val="THeadingNAm"/>
        <w:widowControl w:val="0"/>
      </w:pPr>
      <w:r>
        <w:t>Table</w:t>
      </w:r>
    </w:p>
    <w:tbl>
      <w:tblPr>
        <w:tblW w:w="510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>
        <w:trPr>
          <w:tblHeader/>
        </w:trPr>
        <w:tc>
          <w:tcPr>
            <w:tcW w:w="3402" w:type="dxa"/>
          </w:tcPr>
          <w:p>
            <w:pPr>
              <w:pStyle w:val="TableNAm"/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  <w:r>
              <w:rPr>
                <w:b/>
                <w:bCs/>
              </w:rPr>
              <w:br/>
              <w:t>Financial year</w:t>
            </w:r>
          </w:p>
        </w:tc>
        <w:tc>
          <w:tcPr>
            <w:tcW w:w="1701" w:type="dxa"/>
          </w:tcPr>
          <w:p>
            <w:pPr>
              <w:pStyle w:val="TableNAm"/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  <w:r>
              <w:rPr>
                <w:b/>
                <w:bCs/>
              </w:rPr>
              <w:br/>
              <w:t>$</w:t>
            </w:r>
          </w:p>
        </w:tc>
      </w:tr>
      <w:tr>
        <w:tc>
          <w:tcPr>
            <w:tcW w:w="3402" w:type="dxa"/>
          </w:tcPr>
          <w:p>
            <w:pPr>
              <w:pStyle w:val="TableNAm"/>
              <w:keepNext/>
              <w:widowControl w:val="0"/>
            </w:pPr>
            <w:r>
              <w:t>1 July 2019 — 30 June 2020</w:t>
            </w:r>
          </w:p>
        </w:tc>
        <w:tc>
          <w:tcPr>
            <w:tcW w:w="1701" w:type="dxa"/>
          </w:tcPr>
          <w:p>
            <w:pPr>
              <w:pStyle w:val="TableNAm"/>
              <w:keepNext/>
              <w:widowControl w:val="0"/>
              <w:jc w:val="center"/>
            </w:pPr>
            <w:r>
              <w:t>23 064 000</w:t>
            </w:r>
          </w:p>
        </w:tc>
      </w:tr>
      <w:tr>
        <w:tc>
          <w:tcPr>
            <w:tcW w:w="3402" w:type="dxa"/>
          </w:tcPr>
          <w:p>
            <w:pPr>
              <w:pStyle w:val="TableNAm"/>
              <w:keepNext/>
              <w:widowControl w:val="0"/>
            </w:pPr>
            <w:r>
              <w:t>1 July 2020 — 30 June 2021</w:t>
            </w:r>
          </w:p>
        </w:tc>
        <w:tc>
          <w:tcPr>
            <w:tcW w:w="1701" w:type="dxa"/>
          </w:tcPr>
          <w:p>
            <w:pPr>
              <w:pStyle w:val="TableNAm"/>
              <w:keepNext/>
              <w:widowControl w:val="0"/>
              <w:jc w:val="center"/>
            </w:pPr>
            <w:r>
              <w:t>23 421 000</w:t>
            </w:r>
          </w:p>
        </w:tc>
      </w:tr>
      <w:tr>
        <w:tc>
          <w:tcPr>
            <w:tcW w:w="3402" w:type="dxa"/>
          </w:tcPr>
          <w:p>
            <w:pPr>
              <w:pStyle w:val="TableNAm"/>
              <w:keepNext/>
              <w:widowControl w:val="0"/>
            </w:pPr>
            <w:r>
              <w:t>1 July 2021 — 30 June 2022</w:t>
            </w:r>
          </w:p>
        </w:tc>
        <w:tc>
          <w:tcPr>
            <w:tcW w:w="1701" w:type="dxa"/>
          </w:tcPr>
          <w:p>
            <w:pPr>
              <w:pStyle w:val="TableNAm"/>
              <w:keepNext/>
              <w:widowControl w:val="0"/>
              <w:jc w:val="center"/>
            </w:pPr>
            <w:r>
              <w:t>23 949 000</w:t>
            </w:r>
          </w:p>
        </w:tc>
      </w:tr>
    </w:tbl>
    <w:p>
      <w:pPr>
        <w:pStyle w:val="Footnotesection"/>
        <w:rPr>
          <w:color w:val="000000"/>
        </w:rPr>
      </w:pPr>
      <w:r>
        <w:tab/>
        <w:t>[Regulation 3 amended: Gazette 14 May 2019 p. 1423.]</w:t>
      </w:r>
    </w:p>
    <w:p>
      <w:pPr>
        <w:pStyle w:val="CentredBaseLine"/>
        <w:jc w:val="center"/>
        <w:rPr>
          <w:snapToGrid w:val="0"/>
        </w:rPr>
      </w:pPr>
      <w:r>
        <w:rPr>
          <w:noProof/>
        </w:rPr>
        <w:drawing>
          <wp:inline distT="0" distB="0" distL="0" distR="0">
            <wp:extent cx="933450" cy="171450"/>
            <wp:effectExtent l="0" t="0" r="0" b="0"/>
            <wp:docPr id="7" name="Picture 7" descr="d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l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ByCommand"/>
        <w:tabs>
          <w:tab w:val="left" w:pos="426"/>
        </w:tabs>
        <w:sectPr>
          <w:headerReference w:type="even" r:id="rId23"/>
          <w:headerReference w:type="default" r:id="rId24"/>
          <w:headerReference w:type="first" r:id="rId25"/>
          <w:endnotePr>
            <w:numFmt w:val="decimal"/>
          </w:endnotePr>
          <w:pgSz w:w="11907" w:h="16840" w:code="9"/>
          <w:pgMar w:top="2381" w:right="2410" w:bottom="3544" w:left="2410" w:header="720" w:footer="3544" w:gutter="0"/>
          <w:pgNumType w:start="1"/>
          <w:cols w:space="720"/>
          <w:noEndnote/>
          <w:titlePg/>
        </w:sectPr>
      </w:pPr>
    </w:p>
    <w:p>
      <w:pPr>
        <w:pStyle w:val="nHeading2"/>
      </w:pPr>
      <w:bookmarkStart w:id="7" w:name="_Toc11667348"/>
      <w:bookmarkStart w:id="8" w:name="_Toc11667384"/>
      <w:bookmarkStart w:id="9" w:name="_Toc11668107"/>
      <w:bookmarkStart w:id="10" w:name="_Toc12021619"/>
      <w:r>
        <w:t>Notes</w:t>
      </w:r>
      <w:bookmarkEnd w:id="7"/>
      <w:bookmarkEnd w:id="8"/>
      <w:bookmarkEnd w:id="9"/>
      <w:bookmarkEnd w:id="10"/>
    </w:p>
    <w:p>
      <w:pPr>
        <w:pStyle w:val="nSubsection"/>
      </w:pPr>
      <w:r>
        <w:rPr>
          <w:vertAlign w:val="superscript"/>
        </w:rPr>
        <w:t>1</w:t>
      </w:r>
      <w:r>
        <w:tab/>
        <w:t xml:space="preserve">This is a compilation of the </w:t>
      </w:r>
      <w:r>
        <w:rPr>
          <w:i/>
          <w:noProof/>
        </w:rPr>
        <w:t xml:space="preserve">Western Australian Health Promotion Foundation Regulations 2016 </w:t>
      </w:r>
      <w:r>
        <w:t xml:space="preserve">and includes the amendments made by the other written laws referred to in the following table.  </w:t>
      </w:r>
    </w:p>
    <w:p>
      <w:pPr>
        <w:pStyle w:val="nHeading3"/>
      </w:pPr>
      <w:bookmarkStart w:id="11" w:name="_Toc12021620"/>
      <w:r>
        <w:t>Compilation table</w:t>
      </w:r>
      <w:bookmarkEnd w:id="11"/>
    </w:p>
    <w:tbl>
      <w:tblPr>
        <w:tblW w:w="0" w:type="auto"/>
        <w:tblInd w:w="28" w:type="dxa"/>
        <w:tblBorders>
          <w:top w:val="single" w:sz="8" w:space="0" w:color="auto"/>
          <w:bottom w:val="single" w:sz="4" w:space="0" w:color="auto"/>
          <w:insideH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3"/>
      </w:tblGrid>
      <w:tr>
        <w:trPr>
          <w:tblHeader/>
        </w:trPr>
        <w:tc>
          <w:tcPr>
            <w:tcW w:w="3118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Citation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Gazettal</w:t>
            </w:r>
          </w:p>
        </w:tc>
        <w:tc>
          <w:tcPr>
            <w:tcW w:w="2693" w:type="dxa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3118" w:type="dxa"/>
            <w:tcBorders>
              <w:bottom w:val="nil"/>
            </w:tcBorders>
          </w:tcPr>
          <w:p>
            <w:pPr>
              <w:pStyle w:val="nTable"/>
              <w:spacing w:after="40"/>
            </w:pPr>
            <w:r>
              <w:rPr>
                <w:i/>
                <w:noProof/>
              </w:rPr>
              <w:t>Western Australian Health Promotion Foundation Regulations 2016</w:t>
            </w:r>
            <w:r>
              <w:rPr>
                <w:noProof/>
              </w:rPr>
              <w:t xml:space="preserve"> 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nTable"/>
              <w:spacing w:after="40"/>
            </w:pPr>
            <w:r>
              <w:t>26 Jul 2016 p. 3149</w:t>
            </w:r>
          </w:p>
        </w:tc>
        <w:tc>
          <w:tcPr>
            <w:tcW w:w="2693" w:type="dxa"/>
            <w:tcBorders>
              <w:bottom w:val="nil"/>
            </w:tcBorders>
          </w:tcPr>
          <w:p>
            <w:pPr>
              <w:pStyle w:val="nTable"/>
              <w:spacing w:after="40"/>
            </w:pPr>
            <w:r>
              <w:rPr>
                <w:bCs/>
                <w:snapToGrid w:val="0"/>
                <w:spacing w:val="-2"/>
              </w:rPr>
              <w:t>r. 1 and 2: 26 Jul 2016 (see r. 2(a));</w:t>
            </w:r>
            <w:r>
              <w:rPr>
                <w:bCs/>
                <w:snapToGrid w:val="0"/>
                <w:spacing w:val="-2"/>
              </w:rPr>
              <w:br/>
              <w:t xml:space="preserve">Regulations other than r. 1 and 2: 1 Sep 2016 (see r. 2(b) and </w:t>
            </w:r>
            <w:r>
              <w:rPr>
                <w:bCs/>
                <w:i/>
                <w:snapToGrid w:val="0"/>
                <w:spacing w:val="-2"/>
              </w:rPr>
              <w:t xml:space="preserve">Gazette </w:t>
            </w:r>
            <w:r>
              <w:rPr>
                <w:bCs/>
                <w:snapToGrid w:val="0"/>
                <w:spacing w:val="-2"/>
              </w:rPr>
              <w:t>26 Jul 2016 p. 3145)</w:t>
            </w:r>
            <w:r>
              <w:t xml:space="preserve"> </w:t>
            </w:r>
          </w:p>
        </w:tc>
      </w:tr>
      <w:tr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i/>
                <w:noProof/>
              </w:rPr>
            </w:pPr>
            <w:r>
              <w:rPr>
                <w:i/>
                <w:noProof/>
              </w:rPr>
              <w:t>Western Australian Health Promotion Foundation Amendment Regulations 2019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>
            <w:pPr>
              <w:pStyle w:val="nTable"/>
              <w:spacing w:after="40"/>
            </w:pPr>
            <w:r>
              <w:t>14 May 2019 p. 1423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>
            <w:pPr>
              <w:pStyle w:val="nTable"/>
              <w:spacing w:after="40"/>
              <w:rPr>
                <w:bCs/>
                <w:snapToGrid w:val="0"/>
                <w:spacing w:val="-2"/>
              </w:rPr>
            </w:pPr>
            <w:r>
              <w:t>r. 1 and 2: 14 May 2019 (see r. 2(a));</w:t>
            </w:r>
            <w:r>
              <w:br/>
              <w:t>Regulations other than r. 1 and 2: 1 Jul 2019 (see r. 2(b))</w:t>
            </w:r>
          </w:p>
        </w:tc>
      </w:tr>
    </w:tbl>
    <w:p>
      <w:pPr>
        <w:sectPr>
          <w:headerReference w:type="even" r:id="rId26"/>
          <w:headerReference w:type="default" r:id="rId27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/>
    <w:sectPr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endnotePr>
        <w:numFmt w:val="decimal"/>
      </w:endnotePr>
      <w:type w:val="continuous"/>
      <w:pgSz w:w="11907" w:h="16840" w:code="9"/>
      <w:pgMar w:top="567" w:right="1701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rPr>
          <w:b/>
          <w:sz w:val="28"/>
        </w:rPr>
      </w:pPr>
      <w:r>
        <w:rPr>
          <w:b/>
          <w:sz w:val="28"/>
        </w:rPr>
        <w:t>Endnotes</w:t>
      </w:r>
    </w:p>
    <w:p>
      <w:pPr>
        <w:spacing w:after="240"/>
        <w:rPr>
          <w:rFonts w:ascii="Times" w:hAnsi="Times"/>
          <w:sz w:val="18"/>
        </w:rPr>
      </w:pPr>
      <w:r>
        <w:rPr>
          <w:sz w:val="20"/>
        </w:rPr>
        <w:t>[For ease of reference detach these notes and read them alongside the draft.]</w:t>
      </w:r>
    </w:p>
    <w:p/>
  </w:endnote>
  <w:endnote w:type="continuationSeparator" w:id="0">
    <w:p>
      <w:pPr>
        <w:pStyle w:val="Footer"/>
      </w:pP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00-d0-01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01 Jul 2019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01 Jul 2019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00-d0-01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01 Jul 2019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00-d0-01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00-d0-01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01 Jul 2019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01 Jul 2019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00-d0-01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01 Jul 2019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00-d0-01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Western Australian Health Promotion Foundation Regulations 2016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Western Australian Health Promotion Foundation Regulations 2016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12" w:name="Compilation"/>
    <w:bookmarkEnd w:id="12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3" w:name="Coversheet"/>
    <w:bookmarkEnd w:id="1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Western Australian Health Promotion Foundation Regulations 2016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Western Australian Health Promotion Foundation Regulations 2016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Western Australian Health Promotion Foundation Regulations 2016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Western Australian Health Promotion Foundation Regulations 2016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  <w:vAlign w:val="bottom"/>
        </w:tcPr>
        <w:p>
          <w:pPr>
            <w:pStyle w:val="Header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CharDivText </w:instrText>
          </w:r>
          <w:r>
            <w:rPr>
              <w:b/>
            </w:rP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jc w:val="right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066C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88F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44E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5A2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4AD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4C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6E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6F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E2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1499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071E2"/>
    <w:multiLevelType w:val="singleLevel"/>
    <w:tmpl w:val="6686A9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6">
    <w:nsid w:val="3C2808C0"/>
    <w:multiLevelType w:val="singleLevel"/>
    <w:tmpl w:val="58E827E4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7">
    <w:nsid w:val="41B9085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4CC0330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1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1"/>
  </w:num>
  <w:num w:numId="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114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90617123444"/>
    <w:docVar w:name="WAFER_20150206084300" w:val="ResetPageSize"/>
    <w:docVar w:name="WAFER_20150206084300_GUID" w:val="de2fbc3d-acf0-43f4-a0fa-d2631ba8b5df"/>
    <w:docVar w:name="WAFER_20151016170500" w:val="UpdateStyles"/>
    <w:docVar w:name="WAFER_20151016170500_GUID" w:val="b265764f-9cc9-4051-b597-28966bcc0033"/>
    <w:docVar w:name="WAFER_20151016171156" w:val="UsedStyles"/>
    <w:docVar w:name="WAFER_20151016171156_GUID" w:val="65b8bf31-20ff-4e33-a7f5-3e8a982d38e1"/>
    <w:docVar w:name="WAFER_20151016171216" w:val="UpdateStyles"/>
    <w:docVar w:name="WAFER_20151016171216_GUID" w:val="6c2db7ef-daac-4b3e-9dc6-438f5d0ef0de"/>
    <w:docVar w:name="WAFER_20151019113755" w:val="UpdateStyles,UsedStyles"/>
    <w:docVar w:name="WAFER_20151019113755_GUID" w:val="94d94bff-48d8-4137-a72c-5fd727eea17c"/>
    <w:docVar w:name="WAFER_20151102150240" w:val="UpdateStyles,UsedStyles"/>
    <w:docVar w:name="WAFER_20151102150240_GUID" w:val="2391df09-cb41-4aa3-adeb-85763481adf4"/>
    <w:docVar w:name="WAFER_20160318121937" w:val="RemoveTocBookmarks,RemoveUnusedBookmarks,RemoveLanguageTags,UsedStyles,ResetPageSize"/>
    <w:docVar w:name="WAFER_20160318121937_GUID" w:val="bc8e7b3c-20d7-480e-87c0-fe62dee3898c"/>
    <w:docVar w:name="WAFER_20160518135341" w:val="RemoveTocBookmarks,RemoveUnusedBookmarks,RemoveLanguageTags,UsedStyles,ResetPageSize"/>
    <w:docVar w:name="WAFER_20160518135341_GUID" w:val="872020ec-1f55-466f-99b4-28a59992bada"/>
    <w:docVar w:name="WAFER_20190617123444" w:val="RemoveTocBookmarks,RemoveUnusedBookmarks,RemoveLanguageTags,ResetPageSize,RunningHeaders,UpdateStyles,UsedStyles"/>
    <w:docVar w:name="WAFER_20190617123444_GUID" w:val="ccba7a7c-f77f-4b35-bbfe-f53c822bc3c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</w:style>
  <w:style w:type="character" w:customStyle="1" w:styleId="CharChapNo">
    <w:name w:val="CharChapNo"/>
    <w:rPr>
      <w:noProof w:val="0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Produced">
    <w:name w:val="CharProduced"/>
    <w:rPr>
      <w:noProof w:val="0"/>
      <w:spacing w:val="-3"/>
    </w:rPr>
  </w:style>
  <w:style w:type="character" w:customStyle="1" w:styleId="CharSchNo">
    <w:name w:val="CharSchNo"/>
    <w:rPr>
      <w:noProof w:val="0"/>
    </w:rPr>
  </w:style>
  <w:style w:type="character" w:customStyle="1" w:styleId="CharSectno">
    <w:name w:val="CharSectno"/>
    <w:rPr>
      <w:noProof w:val="0"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paragraph" w:customStyle="1" w:styleId="Equation">
    <w:name w:val="Equation"/>
    <w:rPr>
      <w:noProof/>
      <w:sz w:val="24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paragraph" w:styleId="Footer">
    <w:name w:val="footer"/>
    <w:basedOn w:val="Normal"/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customStyle="1" w:styleId="Graphics">
    <w:name w:val="Graphics"/>
    <w:basedOn w:val="Equation"/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rPr>
      <w:rFonts w:ascii="Times" w:hAnsi="Times"/>
      <w:sz w:val="18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</w:pPr>
  </w:style>
  <w:style w:type="paragraph" w:styleId="ListBullet2">
    <w:name w:val="List Bullet 2"/>
    <w:basedOn w:val="Normal"/>
    <w:autoRedefine/>
    <w:pPr>
      <w:tabs>
        <w:tab w:val="num" w:pos="360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tabs>
        <w:tab w:val="num" w:pos="360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tabs>
        <w:tab w:val="num" w:pos="360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tabs>
        <w:tab w:val="num" w:pos="360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</w:pPr>
  </w:style>
  <w:style w:type="paragraph" w:styleId="ListNumber2">
    <w:name w:val="List Number 2"/>
    <w:basedOn w:val="Normal"/>
    <w:pPr>
      <w:tabs>
        <w:tab w:val="num" w:pos="360"/>
        <w:tab w:val="num" w:pos="720"/>
      </w:tabs>
      <w:ind w:left="720"/>
    </w:pPr>
  </w:style>
  <w:style w:type="paragraph" w:styleId="ListNumber3">
    <w:name w:val="List Number 3"/>
    <w:basedOn w:val="Normal"/>
    <w:pPr>
      <w:tabs>
        <w:tab w:val="num" w:pos="360"/>
        <w:tab w:val="num" w:pos="1080"/>
      </w:tabs>
      <w:ind w:left="1080"/>
    </w:pPr>
  </w:style>
  <w:style w:type="paragraph" w:styleId="ListNumber4">
    <w:name w:val="List Number 4"/>
    <w:basedOn w:val="Normal"/>
    <w:pPr>
      <w:tabs>
        <w:tab w:val="num" w:pos="360"/>
        <w:tab w:val="num" w:pos="1440"/>
      </w:tabs>
      <w:ind w:left="1440"/>
    </w:pPr>
  </w:style>
  <w:style w:type="paragraph" w:styleId="ListNumber5">
    <w:name w:val="List Number 5"/>
    <w:basedOn w:val="Normal"/>
    <w:pPr>
      <w:tabs>
        <w:tab w:val="num" w:pos="360"/>
        <w:tab w:val="num" w:pos="1800"/>
      </w:tabs>
      <w:ind w:left="1800"/>
    </w:pPr>
  </w:style>
  <w:style w:type="paragraph" w:customStyle="1" w:styleId="LongTitle">
    <w:name w:val="Long Title"/>
    <w:rPr>
      <w:b/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MadeBy">
    <w:name w:val="MadeBy"/>
    <w:pPr>
      <w:spacing w:before="600"/>
    </w:pPr>
    <w:rPr>
      <w:sz w:val="24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rPr>
      <w:rFonts w:ascii="Arial" w:hAnsi="Arial"/>
      <w:noProof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right" w:pos="7088"/>
      </w:tabs>
      <w:spacing w:before="108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TableAm">
    <w:name w:val="TableAm"/>
    <w:qFormat/>
    <w:pPr>
      <w:tabs>
        <w:tab w:val="left" w:pos="567"/>
      </w:tabs>
      <w:spacing w:before="120"/>
    </w:pPr>
    <w:rPr>
      <w:sz w:val="24"/>
    </w:rPr>
  </w:style>
  <w:style w:type="paragraph" w:customStyle="1" w:styleId="TableAmNote">
    <w:name w:val="TableAmNote"/>
    <w:pPr>
      <w:tabs>
        <w:tab w:val="left" w:pos="567"/>
      </w:tabs>
      <w:spacing w:before="60"/>
    </w:pPr>
    <w:rPr>
      <w:rFonts w:ascii="Arial" w:hAnsi="Arial"/>
      <w:sz w:val="1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TableNAm">
    <w:name w:val="TableNAm"/>
    <w:qFormat/>
    <w:pPr>
      <w:tabs>
        <w:tab w:val="left" w:pos="567"/>
      </w:tabs>
      <w:spacing w:before="120"/>
    </w:pPr>
    <w:rPr>
      <w:sz w:val="24"/>
    </w:rPr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pPr>
      <w:keepNext/>
      <w:spacing w:before="160" w:after="60"/>
      <w:jc w:val="center"/>
    </w:pPr>
    <w:rPr>
      <w:rFonts w:ascii="Arial" w:hAnsi="Arial"/>
      <w:b/>
      <w:bCs/>
      <w:sz w:val="18"/>
    </w:rPr>
  </w:style>
  <w:style w:type="paragraph" w:customStyle="1" w:styleId="THeadingNAm">
    <w:name w:val="THeadingNAm"/>
    <w:pPr>
      <w:keepNext/>
      <w:spacing w:before="160" w:after="60" w:line="260" w:lineRule="atLeast"/>
      <w:ind w:left="879" w:right="142"/>
      <w:jc w:val="center"/>
    </w:pPr>
    <w:rPr>
      <w:b/>
      <w:bCs/>
      <w:sz w:val="24"/>
    </w:rPr>
  </w:style>
  <w:style w:type="paragraph" w:customStyle="1" w:styleId="yTableNAm">
    <w:name w:val="yTableNAm"/>
    <w:basedOn w:val="TableNAm"/>
    <w:rPr>
      <w:sz w:val="22"/>
    </w:rPr>
  </w:style>
  <w:style w:type="paragraph" w:customStyle="1" w:styleId="yTHeadingNAm">
    <w:name w:val="yTHeadingNAm"/>
    <w:basedOn w:val="THeadingNAm"/>
    <w:pPr>
      <w:ind w:left="142"/>
    </w:pPr>
    <w:rPr>
      <w:sz w:val="22"/>
    </w:rPr>
  </w:style>
  <w:style w:type="paragraph" w:customStyle="1" w:styleId="zTableNAm">
    <w:name w:val="zTableNAm"/>
    <w:basedOn w:val="TableNAm"/>
  </w:style>
  <w:style w:type="paragraph" w:customStyle="1" w:styleId="zTHeadingNAm">
    <w:name w:val="zTHeadingNAm"/>
    <w:basedOn w:val="THeadingNAm"/>
  </w:style>
  <w:style w:type="paragraph" w:customStyle="1" w:styleId="zyTableNAm">
    <w:name w:val="zyTableNAm"/>
    <w:basedOn w:val="yTableNAm"/>
  </w:style>
  <w:style w:type="paragraph" w:customStyle="1" w:styleId="zyTHeadingNAm">
    <w:name w:val="zyTHeadingNAm"/>
    <w:basedOn w:val="yTHeadingNAm"/>
  </w:style>
  <w:style w:type="paragraph" w:customStyle="1" w:styleId="SignatureText">
    <w:name w:val="SignatureText"/>
    <w:basedOn w:val="Normal"/>
  </w:style>
  <w:style w:type="paragraph" w:customStyle="1" w:styleId="ExCo">
    <w:name w:val="ExCo"/>
    <w:qFormat/>
    <w:rPr>
      <w:sz w:val="22"/>
    </w:rPr>
  </w:style>
  <w:style w:type="paragraph" w:customStyle="1" w:styleId="Certificate">
    <w:name w:val="Certificate"/>
    <w:qFormat/>
    <w:rPr>
      <w:sz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nzTableNAm">
    <w:name w:val="nzTableNAm"/>
    <w:basedOn w:val="TableNAm"/>
    <w:rPr>
      <w:sz w:val="20"/>
    </w:rPr>
  </w:style>
  <w:style w:type="paragraph" w:customStyle="1" w:styleId="nzTHeadingNAm">
    <w:name w:val="nzTHeadingNAm"/>
    <w:basedOn w:val="THeadingNAm"/>
    <w:rPr>
      <w:sz w:val="20"/>
    </w:rPr>
  </w:style>
  <w:style w:type="paragraph" w:customStyle="1" w:styleId="nzyTHeadingNAm">
    <w:name w:val="nzyTHeadingNAm"/>
    <w:basedOn w:val="yTHeadingNAm"/>
    <w:rPr>
      <w:sz w:val="20"/>
    </w:rPr>
  </w:style>
  <w:style w:type="paragraph" w:customStyle="1" w:styleId="nzTableAm">
    <w:name w:val="nzTableAm"/>
    <w:basedOn w:val="TableAm"/>
    <w:rPr>
      <w:sz w:val="20"/>
    </w:rPr>
  </w:style>
  <w:style w:type="paragraph" w:customStyle="1" w:styleId="nzTHeading">
    <w:name w:val="nzTHeading"/>
    <w:basedOn w:val="THeading"/>
    <w:rPr>
      <w:sz w:val="20"/>
    </w:rPr>
  </w:style>
  <w:style w:type="paragraph" w:customStyle="1" w:styleId="nzTHeadingAmNote">
    <w:name w:val="nzTHeadingAmNote"/>
    <w:basedOn w:val="THeadingAmNote"/>
    <w:rPr>
      <w:sz w:val="14"/>
    </w:rPr>
  </w:style>
  <w:style w:type="paragraph" w:customStyle="1" w:styleId="nzTableAmNote">
    <w:name w:val="nzTableAmNote"/>
    <w:basedOn w:val="TableAmNote"/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entredBaseLine">
    <w:name w:val="CentredBaseLine"/>
    <w:pPr>
      <w:suppressLineNumbers/>
      <w:spacing w:before="240"/>
    </w:pPr>
  </w:style>
  <w:style w:type="character" w:customStyle="1" w:styleId="CharChapNo">
    <w:name w:val="CharChapNo"/>
    <w:rPr>
      <w:noProof w:val="0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Produced">
    <w:name w:val="CharProduced"/>
    <w:rPr>
      <w:noProof w:val="0"/>
      <w:spacing w:val="-3"/>
    </w:rPr>
  </w:style>
  <w:style w:type="character" w:customStyle="1" w:styleId="CharSchNo">
    <w:name w:val="CharSchNo"/>
    <w:rPr>
      <w:noProof w:val="0"/>
    </w:rPr>
  </w:style>
  <w:style w:type="character" w:customStyle="1" w:styleId="CharSectno">
    <w:name w:val="CharSectno"/>
    <w:rPr>
      <w:noProof w:val="0"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paragraph" w:customStyle="1" w:styleId="Equation">
    <w:name w:val="Equation"/>
    <w:rPr>
      <w:noProof/>
      <w:sz w:val="24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paragraph" w:styleId="Footer">
    <w:name w:val="footer"/>
    <w:basedOn w:val="Normal"/>
    <w:rPr>
      <w:rFonts w:ascii="Arial" w:hAnsi="Arial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customStyle="1" w:styleId="Graphics">
    <w:name w:val="Graphics"/>
    <w:basedOn w:val="Equation"/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rPr>
      <w:rFonts w:ascii="Times" w:hAnsi="Times"/>
      <w:sz w:val="18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</w:pPr>
  </w:style>
  <w:style w:type="paragraph" w:styleId="ListBullet2">
    <w:name w:val="List Bullet 2"/>
    <w:basedOn w:val="Normal"/>
    <w:autoRedefine/>
    <w:pPr>
      <w:tabs>
        <w:tab w:val="num" w:pos="360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tabs>
        <w:tab w:val="num" w:pos="360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tabs>
        <w:tab w:val="num" w:pos="360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tabs>
        <w:tab w:val="num" w:pos="360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</w:pPr>
  </w:style>
  <w:style w:type="paragraph" w:styleId="ListNumber2">
    <w:name w:val="List Number 2"/>
    <w:basedOn w:val="Normal"/>
    <w:pPr>
      <w:tabs>
        <w:tab w:val="num" w:pos="360"/>
        <w:tab w:val="num" w:pos="720"/>
      </w:tabs>
      <w:ind w:left="720"/>
    </w:pPr>
  </w:style>
  <w:style w:type="paragraph" w:styleId="ListNumber3">
    <w:name w:val="List Number 3"/>
    <w:basedOn w:val="Normal"/>
    <w:pPr>
      <w:tabs>
        <w:tab w:val="num" w:pos="360"/>
        <w:tab w:val="num" w:pos="1080"/>
      </w:tabs>
      <w:ind w:left="1080"/>
    </w:pPr>
  </w:style>
  <w:style w:type="paragraph" w:styleId="ListNumber4">
    <w:name w:val="List Number 4"/>
    <w:basedOn w:val="Normal"/>
    <w:pPr>
      <w:tabs>
        <w:tab w:val="num" w:pos="360"/>
        <w:tab w:val="num" w:pos="1440"/>
      </w:tabs>
      <w:ind w:left="1440"/>
    </w:pPr>
  </w:style>
  <w:style w:type="paragraph" w:styleId="ListNumber5">
    <w:name w:val="List Number 5"/>
    <w:basedOn w:val="Normal"/>
    <w:pPr>
      <w:tabs>
        <w:tab w:val="num" w:pos="360"/>
        <w:tab w:val="num" w:pos="1800"/>
      </w:tabs>
      <w:ind w:left="1800"/>
    </w:pPr>
  </w:style>
  <w:style w:type="paragraph" w:customStyle="1" w:styleId="LongTitle">
    <w:name w:val="Long Title"/>
    <w:rPr>
      <w:b/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MadeBy">
    <w:name w:val="MadeBy"/>
    <w:pPr>
      <w:spacing w:before="600"/>
    </w:pPr>
    <w:rPr>
      <w:sz w:val="24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basedOn w:val="DefaultParagraphFont"/>
    <w:qFormat/>
    <w:rPr>
      <w:b/>
      <w:sz w:val="24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Header">
    <w:name w:val="header"/>
    <w:rPr>
      <w:rFonts w:ascii="Arial" w:hAnsi="Arial"/>
      <w:noProof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ByCommand">
    <w:name w:val="ByCommand"/>
    <w:basedOn w:val="Normal"/>
    <w:pPr>
      <w:tabs>
        <w:tab w:val="right" w:pos="7088"/>
      </w:tabs>
      <w:spacing w:before="1080"/>
    </w:pPr>
  </w:style>
  <w:style w:type="paragraph" w:customStyle="1" w:styleId="DraftNo">
    <w:name w:val="DraftNo"/>
    <w:basedOn w:val="WA"/>
    <w:pPr>
      <w:spacing w:before="120" w:after="120"/>
    </w:pPr>
  </w:style>
  <w:style w:type="character" w:customStyle="1" w:styleId="CharSchText">
    <w:name w:val="CharSchText"/>
    <w:rPr>
      <w:noProof w:val="0"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ClsNo">
    <w:name w:val="CharSClsNo"/>
    <w:basedOn w:val="DefaultParagraphFont"/>
    <w:rPr>
      <w:sz w:val="22"/>
    </w:r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"/>
    <w:rPr>
      <w:b/>
      <w:noProof/>
      <w:sz w:val="28"/>
    </w:rPr>
  </w:style>
  <w:style w:type="paragraph" w:customStyle="1" w:styleId="TableAm">
    <w:name w:val="TableAm"/>
    <w:qFormat/>
    <w:pPr>
      <w:tabs>
        <w:tab w:val="left" w:pos="567"/>
      </w:tabs>
      <w:spacing w:before="120"/>
    </w:pPr>
    <w:rPr>
      <w:sz w:val="24"/>
    </w:rPr>
  </w:style>
  <w:style w:type="paragraph" w:customStyle="1" w:styleId="TableAmNote">
    <w:name w:val="TableAmNote"/>
    <w:pPr>
      <w:tabs>
        <w:tab w:val="left" w:pos="567"/>
      </w:tabs>
      <w:spacing w:before="60"/>
    </w:pPr>
    <w:rPr>
      <w:rFonts w:ascii="Arial" w:hAnsi="Arial"/>
      <w:sz w:val="18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TableNAm">
    <w:name w:val="TableNAm"/>
    <w:qFormat/>
    <w:pPr>
      <w:tabs>
        <w:tab w:val="left" w:pos="567"/>
      </w:tabs>
      <w:spacing w:before="120"/>
    </w:pPr>
    <w:rPr>
      <w:sz w:val="24"/>
    </w:rPr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pPr>
      <w:keepNext/>
      <w:spacing w:before="160" w:after="60"/>
      <w:jc w:val="center"/>
    </w:pPr>
    <w:rPr>
      <w:rFonts w:ascii="Arial" w:hAnsi="Arial"/>
      <w:b/>
      <w:bCs/>
      <w:sz w:val="18"/>
    </w:rPr>
  </w:style>
  <w:style w:type="paragraph" w:customStyle="1" w:styleId="THeadingNAm">
    <w:name w:val="THeadingNAm"/>
    <w:pPr>
      <w:keepNext/>
      <w:spacing w:before="160" w:after="60" w:line="260" w:lineRule="atLeast"/>
      <w:ind w:left="879" w:right="142"/>
      <w:jc w:val="center"/>
    </w:pPr>
    <w:rPr>
      <w:b/>
      <w:bCs/>
      <w:sz w:val="24"/>
    </w:rPr>
  </w:style>
  <w:style w:type="paragraph" w:customStyle="1" w:styleId="yTableNAm">
    <w:name w:val="yTableNAm"/>
    <w:basedOn w:val="TableNAm"/>
    <w:rPr>
      <w:sz w:val="22"/>
    </w:rPr>
  </w:style>
  <w:style w:type="paragraph" w:customStyle="1" w:styleId="yTHeadingNAm">
    <w:name w:val="yTHeadingNAm"/>
    <w:basedOn w:val="THeadingNAm"/>
    <w:pPr>
      <w:ind w:left="142"/>
    </w:pPr>
    <w:rPr>
      <w:sz w:val="22"/>
    </w:rPr>
  </w:style>
  <w:style w:type="paragraph" w:customStyle="1" w:styleId="zTableNAm">
    <w:name w:val="zTableNAm"/>
    <w:basedOn w:val="TableNAm"/>
  </w:style>
  <w:style w:type="paragraph" w:customStyle="1" w:styleId="zTHeadingNAm">
    <w:name w:val="zTHeadingNAm"/>
    <w:basedOn w:val="THeadingNAm"/>
  </w:style>
  <w:style w:type="paragraph" w:customStyle="1" w:styleId="zyTableNAm">
    <w:name w:val="zyTableNAm"/>
    <w:basedOn w:val="yTableNAm"/>
  </w:style>
  <w:style w:type="paragraph" w:customStyle="1" w:styleId="zyTHeadingNAm">
    <w:name w:val="zyTHeadingNAm"/>
    <w:basedOn w:val="yTHeadingNAm"/>
  </w:style>
  <w:style w:type="paragraph" w:customStyle="1" w:styleId="SignatureText">
    <w:name w:val="SignatureText"/>
    <w:basedOn w:val="Normal"/>
  </w:style>
  <w:style w:type="paragraph" w:customStyle="1" w:styleId="ExCo">
    <w:name w:val="ExCo"/>
    <w:qFormat/>
    <w:rPr>
      <w:sz w:val="22"/>
    </w:rPr>
  </w:style>
  <w:style w:type="paragraph" w:customStyle="1" w:styleId="Certificate">
    <w:name w:val="Certificate"/>
    <w:qFormat/>
    <w:rPr>
      <w:sz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nzTableNAm">
    <w:name w:val="nzTableNAm"/>
    <w:basedOn w:val="TableNAm"/>
    <w:rPr>
      <w:sz w:val="20"/>
    </w:rPr>
  </w:style>
  <w:style w:type="paragraph" w:customStyle="1" w:styleId="nzTHeadingNAm">
    <w:name w:val="nzTHeadingNAm"/>
    <w:basedOn w:val="THeadingNAm"/>
    <w:rPr>
      <w:sz w:val="20"/>
    </w:rPr>
  </w:style>
  <w:style w:type="paragraph" w:customStyle="1" w:styleId="nzyTHeadingNAm">
    <w:name w:val="nzyTHeadingNAm"/>
    <w:basedOn w:val="yTHeadingNAm"/>
    <w:rPr>
      <w:sz w:val="20"/>
    </w:rPr>
  </w:style>
  <w:style w:type="paragraph" w:customStyle="1" w:styleId="nzTableAm">
    <w:name w:val="nzTableAm"/>
    <w:basedOn w:val="TableAm"/>
    <w:rPr>
      <w:sz w:val="20"/>
    </w:rPr>
  </w:style>
  <w:style w:type="paragraph" w:customStyle="1" w:styleId="nzTHeading">
    <w:name w:val="nzTHeading"/>
    <w:basedOn w:val="THeading"/>
    <w:rPr>
      <w:sz w:val="20"/>
    </w:rPr>
  </w:style>
  <w:style w:type="paragraph" w:customStyle="1" w:styleId="nzTHeadingAmNote">
    <w:name w:val="nzTHeadingAmNote"/>
    <w:basedOn w:val="THeadingAmNote"/>
    <w:rPr>
      <w:sz w:val="14"/>
    </w:rPr>
  </w:style>
  <w:style w:type="paragraph" w:customStyle="1" w:styleId="nzTableAmNote">
    <w:name w:val="nzTableAmNote"/>
    <w:basedOn w:val="TableAmNote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2.png"/><Relationship Id="rId27" Type="http://schemas.openxmlformats.org/officeDocument/2006/relationships/header" Target="header11.xml"/><Relationship Id="rId30" Type="http://schemas.openxmlformats.org/officeDocument/2006/relationships/footer" Target="footer7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4984-D686-4443-A47C-0C084817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2070</Characters>
  <Application>Microsoft Office Word</Application>
  <DocSecurity>0</DocSecurity>
  <Lines>98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Drafting Template (Regs)</vt:lpstr>
    </vt:vector>
  </TitlesOfParts>
  <Manager/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Health Promotion Foundation Regulations 2016 - 00-d0-01</dc:title>
  <dc:subject/>
  <dc:creator/>
  <cp:keywords/>
  <dc:description/>
  <cp:lastModifiedBy>svcMRProcess</cp:lastModifiedBy>
  <cp:revision>4</cp:revision>
  <cp:lastPrinted>2019-06-21T06:04:00Z</cp:lastPrinted>
  <dcterms:created xsi:type="dcterms:W3CDTF">2019-06-28T08:22:00Z</dcterms:created>
  <dcterms:modified xsi:type="dcterms:W3CDTF">2019-06-28T08:22:00Z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Reg</vt:lpwstr>
  </property>
  <property fmtid="{D5CDD505-2E9C-101B-9397-08002B2CF9AE}" pid="3" name="RegID">
    <vt:lpwstr>48034</vt:lpwstr>
  </property>
  <property fmtid="{D5CDD505-2E9C-101B-9397-08002B2CF9AE}" pid="4" name="ID">
    <vt:lpwstr>26 Jul 2016 p. 3149</vt:lpwstr>
  </property>
  <property fmtid="{D5CDD505-2E9C-101B-9397-08002B2CF9AE}" pid="5" name="AsAtDate">
    <vt:lpwstr>01 Jul 2019</vt:lpwstr>
  </property>
  <property fmtid="{D5CDD505-2E9C-101B-9397-08002B2CF9AE}" pid="6" name="Suffix">
    <vt:lpwstr>00-d0-01</vt:lpwstr>
  </property>
  <property fmtid="{D5CDD505-2E9C-101B-9397-08002B2CF9AE}" pid="7" name="CommencementDate">
    <vt:lpwstr>20190701</vt:lpwstr>
  </property>
</Properties>
</file>