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_Toc12277495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_Toc12277496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_Toc12277497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_Toc12277499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_Toc12277500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Charges for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_Toc12277502 \h </w:instrText>
      </w:r>
      <w:r>
        <w:fldChar w:fldCharType="separate"/>
      </w:r>
      <w:r>
        <w:t>4</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_Toc12277503 \h </w:instrText>
      </w:r>
      <w:r>
        <w:fldChar w:fldCharType="separate"/>
      </w:r>
      <w:r>
        <w:t>4</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_Toc12277504 \h </w:instrText>
      </w:r>
      <w:r>
        <w:fldChar w:fldCharType="separate"/>
      </w:r>
      <w:r>
        <w:t>5</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_Toc12277505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Charges for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_Toc12277507 \h </w:instrText>
      </w:r>
      <w:r>
        <w:fldChar w:fldCharType="separate"/>
      </w:r>
      <w:r>
        <w:t>7</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_Toc12277508 \h </w:instrText>
      </w:r>
      <w:r>
        <w:fldChar w:fldCharType="separate"/>
      </w:r>
      <w:r>
        <w:t>7</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_Toc12277509 \h </w:instrText>
      </w:r>
      <w:r>
        <w:fldChar w:fldCharType="separate"/>
      </w:r>
      <w:r>
        <w:t>8</w:t>
      </w:r>
      <w:r>
        <w:fldChar w:fldCharType="end"/>
      </w:r>
    </w:p>
    <w:p>
      <w:pPr>
        <w:pStyle w:val="TOC8"/>
        <w:rPr>
          <w:rFonts w:asciiTheme="minorHAnsi" w:eastAsiaTheme="minorEastAsia" w:hAnsiTheme="minorHAnsi" w:cstheme="minorBidi"/>
          <w:szCs w:val="22"/>
        </w:rPr>
      </w:pPr>
      <w:r>
        <w:t>15A.</w:t>
      </w:r>
      <w:r>
        <w:tab/>
        <w:t>Permitted surcharge for using credit card or debit card</w:t>
      </w:r>
      <w:r>
        <w:tab/>
      </w:r>
      <w:r>
        <w:fldChar w:fldCharType="begin"/>
      </w:r>
      <w:r>
        <w:instrText xml:space="preserve"> PAGEREF _Toc12277510 \h </w:instrText>
      </w:r>
      <w:r>
        <w:fldChar w:fldCharType="separate"/>
      </w:r>
      <w:r>
        <w:t>9</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_Toc12277511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Charges for the Water Corporation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_Toc12277514 \h </w:instrText>
      </w:r>
      <w:r>
        <w:fldChar w:fldCharType="separate"/>
      </w:r>
      <w:r>
        <w:t>10</w:t>
      </w:r>
      <w:r>
        <w:fldChar w:fldCharType="end"/>
      </w:r>
    </w:p>
    <w:p>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_Toc12277515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Provisions of general application</w:t>
      </w:r>
    </w:p>
    <w:p>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_Toc12277517 \h </w:instrText>
      </w:r>
      <w:r>
        <w:fldChar w:fldCharType="separate"/>
      </w:r>
      <w:r>
        <w:t>18</w:t>
      </w:r>
      <w:r>
        <w:fldChar w:fldCharType="end"/>
      </w:r>
    </w:p>
    <w:p>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_Toc12277518 \h </w:instrText>
      </w:r>
      <w:r>
        <w:fldChar w:fldCharType="separate"/>
      </w:r>
      <w:r>
        <w:t>18</w:t>
      </w:r>
      <w:r>
        <w:fldChar w:fldCharType="end"/>
      </w:r>
    </w:p>
    <w:p>
      <w:pPr>
        <w:pStyle w:val="TOC8"/>
        <w:rPr>
          <w:rFonts w:asciiTheme="minorHAnsi" w:eastAsiaTheme="minorEastAsia" w:hAnsiTheme="minorHAnsi" w:cstheme="minorBidi"/>
          <w:szCs w:val="22"/>
        </w:rPr>
      </w:pPr>
      <w:r>
        <w:t>20.</w:t>
      </w:r>
      <w:r>
        <w:tab/>
        <w:t>Permitted surcharge for using credit card or debit card</w:t>
      </w:r>
      <w:r>
        <w:tab/>
      </w:r>
      <w:r>
        <w:fldChar w:fldCharType="begin"/>
      </w:r>
      <w:r>
        <w:instrText xml:space="preserve"> PAGEREF _Toc12277519 \h </w:instrText>
      </w:r>
      <w:r>
        <w:fldChar w:fldCharType="separate"/>
      </w:r>
      <w:r>
        <w:t>19</w:t>
      </w:r>
      <w:r>
        <w:fldChar w:fldCharType="end"/>
      </w:r>
    </w:p>
    <w:p>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_Toc12277520 \h </w:instrText>
      </w:r>
      <w:r>
        <w:fldChar w:fldCharType="separate"/>
      </w:r>
      <w:r>
        <w:t>19</w:t>
      </w:r>
      <w:r>
        <w:fldChar w:fldCharType="end"/>
      </w:r>
    </w:p>
    <w:p>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_Toc12277521 \h </w:instrText>
      </w:r>
      <w:r>
        <w:fldChar w:fldCharType="separate"/>
      </w:r>
      <w:r>
        <w:t>20</w:t>
      </w:r>
      <w:r>
        <w:fldChar w:fldCharType="end"/>
      </w:r>
    </w:p>
    <w:p>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_Toc12277522 \h </w:instrText>
      </w:r>
      <w:r>
        <w:fldChar w:fldCharType="separate"/>
      </w:r>
      <w:r>
        <w:t>21</w:t>
      </w:r>
      <w:r>
        <w:fldChar w:fldCharType="end"/>
      </w:r>
    </w:p>
    <w:p>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_Toc12277523 \h </w:instrText>
      </w:r>
      <w:r>
        <w:fldChar w:fldCharType="separate"/>
      </w:r>
      <w:r>
        <w:t>23</w:t>
      </w:r>
      <w:r>
        <w:fldChar w:fldCharType="end"/>
      </w:r>
    </w:p>
    <w:p>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_Toc12277524 \h </w:instrText>
      </w:r>
      <w:r>
        <w:fldChar w:fldCharType="separate"/>
      </w:r>
      <w:r>
        <w:t>24</w:t>
      </w:r>
      <w:r>
        <w:fldChar w:fldCharType="end"/>
      </w:r>
    </w:p>
    <w:p>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_Toc12277525 \h </w:instrText>
      </w:r>
      <w:r>
        <w:fldChar w:fldCharType="separate"/>
      </w:r>
      <w:r>
        <w:t>24</w:t>
      </w:r>
      <w:r>
        <w:fldChar w:fldCharType="end"/>
      </w:r>
    </w:p>
    <w:p>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_Toc12277526 \h </w:instrText>
      </w:r>
      <w:r>
        <w:fldChar w:fldCharType="separate"/>
      </w:r>
      <w:r>
        <w:t>24</w:t>
      </w:r>
      <w:r>
        <w:fldChar w:fldCharType="end"/>
      </w:r>
    </w:p>
    <w:p>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_Toc12277527 \h </w:instrText>
      </w:r>
      <w:r>
        <w:fldChar w:fldCharType="separate"/>
      </w:r>
      <w:r>
        <w:t>25</w:t>
      </w:r>
      <w:r>
        <w:fldChar w:fldCharType="end"/>
      </w:r>
    </w:p>
    <w:p>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_Toc12277528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Water supply charges</w:t>
      </w:r>
    </w:p>
    <w:p>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_Toc12277530 \h </w:instrText>
      </w:r>
      <w:r>
        <w:fldChar w:fldCharType="separate"/>
      </w:r>
      <w:r>
        <w:t>27</w:t>
      </w:r>
      <w:r>
        <w:fldChar w:fldCharType="end"/>
      </w:r>
    </w:p>
    <w:p>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_Toc12277531 \h </w:instrText>
      </w:r>
      <w:r>
        <w:fldChar w:fldCharType="separate"/>
      </w:r>
      <w:r>
        <w:t>27</w:t>
      </w:r>
      <w:r>
        <w:fldChar w:fldCharType="end"/>
      </w:r>
    </w:p>
    <w:p>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_Toc12277532 \h </w:instrText>
      </w:r>
      <w:r>
        <w:fldChar w:fldCharType="separate"/>
      </w:r>
      <w:r>
        <w:t>28</w:t>
      </w:r>
      <w:r>
        <w:fldChar w:fldCharType="end"/>
      </w:r>
    </w:p>
    <w:p>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_Toc12277533 \h </w:instrText>
      </w:r>
      <w:r>
        <w:fldChar w:fldCharType="separate"/>
      </w:r>
      <w:r>
        <w:t>31</w:t>
      </w:r>
      <w:r>
        <w:fldChar w:fldCharType="end"/>
      </w:r>
    </w:p>
    <w:p>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_Toc12277534 \h </w:instrText>
      </w:r>
      <w:r>
        <w:fldChar w:fldCharType="separate"/>
      </w:r>
      <w:r>
        <w:t>32</w:t>
      </w:r>
      <w:r>
        <w:fldChar w:fldCharType="end"/>
      </w:r>
    </w:p>
    <w:p>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_Toc12277535 \h </w:instrText>
      </w:r>
      <w:r>
        <w:fldChar w:fldCharType="separate"/>
      </w:r>
      <w:r>
        <w:t>33</w:t>
      </w:r>
      <w:r>
        <w:fldChar w:fldCharType="end"/>
      </w:r>
    </w:p>
    <w:p>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_Toc12277536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Sewerage charges</w:t>
      </w:r>
    </w:p>
    <w:p>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_Toc12277538 \h </w:instrText>
      </w:r>
      <w:r>
        <w:fldChar w:fldCharType="separate"/>
      </w:r>
      <w:r>
        <w:t>36</w:t>
      </w:r>
      <w:r>
        <w:fldChar w:fldCharType="end"/>
      </w:r>
    </w:p>
    <w:p>
      <w:pPr>
        <w:pStyle w:val="TOC8"/>
        <w:rPr>
          <w:rFonts w:asciiTheme="minorHAnsi" w:eastAsiaTheme="minorEastAsia" w:hAnsiTheme="minorHAnsi" w:cstheme="minorBidi"/>
          <w:szCs w:val="22"/>
        </w:rPr>
      </w:pPr>
      <w:r>
        <w:t>38.</w:t>
      </w:r>
      <w:r>
        <w:tab/>
        <w:t>Sewerage areas</w:t>
      </w:r>
      <w:r>
        <w:tab/>
      </w:r>
      <w:r>
        <w:fldChar w:fldCharType="begin"/>
      </w:r>
      <w:r>
        <w:instrText xml:space="preserve"> PAGEREF _Toc12277539 \h </w:instrText>
      </w:r>
      <w:r>
        <w:fldChar w:fldCharType="separate"/>
      </w:r>
      <w:r>
        <w:t>36</w:t>
      </w:r>
      <w:r>
        <w:fldChar w:fldCharType="end"/>
      </w:r>
    </w:p>
    <w:p>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_Toc12277540 \h </w:instrText>
      </w:r>
      <w:r>
        <w:fldChar w:fldCharType="separate"/>
      </w:r>
      <w:r>
        <w:t>37</w:t>
      </w:r>
      <w:r>
        <w:fldChar w:fldCharType="end"/>
      </w:r>
    </w:p>
    <w:p>
      <w:pPr>
        <w:pStyle w:val="TOC8"/>
        <w:rPr>
          <w:rFonts w:asciiTheme="minorHAnsi" w:eastAsiaTheme="minorEastAsia" w:hAnsiTheme="minorHAnsi" w:cstheme="minorBidi"/>
          <w:szCs w:val="22"/>
        </w:rPr>
      </w:pPr>
      <w:r>
        <w:t>40.</w:t>
      </w:r>
      <w:r>
        <w:tab/>
        <w:t>Classification of land</w:t>
      </w:r>
      <w:r>
        <w:tab/>
      </w:r>
      <w:r>
        <w:fldChar w:fldCharType="begin"/>
      </w:r>
      <w:r>
        <w:instrText xml:space="preserve"> PAGEREF _Toc12277541 \h </w:instrText>
      </w:r>
      <w:r>
        <w:fldChar w:fldCharType="separate"/>
      </w:r>
      <w:r>
        <w:t>38</w:t>
      </w:r>
      <w:r>
        <w:fldChar w:fldCharType="end"/>
      </w:r>
    </w:p>
    <w:p>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_Toc12277542 \h </w:instrText>
      </w:r>
      <w:r>
        <w:fldChar w:fldCharType="separate"/>
      </w:r>
      <w:r>
        <w:t>40</w:t>
      </w:r>
      <w:r>
        <w:fldChar w:fldCharType="end"/>
      </w:r>
    </w:p>
    <w:p>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_Toc12277543 \h </w:instrText>
      </w:r>
      <w:r>
        <w:fldChar w:fldCharType="separate"/>
      </w:r>
      <w:r>
        <w:t>40</w:t>
      </w:r>
      <w:r>
        <w:fldChar w:fldCharType="end"/>
      </w:r>
    </w:p>
    <w:p>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_Toc12277544 \h </w:instrText>
      </w:r>
      <w:r>
        <w:fldChar w:fldCharType="separate"/>
      </w:r>
      <w:r>
        <w:t>41</w:t>
      </w:r>
      <w:r>
        <w:fldChar w:fldCharType="end"/>
      </w:r>
    </w:p>
    <w:p>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_Toc12277545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Drainage charges</w:t>
      </w:r>
    </w:p>
    <w:p>
      <w:pPr>
        <w:pStyle w:val="TOC8"/>
        <w:rPr>
          <w:rFonts w:asciiTheme="minorHAnsi" w:eastAsiaTheme="minorEastAsia" w:hAnsiTheme="minorHAnsi" w:cstheme="minorBidi"/>
          <w:szCs w:val="22"/>
        </w:rPr>
      </w:pPr>
      <w:r>
        <w:t>45.</w:t>
      </w:r>
      <w:r>
        <w:tab/>
        <w:t>Drainage areas</w:t>
      </w:r>
      <w:r>
        <w:tab/>
      </w:r>
      <w:r>
        <w:fldChar w:fldCharType="begin"/>
      </w:r>
      <w:r>
        <w:instrText xml:space="preserve"> PAGEREF _Toc12277547 \h </w:instrText>
      </w:r>
      <w:r>
        <w:fldChar w:fldCharType="separate"/>
      </w:r>
      <w:r>
        <w:t>42</w:t>
      </w:r>
      <w:r>
        <w:fldChar w:fldCharType="end"/>
      </w:r>
    </w:p>
    <w:p>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_Toc12277548 \h </w:instrText>
      </w:r>
      <w:r>
        <w:fldChar w:fldCharType="separate"/>
      </w:r>
      <w:r>
        <w:t>44</w:t>
      </w:r>
      <w:r>
        <w:fldChar w:fldCharType="end"/>
      </w:r>
    </w:p>
    <w:p>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_Toc12277549 \h </w:instrText>
      </w:r>
      <w:r>
        <w:fldChar w:fldCharType="separate"/>
      </w:r>
      <w:r>
        <w:t>45</w:t>
      </w:r>
      <w:r>
        <w:fldChar w:fldCharType="end"/>
      </w:r>
    </w:p>
    <w:p>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_Toc12277550 \h </w:instrText>
      </w:r>
      <w:r>
        <w:fldChar w:fldCharType="separate"/>
      </w:r>
      <w:r>
        <w:t>45</w:t>
      </w:r>
      <w:r>
        <w:fldChar w:fldCharType="end"/>
      </w:r>
    </w:p>
    <w:p>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_Toc12277551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 — Irrigation charges</w:t>
      </w:r>
    </w:p>
    <w:p>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_Toc12277553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7 — Miscellaneous charges</w:t>
      </w:r>
    </w:p>
    <w:p>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_Toc12277555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6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Water Services (Water Corporations Charges) Regulations 2013</w:t>
      </w:r>
      <w:r>
        <w:t xml:space="preserve"> repealed</w:t>
      </w:r>
    </w:p>
    <w:p>
      <w:pPr>
        <w:pStyle w:val="TOC8"/>
        <w:rPr>
          <w:rFonts w:asciiTheme="minorHAnsi" w:eastAsiaTheme="minorEastAsia" w:hAnsiTheme="minorHAnsi" w:cstheme="minorBidi"/>
          <w:szCs w:val="22"/>
        </w:rPr>
      </w:pPr>
      <w:r>
        <w:t>52.</w:t>
      </w:r>
      <w:r>
        <w:tab/>
      </w:r>
      <w:r>
        <w:rPr>
          <w:i/>
        </w:rPr>
        <w:t>Water Services (Water Corporations Charges) Regulations 2013</w:t>
      </w:r>
      <w:r>
        <w:t xml:space="preserve"> repealed</w:t>
      </w:r>
      <w:r>
        <w:tab/>
      </w:r>
      <w:r>
        <w:fldChar w:fldCharType="begin"/>
      </w:r>
      <w:r>
        <w:instrText xml:space="preserve"> PAGEREF _Toc12277558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w:t>
      </w:r>
      <w:r>
        <w:rPr>
          <w:i/>
        </w:rPr>
        <w:t>Water Services (Water Corporations Charges) Regulations 2014</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53.</w:t>
      </w:r>
      <w:r>
        <w:tab/>
        <w:t xml:space="preserve">Application of the </w:t>
      </w:r>
      <w:r>
        <w:rPr>
          <w:i/>
        </w:rPr>
        <w:t>Interpretation Act 1984</w:t>
      </w:r>
      <w:r>
        <w:tab/>
      </w:r>
      <w:r>
        <w:fldChar w:fldCharType="begin"/>
      </w:r>
      <w:r>
        <w:instrText xml:space="preserve"> PAGEREF _Toc12277561 \h </w:instrText>
      </w:r>
      <w:r>
        <w:fldChar w:fldCharType="separate"/>
      </w:r>
      <w:r>
        <w:t>49</w:t>
      </w:r>
      <w:r>
        <w:fldChar w:fldCharType="end"/>
      </w:r>
    </w:p>
    <w:p>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_Toc12277562 \h </w:instrText>
      </w:r>
      <w:r>
        <w:fldChar w:fldCharType="separate"/>
      </w:r>
      <w:r>
        <w:t>49</w:t>
      </w:r>
      <w:r>
        <w:fldChar w:fldCharType="end"/>
      </w:r>
    </w:p>
    <w:p>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_Toc12277563 \h </w:instrText>
      </w:r>
      <w:r>
        <w:fldChar w:fldCharType="separate"/>
      </w:r>
      <w:r>
        <w:t>49</w:t>
      </w:r>
      <w:r>
        <w:fldChar w:fldCharType="end"/>
      </w:r>
    </w:p>
    <w:p>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_Toc12277564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Specific provisions</w:t>
      </w:r>
    </w:p>
    <w:p>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_Toc12277566 \h </w:instrText>
      </w:r>
      <w:r>
        <w:fldChar w:fldCharType="separate"/>
      </w:r>
      <w:r>
        <w:t>50</w:t>
      </w:r>
      <w:r>
        <w:fldChar w:fldCharType="end"/>
      </w:r>
    </w:p>
    <w:p>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_Toc12277567 \h </w:instrText>
      </w:r>
      <w:r>
        <w:fldChar w:fldCharType="separate"/>
      </w:r>
      <w:r>
        <w:t>50</w:t>
      </w:r>
      <w:r>
        <w:fldChar w:fldCharType="end"/>
      </w:r>
    </w:p>
    <w:p>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_Toc12277568 \h </w:instrText>
      </w:r>
      <w:r>
        <w:fldChar w:fldCharType="separate"/>
      </w:r>
      <w:r>
        <w:t>51</w:t>
      </w:r>
      <w:r>
        <w:fldChar w:fldCharType="end"/>
      </w:r>
    </w:p>
    <w:p>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_Toc12277569 \h </w:instrText>
      </w:r>
      <w:r>
        <w:fldChar w:fldCharType="separate"/>
      </w:r>
      <w:r>
        <w:t>51</w:t>
      </w:r>
      <w:r>
        <w:fldChar w:fldCharType="end"/>
      </w:r>
    </w:p>
    <w:p>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_Toc12277570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w:t>
      </w:r>
      <w:r>
        <w:rPr>
          <w:i/>
        </w:rPr>
        <w:t>Water Services (Water Corporations Charges) Amendment Regulations (No. 2) 2014</w:t>
      </w:r>
    </w:p>
    <w:p>
      <w:pPr>
        <w:pStyle w:val="TOC8"/>
        <w:rPr>
          <w:rFonts w:asciiTheme="minorHAnsi" w:eastAsiaTheme="minorEastAsia" w:hAnsiTheme="minorHAnsi" w:cstheme="minorBidi"/>
          <w:szCs w:val="22"/>
        </w:rPr>
      </w:pPr>
      <w:r>
        <w:t>62.</w:t>
      </w:r>
      <w:r>
        <w:tab/>
        <w:t>Application of r. 5</w:t>
      </w:r>
      <w:r>
        <w:tab/>
      </w:r>
      <w:r>
        <w:fldChar w:fldCharType="begin"/>
      </w:r>
      <w:r>
        <w:instrText xml:space="preserve"> PAGEREF _Toc12277572 \h </w:instrText>
      </w:r>
      <w:r>
        <w:fldChar w:fldCharType="separate"/>
      </w:r>
      <w:r>
        <w:t>52</w:t>
      </w:r>
      <w:r>
        <w:fldChar w:fldCharType="end"/>
      </w:r>
    </w:p>
    <w:p>
      <w:pPr>
        <w:pStyle w:val="TOC8"/>
        <w:rPr>
          <w:rFonts w:asciiTheme="minorHAnsi" w:eastAsiaTheme="minorEastAsia" w:hAnsiTheme="minorHAnsi" w:cstheme="minorBidi"/>
          <w:szCs w:val="22"/>
        </w:rPr>
      </w:pPr>
      <w:r>
        <w:t>63.</w:t>
      </w:r>
      <w:r>
        <w:tab/>
        <w:t>Reduction, waiver or refund of certain charges</w:t>
      </w:r>
      <w:r>
        <w:tab/>
      </w:r>
      <w:r>
        <w:fldChar w:fldCharType="begin"/>
      </w:r>
      <w:r>
        <w:instrText xml:space="preserve"> PAGEREF _Toc12277573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Bunbury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8"/>
        <w:rPr>
          <w:rFonts w:asciiTheme="minorHAnsi" w:eastAsiaTheme="minorEastAsia" w:hAnsiTheme="minorHAnsi" w:cstheme="minorBidi"/>
          <w:szCs w:val="22"/>
        </w:rPr>
      </w:pPr>
      <w:r>
        <w:t>1.</w:t>
      </w:r>
      <w:r>
        <w:tab/>
      </w:r>
      <w:r>
        <w:tab/>
        <w:t>Service charges for 2019/20 year and subsequent years</w:t>
      </w:r>
      <w:r>
        <w:tab/>
      </w:r>
      <w:r>
        <w:fldChar w:fldCharType="begin"/>
      </w:r>
      <w:r>
        <w:instrText xml:space="preserve"> PAGEREF _Toc12277576 \h </w:instrText>
      </w:r>
      <w:r>
        <w:fldChar w:fldCharType="separate"/>
      </w:r>
      <w:r>
        <w:t>54</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_Toc12277577 \h </w:instrText>
      </w:r>
      <w:r>
        <w:fldChar w:fldCharType="separate"/>
      </w:r>
      <w:r>
        <w:t>54</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_Toc12277578 \h </w:instrText>
      </w:r>
      <w:r>
        <w:fldChar w:fldCharType="separate"/>
      </w:r>
      <w:r>
        <w:t>54</w:t>
      </w:r>
      <w:r>
        <w:fldChar w:fldCharType="end"/>
      </w:r>
    </w:p>
    <w:p>
      <w:pPr>
        <w:pStyle w:val="TOC8"/>
        <w:rPr>
          <w:rFonts w:asciiTheme="minorHAnsi" w:eastAsiaTheme="minorEastAsia" w:hAnsiTheme="minorHAnsi" w:cstheme="minorBidi"/>
          <w:szCs w:val="22"/>
        </w:rPr>
      </w:pPr>
      <w:r>
        <w:t>4.</w:t>
      </w:r>
      <w:r>
        <w:tab/>
        <w:t>Fire service connections</w:t>
      </w:r>
      <w:r>
        <w:tab/>
      </w:r>
      <w:r>
        <w:fldChar w:fldCharType="begin"/>
      </w:r>
      <w:r>
        <w:instrText xml:space="preserve"> PAGEREF _Toc12277579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Consumption charges</w:t>
      </w:r>
    </w:p>
    <w:p>
      <w:pPr>
        <w:pStyle w:val="TOC8"/>
        <w:rPr>
          <w:rFonts w:asciiTheme="minorHAnsi" w:eastAsiaTheme="minorEastAsia" w:hAnsiTheme="minorHAnsi" w:cstheme="minorBidi"/>
          <w:szCs w:val="22"/>
        </w:rPr>
      </w:pPr>
      <w:r>
        <w:t>5.</w:t>
      </w:r>
      <w:r>
        <w:tab/>
        <w:t>Consumption charges for 2019/20 year and subsequent years</w:t>
      </w:r>
      <w:r>
        <w:tab/>
      </w:r>
      <w:r>
        <w:fldChar w:fldCharType="begin"/>
      </w:r>
      <w:r>
        <w:instrText xml:space="preserve"> PAGEREF _Toc12277581 \h </w:instrText>
      </w:r>
      <w:r>
        <w:fldChar w:fldCharType="separate"/>
      </w:r>
      <w:r>
        <w:t>55</w:t>
      </w:r>
      <w:r>
        <w:fldChar w:fldCharType="end"/>
      </w:r>
    </w:p>
    <w:p>
      <w:pPr>
        <w:pStyle w:val="TOC8"/>
        <w:rPr>
          <w:rFonts w:asciiTheme="minorHAnsi" w:eastAsiaTheme="minorEastAsia" w:hAnsiTheme="minorHAnsi" w:cstheme="minorBidi"/>
          <w:szCs w:val="22"/>
        </w:rPr>
      </w:pPr>
      <w:r>
        <w:t>6.</w:t>
      </w:r>
      <w:r>
        <w:tab/>
        <w:t>Residential lots</w:t>
      </w:r>
      <w:r>
        <w:tab/>
      </w:r>
      <w:r>
        <w:fldChar w:fldCharType="begin"/>
      </w:r>
      <w:r>
        <w:instrText xml:space="preserve"> PAGEREF _Toc12277582 \h </w:instrText>
      </w:r>
      <w:r>
        <w:fldChar w:fldCharType="separate"/>
      </w:r>
      <w:r>
        <w:t>55</w:t>
      </w:r>
      <w:r>
        <w:fldChar w:fldCharType="end"/>
      </w:r>
    </w:p>
    <w:p>
      <w:pPr>
        <w:pStyle w:val="TOC8"/>
        <w:rPr>
          <w:rFonts w:asciiTheme="minorHAnsi" w:eastAsiaTheme="minorEastAsia" w:hAnsiTheme="minorHAnsi" w:cstheme="minorBidi"/>
          <w:szCs w:val="22"/>
        </w:rPr>
      </w:pPr>
      <w:r>
        <w:t>7.</w:t>
      </w:r>
      <w:r>
        <w:tab/>
        <w:t>Non</w:t>
      </w:r>
      <w:r>
        <w:noBreakHyphen/>
        <w:t>residential lots</w:t>
      </w:r>
      <w:r>
        <w:tab/>
      </w:r>
      <w:r>
        <w:fldChar w:fldCharType="begin"/>
      </w:r>
      <w:r>
        <w:instrText xml:space="preserve"> PAGEREF _Toc12277583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2 — Charges for Busselton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8"/>
        <w:rPr>
          <w:rFonts w:asciiTheme="minorHAnsi" w:eastAsiaTheme="minorEastAsia" w:hAnsiTheme="minorHAnsi" w:cstheme="minorBidi"/>
          <w:szCs w:val="22"/>
        </w:rPr>
      </w:pPr>
      <w:r>
        <w:t>1.</w:t>
      </w:r>
      <w:r>
        <w:tab/>
        <w:t>Service charges for 2019/20 year and subsequent years</w:t>
      </w:r>
      <w:r>
        <w:tab/>
      </w:r>
      <w:r>
        <w:fldChar w:fldCharType="begin"/>
      </w:r>
      <w:r>
        <w:instrText xml:space="preserve"> PAGEREF _Toc12277586 \h </w:instrText>
      </w:r>
      <w:r>
        <w:fldChar w:fldCharType="separate"/>
      </w:r>
      <w:r>
        <w:t>56</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_Toc12277587 \h </w:instrText>
      </w:r>
      <w:r>
        <w:fldChar w:fldCharType="separate"/>
      </w:r>
      <w:r>
        <w:t>56</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_Toc12277588 \h </w:instrText>
      </w:r>
      <w:r>
        <w:fldChar w:fldCharType="separate"/>
      </w:r>
      <w:r>
        <w:t>56</w:t>
      </w:r>
      <w:r>
        <w:fldChar w:fldCharType="end"/>
      </w:r>
    </w:p>
    <w:p>
      <w:pPr>
        <w:pStyle w:val="TOC8"/>
        <w:rPr>
          <w:rFonts w:asciiTheme="minorHAnsi" w:eastAsiaTheme="minorEastAsia" w:hAnsiTheme="minorHAnsi" w:cstheme="minorBidi"/>
          <w:szCs w:val="22"/>
        </w:rPr>
      </w:pPr>
      <w:r>
        <w:t>4.</w:t>
      </w:r>
      <w:r>
        <w:tab/>
        <w:t>Vacant land</w:t>
      </w:r>
      <w:r>
        <w:tab/>
      </w:r>
      <w:r>
        <w:fldChar w:fldCharType="begin"/>
      </w:r>
      <w:r>
        <w:instrText xml:space="preserve"> PAGEREF _Toc12277589 \h </w:instrText>
      </w:r>
      <w:r>
        <w:fldChar w:fldCharType="separate"/>
      </w:r>
      <w:r>
        <w:t>56</w:t>
      </w:r>
      <w:r>
        <w:fldChar w:fldCharType="end"/>
      </w:r>
    </w:p>
    <w:p>
      <w:pPr>
        <w:pStyle w:val="TOC8"/>
        <w:rPr>
          <w:rFonts w:asciiTheme="minorHAnsi" w:eastAsiaTheme="minorEastAsia" w:hAnsiTheme="minorHAnsi" w:cstheme="minorBidi"/>
          <w:szCs w:val="22"/>
        </w:rPr>
      </w:pPr>
      <w:r>
        <w:t>5.</w:t>
      </w:r>
      <w:r>
        <w:tab/>
        <w:t>Fire service connections</w:t>
      </w:r>
      <w:r>
        <w:tab/>
      </w:r>
      <w:r>
        <w:fldChar w:fldCharType="begin"/>
      </w:r>
      <w:r>
        <w:instrText xml:space="preserve"> PAGEREF _Toc12277590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Consumption charges</w:t>
      </w:r>
    </w:p>
    <w:p>
      <w:pPr>
        <w:pStyle w:val="TOC8"/>
        <w:rPr>
          <w:rFonts w:asciiTheme="minorHAnsi" w:eastAsiaTheme="minorEastAsia" w:hAnsiTheme="minorHAnsi" w:cstheme="minorBidi"/>
          <w:szCs w:val="22"/>
        </w:rPr>
      </w:pPr>
      <w:r>
        <w:t>6.</w:t>
      </w:r>
      <w:r>
        <w:tab/>
        <w:t>Consumption charges for 2019/20 year and subsequent years</w:t>
      </w:r>
      <w:r>
        <w:tab/>
      </w:r>
      <w:r>
        <w:fldChar w:fldCharType="begin"/>
      </w:r>
      <w:r>
        <w:instrText xml:space="preserve"> PAGEREF _Toc12277592 \h </w:instrText>
      </w:r>
      <w:r>
        <w:fldChar w:fldCharType="separate"/>
      </w:r>
      <w:r>
        <w:t>57</w:t>
      </w:r>
      <w:r>
        <w:fldChar w:fldCharType="end"/>
      </w:r>
    </w:p>
    <w:p>
      <w:pPr>
        <w:pStyle w:val="TOC8"/>
        <w:rPr>
          <w:rFonts w:asciiTheme="minorHAnsi" w:eastAsiaTheme="minorEastAsia" w:hAnsiTheme="minorHAnsi" w:cstheme="minorBidi"/>
          <w:szCs w:val="22"/>
        </w:rPr>
      </w:pPr>
      <w:r>
        <w:t>7.</w:t>
      </w:r>
      <w:r>
        <w:tab/>
        <w:t>Residential lots</w:t>
      </w:r>
      <w:r>
        <w:tab/>
      </w:r>
      <w:r>
        <w:fldChar w:fldCharType="begin"/>
      </w:r>
      <w:r>
        <w:instrText xml:space="preserve"> PAGEREF _Toc12277593 \h </w:instrText>
      </w:r>
      <w:r>
        <w:fldChar w:fldCharType="separate"/>
      </w:r>
      <w:r>
        <w:t>57</w:t>
      </w:r>
      <w:r>
        <w:fldChar w:fldCharType="end"/>
      </w:r>
    </w:p>
    <w:p>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_Toc12277594 \h </w:instrText>
      </w:r>
      <w:r>
        <w:fldChar w:fldCharType="separate"/>
      </w:r>
      <w:r>
        <w:t>57</w:t>
      </w:r>
      <w:r>
        <w:fldChar w:fldCharType="end"/>
      </w:r>
    </w:p>
    <w:p>
      <w:pPr>
        <w:pStyle w:val="TOC8"/>
        <w:rPr>
          <w:rFonts w:asciiTheme="minorHAnsi" w:eastAsiaTheme="minorEastAsia" w:hAnsiTheme="minorHAnsi" w:cstheme="minorBidi"/>
          <w:szCs w:val="22"/>
        </w:rPr>
      </w:pPr>
      <w:r>
        <w:t>9.</w:t>
      </w:r>
      <w:r>
        <w:tab/>
        <w:t>Water supply service (fire)</w:t>
      </w:r>
      <w:r>
        <w:tab/>
      </w:r>
      <w:r>
        <w:fldChar w:fldCharType="begin"/>
      </w:r>
      <w:r>
        <w:instrText xml:space="preserve"> PAGEREF _Toc12277595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supply charges for the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Service charges for 2019/20 year and subsequent years</w:t>
      </w:r>
      <w:r>
        <w:tab/>
      </w:r>
      <w:r>
        <w:fldChar w:fldCharType="begin"/>
      </w:r>
      <w:r>
        <w:instrText xml:space="preserve"> PAGEREF _Toc12277599 \h </w:instrText>
      </w:r>
      <w:r>
        <w:fldChar w:fldCharType="separate"/>
      </w:r>
      <w:r>
        <w:t>58</w:t>
      </w:r>
      <w:r>
        <w:fldChar w:fldCharType="end"/>
      </w:r>
    </w:p>
    <w:p>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_Toc12277600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Service charges that apply for land</w:t>
      </w:r>
    </w:p>
    <w:p>
      <w:pPr>
        <w:pStyle w:val="TOC8"/>
        <w:rPr>
          <w:rFonts w:asciiTheme="minorHAnsi" w:eastAsiaTheme="minorEastAsia" w:hAnsiTheme="minorHAnsi" w:cstheme="minorBidi"/>
          <w:szCs w:val="22"/>
        </w:rPr>
      </w:pPr>
      <w:r>
        <w:t>3.</w:t>
      </w:r>
      <w:r>
        <w:tab/>
        <w:t>Residential</w:t>
      </w:r>
      <w:r>
        <w:tab/>
      </w:r>
      <w:r>
        <w:fldChar w:fldCharType="begin"/>
      </w:r>
      <w:r>
        <w:instrText xml:space="preserve"> PAGEREF _Toc12277602 \h </w:instrText>
      </w:r>
      <w:r>
        <w:fldChar w:fldCharType="separate"/>
      </w:r>
      <w:r>
        <w:t>59</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_Toc12277603 \h </w:instrText>
      </w:r>
      <w:r>
        <w:fldChar w:fldCharType="separate"/>
      </w:r>
      <w:r>
        <w:t>59</w:t>
      </w:r>
      <w:r>
        <w:fldChar w:fldCharType="end"/>
      </w:r>
    </w:p>
    <w:p>
      <w:pPr>
        <w:pStyle w:val="TOC8"/>
        <w:rPr>
          <w:rFonts w:asciiTheme="minorHAnsi" w:eastAsiaTheme="minorEastAsia" w:hAnsiTheme="minorHAnsi" w:cstheme="minorBidi"/>
          <w:szCs w:val="22"/>
        </w:rPr>
      </w:pPr>
      <w:r>
        <w:t>5.</w:t>
      </w:r>
      <w:r>
        <w:tab/>
        <w:t>Strata</w:t>
      </w:r>
      <w:r>
        <w:noBreakHyphen/>
        <w:t>titled or long</w:t>
      </w:r>
      <w:r>
        <w:noBreakHyphen/>
        <w:t>term residential caravan bays</w:t>
      </w:r>
      <w:r>
        <w:tab/>
      </w:r>
      <w:r>
        <w:fldChar w:fldCharType="begin"/>
      </w:r>
      <w:r>
        <w:instrText xml:space="preserve"> PAGEREF _Toc12277604 \h </w:instrText>
      </w:r>
      <w:r>
        <w:fldChar w:fldCharType="separate"/>
      </w:r>
      <w:r>
        <w:t>59</w:t>
      </w:r>
      <w:r>
        <w:fldChar w:fldCharType="end"/>
      </w:r>
    </w:p>
    <w:p>
      <w:pPr>
        <w:pStyle w:val="TOC8"/>
        <w:rPr>
          <w:rFonts w:asciiTheme="minorHAnsi" w:eastAsiaTheme="minorEastAsia" w:hAnsiTheme="minorHAnsi" w:cstheme="minorBidi"/>
          <w:szCs w:val="22"/>
        </w:rPr>
      </w:pPr>
      <w:r>
        <w:t>6.</w:t>
      </w:r>
      <w:r>
        <w:tab/>
        <w:t>Strata</w:t>
      </w:r>
      <w:r>
        <w:noBreakHyphen/>
        <w:t>titled storage units or parking bays</w:t>
      </w:r>
      <w:r>
        <w:tab/>
      </w:r>
      <w:r>
        <w:fldChar w:fldCharType="begin"/>
      </w:r>
      <w:r>
        <w:instrText xml:space="preserve"> PAGEREF _Toc12277605 \h </w:instrText>
      </w:r>
      <w:r>
        <w:fldChar w:fldCharType="separate"/>
      </w:r>
      <w:r>
        <w:t>59</w:t>
      </w:r>
      <w:r>
        <w:fldChar w:fldCharType="end"/>
      </w:r>
    </w:p>
    <w:p>
      <w:pPr>
        <w:pStyle w:val="TOC8"/>
        <w:rPr>
          <w:rFonts w:asciiTheme="minorHAnsi" w:eastAsiaTheme="minorEastAsia" w:hAnsiTheme="minorHAnsi" w:cstheme="minorBidi"/>
          <w:szCs w:val="22"/>
        </w:rPr>
      </w:pPr>
      <w:r>
        <w:t>7.</w:t>
      </w:r>
      <w:r>
        <w:tab/>
        <w:t>Non</w:t>
      </w:r>
      <w:r>
        <w:noBreakHyphen/>
        <w:t>residential strata</w:t>
      </w:r>
      <w:r>
        <w:noBreakHyphen/>
        <w:t>titled units that share a service</w:t>
      </w:r>
      <w:r>
        <w:tab/>
      </w:r>
      <w:r>
        <w:fldChar w:fldCharType="begin"/>
      </w:r>
      <w:r>
        <w:instrText xml:space="preserve"> PAGEREF _Toc12277606 \h </w:instrText>
      </w:r>
      <w:r>
        <w:fldChar w:fldCharType="separate"/>
      </w:r>
      <w:r>
        <w:t>60</w:t>
      </w:r>
      <w:r>
        <w:fldChar w:fldCharType="end"/>
      </w:r>
    </w:p>
    <w:p>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_Toc12277607 \h </w:instrText>
      </w:r>
      <w:r>
        <w:fldChar w:fldCharType="separate"/>
      </w:r>
      <w:r>
        <w:t>60</w:t>
      </w:r>
      <w:r>
        <w:fldChar w:fldCharType="end"/>
      </w:r>
    </w:p>
    <w:p>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_Toc12277608 \h </w:instrText>
      </w:r>
      <w:r>
        <w:fldChar w:fldCharType="separate"/>
      </w:r>
      <w:r>
        <w:t>60</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_Toc12277609 \h </w:instrText>
      </w:r>
      <w:r>
        <w:fldChar w:fldCharType="separate"/>
      </w:r>
      <w:r>
        <w:t>60</w:t>
      </w:r>
      <w:r>
        <w:fldChar w:fldCharType="end"/>
      </w:r>
    </w:p>
    <w:p>
      <w:pPr>
        <w:pStyle w:val="TOC8"/>
        <w:rPr>
          <w:rFonts w:asciiTheme="minorHAnsi" w:eastAsiaTheme="minorEastAsia" w:hAnsiTheme="minorHAnsi" w:cstheme="minorBidi"/>
          <w:szCs w:val="22"/>
        </w:rPr>
      </w:pPr>
      <w:r>
        <w:t>11.</w:t>
      </w:r>
      <w:r>
        <w:tab/>
        <w:t>Non</w:t>
      </w:r>
      <w:r>
        <w:noBreakHyphen/>
        <w:t>residential or commercial residential (except certain strata</w:t>
      </w:r>
      <w:r>
        <w:noBreakHyphen/>
        <w:t>titled units)</w:t>
      </w:r>
      <w:r>
        <w:tab/>
      </w:r>
      <w:r>
        <w:fldChar w:fldCharType="begin"/>
      </w:r>
      <w:r>
        <w:instrText xml:space="preserve"> PAGEREF _Toc12277610 \h </w:instrText>
      </w:r>
      <w:r>
        <w:fldChar w:fldCharType="separate"/>
      </w:r>
      <w:r>
        <w:t>61</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_Toc12277611 \h </w:instrText>
      </w:r>
      <w:r>
        <w:fldChar w:fldCharType="separate"/>
      </w:r>
      <w:r>
        <w:t>61</w:t>
      </w:r>
      <w:r>
        <w:fldChar w:fldCharType="end"/>
      </w:r>
    </w:p>
    <w:p>
      <w:pPr>
        <w:pStyle w:val="TOC8"/>
        <w:rPr>
          <w:rFonts w:asciiTheme="minorHAnsi" w:eastAsiaTheme="minorEastAsia" w:hAnsiTheme="minorHAnsi" w:cstheme="minorBidi"/>
          <w:szCs w:val="22"/>
        </w:rPr>
      </w:pPr>
      <w:r>
        <w:t>13.</w:t>
      </w:r>
      <w:r>
        <w:tab/>
        <w:t>Farmland</w:t>
      </w:r>
      <w:r>
        <w:tab/>
      </w:r>
      <w:r>
        <w:fldChar w:fldCharType="begin"/>
      </w:r>
      <w:r>
        <w:instrText xml:space="preserve"> PAGEREF _Toc12277612 \h </w:instrText>
      </w:r>
      <w:r>
        <w:fldChar w:fldCharType="separate"/>
      </w:r>
      <w:r>
        <w:t>62</w:t>
      </w:r>
      <w:r>
        <w:fldChar w:fldCharType="end"/>
      </w:r>
    </w:p>
    <w:p>
      <w:pPr>
        <w:pStyle w:val="TOC8"/>
        <w:rPr>
          <w:rFonts w:asciiTheme="minorHAnsi" w:eastAsiaTheme="minorEastAsia" w:hAnsiTheme="minorHAnsi" w:cstheme="minorBidi"/>
          <w:szCs w:val="22"/>
        </w:rPr>
      </w:pPr>
      <w:r>
        <w:t>14.</w:t>
      </w:r>
      <w:r>
        <w:tab/>
        <w:t>Vacant land</w:t>
      </w:r>
      <w:r>
        <w:tab/>
      </w:r>
      <w:r>
        <w:fldChar w:fldCharType="begin"/>
      </w:r>
      <w:r>
        <w:instrText xml:space="preserve"> PAGEREF _Toc12277613 \h </w:instrText>
      </w:r>
      <w:r>
        <w:fldChar w:fldCharType="separate"/>
      </w:r>
      <w:r>
        <w:t>62</w:t>
      </w:r>
      <w:r>
        <w:fldChar w:fldCharType="end"/>
      </w:r>
    </w:p>
    <w:p>
      <w:pPr>
        <w:pStyle w:val="TOC8"/>
        <w:rPr>
          <w:rFonts w:asciiTheme="minorHAnsi" w:eastAsiaTheme="minorEastAsia" w:hAnsiTheme="minorHAnsi" w:cstheme="minorBidi"/>
          <w:szCs w:val="22"/>
        </w:rPr>
      </w:pPr>
      <w:r>
        <w:t>15.</w:t>
      </w:r>
      <w:r>
        <w:tab/>
        <w:t>Garden service connections</w:t>
      </w:r>
      <w:r>
        <w:tab/>
      </w:r>
      <w:r>
        <w:fldChar w:fldCharType="begin"/>
      </w:r>
      <w:r>
        <w:instrText xml:space="preserve"> PAGEREF _Toc12277614 \h </w:instrText>
      </w:r>
      <w:r>
        <w:fldChar w:fldCharType="separate"/>
      </w:r>
      <w:r>
        <w:t>62</w:t>
      </w:r>
      <w:r>
        <w:fldChar w:fldCharType="end"/>
      </w:r>
    </w:p>
    <w:p>
      <w:pPr>
        <w:pStyle w:val="TOC8"/>
        <w:rPr>
          <w:rFonts w:asciiTheme="minorHAnsi" w:eastAsiaTheme="minorEastAsia" w:hAnsiTheme="minorHAnsi" w:cstheme="minorBidi"/>
          <w:szCs w:val="22"/>
        </w:rPr>
      </w:pPr>
      <w:r>
        <w:t>16.</w:t>
      </w:r>
      <w:r>
        <w:tab/>
        <w:t>Government trading organisations and non</w:t>
      </w:r>
      <w:r>
        <w:noBreakHyphen/>
        <w:t>commercial government property</w:t>
      </w:r>
      <w:r>
        <w:tab/>
      </w:r>
      <w:r>
        <w:fldChar w:fldCharType="begin"/>
      </w:r>
      <w:r>
        <w:instrText xml:space="preserve"> PAGEREF _Toc12277615 \h </w:instrText>
      </w:r>
      <w:r>
        <w:fldChar w:fldCharType="separate"/>
      </w:r>
      <w:r>
        <w:t>63</w:t>
      </w:r>
      <w:r>
        <w:fldChar w:fldCharType="end"/>
      </w:r>
    </w:p>
    <w:p>
      <w:pPr>
        <w:pStyle w:val="TOC8"/>
        <w:rPr>
          <w:rFonts w:asciiTheme="minorHAnsi" w:eastAsiaTheme="minorEastAsia" w:hAnsiTheme="minorHAnsi" w:cstheme="minorBidi"/>
          <w:szCs w:val="22"/>
        </w:rPr>
      </w:pPr>
      <w:r>
        <w:t>17.</w:t>
      </w:r>
      <w:r>
        <w:tab/>
        <w:t>Government trading organisations and non</w:t>
      </w:r>
      <w:r>
        <w:noBreakHyphen/>
        <w:t>commercial government property: on</w:t>
      </w:r>
      <w:r>
        <w:noBreakHyphen/>
        <w:t>supply to lessees or ships</w:t>
      </w:r>
      <w:r>
        <w:tab/>
      </w:r>
      <w:r>
        <w:fldChar w:fldCharType="begin"/>
      </w:r>
      <w:r>
        <w:instrText xml:space="preserve"> PAGEREF _Toc12277616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service charges</w:t>
      </w:r>
    </w:p>
    <w:p>
      <w:pPr>
        <w:pStyle w:val="TOC8"/>
        <w:rPr>
          <w:rFonts w:asciiTheme="minorHAnsi" w:eastAsiaTheme="minorEastAsia" w:hAnsiTheme="minorHAnsi" w:cstheme="minorBidi"/>
          <w:szCs w:val="22"/>
        </w:rPr>
      </w:pPr>
      <w:r>
        <w:t>18.</w:t>
      </w:r>
      <w:r>
        <w:tab/>
        <w:t>Stock</w:t>
      </w:r>
      <w:r>
        <w:tab/>
      </w:r>
      <w:r>
        <w:fldChar w:fldCharType="begin"/>
      </w:r>
      <w:r>
        <w:instrText xml:space="preserve"> PAGEREF _Toc12277618 \h </w:instrText>
      </w:r>
      <w:r>
        <w:fldChar w:fldCharType="separate"/>
      </w:r>
      <w:r>
        <w:t>64</w:t>
      </w:r>
      <w:r>
        <w:fldChar w:fldCharType="end"/>
      </w:r>
    </w:p>
    <w:p>
      <w:pPr>
        <w:pStyle w:val="TOC8"/>
        <w:rPr>
          <w:rFonts w:asciiTheme="minorHAnsi" w:eastAsiaTheme="minorEastAsia" w:hAnsiTheme="minorHAnsi" w:cstheme="minorBidi"/>
          <w:szCs w:val="22"/>
        </w:rPr>
      </w:pPr>
      <w:r>
        <w:t>19.</w:t>
      </w:r>
      <w:r>
        <w:tab/>
        <w:t>Shipping</w:t>
      </w:r>
      <w:r>
        <w:tab/>
      </w:r>
      <w:r>
        <w:fldChar w:fldCharType="begin"/>
      </w:r>
      <w:r>
        <w:instrText xml:space="preserve"> PAGEREF _Toc12277619 \h </w:instrText>
      </w:r>
      <w:r>
        <w:fldChar w:fldCharType="separate"/>
      </w:r>
      <w:r>
        <w:t>65</w:t>
      </w:r>
      <w:r>
        <w:fldChar w:fldCharType="end"/>
      </w:r>
    </w:p>
    <w:p>
      <w:pPr>
        <w:pStyle w:val="TOC8"/>
        <w:rPr>
          <w:rFonts w:asciiTheme="minorHAnsi" w:eastAsiaTheme="minorEastAsia" w:hAnsiTheme="minorHAnsi" w:cstheme="minorBidi"/>
          <w:szCs w:val="22"/>
        </w:rPr>
      </w:pPr>
      <w:r>
        <w:t>20.</w:t>
      </w:r>
      <w:r>
        <w:tab/>
        <w:t>Local government standpipes</w:t>
      </w:r>
      <w:r>
        <w:tab/>
      </w:r>
      <w:r>
        <w:fldChar w:fldCharType="begin"/>
      </w:r>
      <w:r>
        <w:instrText xml:space="preserve"> PAGEREF _Toc12277620 \h </w:instrText>
      </w:r>
      <w:r>
        <w:fldChar w:fldCharType="separate"/>
      </w:r>
      <w:r>
        <w:t>65</w:t>
      </w:r>
      <w:r>
        <w:fldChar w:fldCharType="end"/>
      </w:r>
    </w:p>
    <w:p>
      <w:pPr>
        <w:pStyle w:val="TOC8"/>
        <w:rPr>
          <w:rFonts w:asciiTheme="minorHAnsi" w:eastAsiaTheme="minorEastAsia" w:hAnsiTheme="minorHAnsi" w:cstheme="minorBidi"/>
          <w:szCs w:val="22"/>
        </w:rPr>
      </w:pPr>
      <w:r>
        <w:t>21.</w:t>
      </w:r>
      <w:r>
        <w:tab/>
        <w:t>Fire service connections</w:t>
      </w:r>
      <w:r>
        <w:tab/>
      </w:r>
      <w:r>
        <w:fldChar w:fldCharType="begin"/>
      </w:r>
      <w:r>
        <w:instrText xml:space="preserve"> PAGEREF _Toc12277621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22.</w:t>
      </w:r>
      <w:r>
        <w:tab/>
        <w:t>Consumption charges for 2019/20 year and subsequent years</w:t>
      </w:r>
      <w:r>
        <w:tab/>
      </w:r>
      <w:r>
        <w:fldChar w:fldCharType="begin"/>
      </w:r>
      <w:r>
        <w:instrText xml:space="preserve"> PAGEREF _Toc12277624 \h </w:instrText>
      </w:r>
      <w:r>
        <w:fldChar w:fldCharType="separate"/>
      </w:r>
      <w:r>
        <w:t>65</w:t>
      </w:r>
      <w:r>
        <w:fldChar w:fldCharType="end"/>
      </w:r>
    </w:p>
    <w:p>
      <w:pPr>
        <w:pStyle w:val="TOC8"/>
        <w:rPr>
          <w:rFonts w:asciiTheme="minorHAnsi" w:eastAsiaTheme="minorEastAsia" w:hAnsiTheme="minorHAnsi" w:cstheme="minorBidi"/>
          <w:szCs w:val="22"/>
        </w:rPr>
      </w:pPr>
      <w:r>
        <w:t>23.</w:t>
      </w:r>
      <w:r>
        <w:tab/>
        <w:t>Residential or non</w:t>
      </w:r>
      <w:r>
        <w:noBreakHyphen/>
        <w:t>residential class of town or area</w:t>
      </w:r>
      <w:r>
        <w:tab/>
      </w:r>
      <w:r>
        <w:fldChar w:fldCharType="begin"/>
      </w:r>
      <w:r>
        <w:instrText xml:space="preserve"> PAGEREF _Toc12277625 \h </w:instrText>
      </w:r>
      <w:r>
        <w:fldChar w:fldCharType="separate"/>
      </w:r>
      <w:r>
        <w:t>65</w:t>
      </w:r>
      <w:r>
        <w:fldChar w:fldCharType="end"/>
      </w:r>
    </w:p>
    <w:p>
      <w:pPr>
        <w:pStyle w:val="TOC8"/>
        <w:rPr>
          <w:rFonts w:asciiTheme="minorHAnsi" w:eastAsiaTheme="minorEastAsia" w:hAnsiTheme="minorHAnsi" w:cstheme="minorBidi"/>
          <w:szCs w:val="22"/>
        </w:rPr>
      </w:pPr>
      <w:r>
        <w:t>24.</w:t>
      </w:r>
      <w:r>
        <w:tab/>
        <w:t>Table of class</w:t>
      </w:r>
      <w:r>
        <w:noBreakHyphen/>
        <w:t>based charges</w:t>
      </w:r>
      <w:r>
        <w:tab/>
      </w:r>
      <w:r>
        <w:fldChar w:fldCharType="begin"/>
      </w:r>
      <w:r>
        <w:instrText xml:space="preserve"> PAGEREF _Toc12277626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Consumption charges that apply to land</w:t>
      </w:r>
    </w:p>
    <w:p>
      <w:pPr>
        <w:pStyle w:val="TOC8"/>
        <w:rPr>
          <w:rFonts w:asciiTheme="minorHAnsi" w:eastAsiaTheme="minorEastAsia" w:hAnsiTheme="minorHAnsi" w:cstheme="minorBidi"/>
          <w:szCs w:val="22"/>
        </w:rPr>
      </w:pPr>
      <w:r>
        <w:t>25.</w:t>
      </w:r>
      <w:r>
        <w:tab/>
        <w:t>Metropolitan residential and semi</w:t>
      </w:r>
      <w:r>
        <w:noBreakHyphen/>
        <w:t>rural residential</w:t>
      </w:r>
      <w:r>
        <w:tab/>
      </w:r>
      <w:r>
        <w:fldChar w:fldCharType="begin"/>
      </w:r>
      <w:r>
        <w:instrText xml:space="preserve"> PAGEREF _Toc12277628 \h </w:instrText>
      </w:r>
      <w:r>
        <w:fldChar w:fldCharType="separate"/>
      </w:r>
      <w:r>
        <w:t>66</w:t>
      </w:r>
      <w:r>
        <w:fldChar w:fldCharType="end"/>
      </w:r>
    </w:p>
    <w:p>
      <w:pPr>
        <w:pStyle w:val="TOC8"/>
        <w:rPr>
          <w:rFonts w:asciiTheme="minorHAnsi" w:eastAsiaTheme="minorEastAsia" w:hAnsiTheme="minorHAnsi" w:cstheme="minorBidi"/>
          <w:szCs w:val="22"/>
        </w:rPr>
      </w:pPr>
      <w:r>
        <w:t>26.</w:t>
      </w:r>
      <w:r>
        <w:tab/>
        <w:t>Metropolitan non</w:t>
      </w:r>
      <w:r>
        <w:noBreakHyphen/>
        <w:t>residential</w:t>
      </w:r>
      <w:r>
        <w:tab/>
      </w:r>
      <w:r>
        <w:fldChar w:fldCharType="begin"/>
      </w:r>
      <w:r>
        <w:instrText xml:space="preserve"> PAGEREF _Toc12277629 \h </w:instrText>
      </w:r>
      <w:r>
        <w:fldChar w:fldCharType="separate"/>
      </w:r>
      <w:r>
        <w:t>67</w:t>
      </w:r>
      <w:r>
        <w:fldChar w:fldCharType="end"/>
      </w:r>
    </w:p>
    <w:p>
      <w:pPr>
        <w:pStyle w:val="TOC8"/>
        <w:rPr>
          <w:rFonts w:asciiTheme="minorHAnsi" w:eastAsiaTheme="minorEastAsia" w:hAnsiTheme="minorHAnsi" w:cstheme="minorBidi"/>
          <w:szCs w:val="22"/>
        </w:rPr>
      </w:pPr>
      <w:r>
        <w:t>27.</w:t>
      </w:r>
      <w:r>
        <w:tab/>
        <w:t>Metropolitan non</w:t>
      </w:r>
      <w:r>
        <w:noBreakHyphen/>
        <w:t>residential concessional</w:t>
      </w:r>
      <w:r>
        <w:tab/>
      </w:r>
      <w:r>
        <w:fldChar w:fldCharType="begin"/>
      </w:r>
      <w:r>
        <w:instrText xml:space="preserve"> PAGEREF _Toc12277630 \h </w:instrText>
      </w:r>
      <w:r>
        <w:fldChar w:fldCharType="separate"/>
      </w:r>
      <w:r>
        <w:t>67</w:t>
      </w:r>
      <w:r>
        <w:fldChar w:fldCharType="end"/>
      </w:r>
    </w:p>
    <w:p>
      <w:pPr>
        <w:pStyle w:val="TOC8"/>
        <w:rPr>
          <w:rFonts w:asciiTheme="minorHAnsi" w:eastAsiaTheme="minorEastAsia" w:hAnsiTheme="minorHAnsi" w:cstheme="minorBidi"/>
          <w:szCs w:val="22"/>
        </w:rPr>
      </w:pPr>
      <w:r>
        <w:t>28.</w:t>
      </w:r>
      <w:r>
        <w:tab/>
        <w:t>Community residential</w:t>
      </w:r>
      <w:r>
        <w:tab/>
      </w:r>
      <w:r>
        <w:fldChar w:fldCharType="begin"/>
      </w:r>
      <w:r>
        <w:instrText xml:space="preserve"> PAGEREF _Toc12277631 \h </w:instrText>
      </w:r>
      <w:r>
        <w:fldChar w:fldCharType="separate"/>
      </w:r>
      <w:r>
        <w:t>68</w:t>
      </w:r>
      <w:r>
        <w:fldChar w:fldCharType="end"/>
      </w:r>
    </w:p>
    <w:p>
      <w:pPr>
        <w:pStyle w:val="TOC8"/>
        <w:rPr>
          <w:rFonts w:asciiTheme="minorHAnsi" w:eastAsiaTheme="minorEastAsia" w:hAnsiTheme="minorHAnsi" w:cstheme="minorBidi"/>
          <w:szCs w:val="22"/>
        </w:rPr>
      </w:pPr>
      <w:r>
        <w:t>29.</w:t>
      </w:r>
      <w:r>
        <w:tab/>
        <w:t>Non</w:t>
      </w:r>
      <w:r>
        <w:noBreakHyphen/>
        <w:t>metropolitan residential</w:t>
      </w:r>
      <w:r>
        <w:tab/>
      </w:r>
      <w:r>
        <w:fldChar w:fldCharType="begin"/>
      </w:r>
      <w:r>
        <w:instrText xml:space="preserve"> PAGEREF _Toc12277632 \h </w:instrText>
      </w:r>
      <w:r>
        <w:fldChar w:fldCharType="separate"/>
      </w:r>
      <w:r>
        <w:t>69</w:t>
      </w:r>
      <w:r>
        <w:fldChar w:fldCharType="end"/>
      </w:r>
    </w:p>
    <w:p>
      <w:pPr>
        <w:pStyle w:val="TOC8"/>
        <w:rPr>
          <w:rFonts w:asciiTheme="minorHAnsi" w:eastAsiaTheme="minorEastAsia" w:hAnsiTheme="minorHAnsi" w:cstheme="minorBidi"/>
          <w:szCs w:val="22"/>
        </w:rPr>
      </w:pPr>
      <w:r>
        <w:t>30.</w:t>
      </w:r>
      <w:r>
        <w:tab/>
        <w:t>Non</w:t>
      </w:r>
      <w:r>
        <w:noBreakHyphen/>
        <w:t>metropolitan non</w:t>
      </w:r>
      <w:r>
        <w:noBreakHyphen/>
        <w:t>residential</w:t>
      </w:r>
      <w:r>
        <w:tab/>
      </w:r>
      <w:r>
        <w:fldChar w:fldCharType="begin"/>
      </w:r>
      <w:r>
        <w:instrText xml:space="preserve"> PAGEREF _Toc12277633 \h </w:instrText>
      </w:r>
      <w:r>
        <w:fldChar w:fldCharType="separate"/>
      </w:r>
      <w:r>
        <w:t>71</w:t>
      </w:r>
      <w:r>
        <w:fldChar w:fldCharType="end"/>
      </w:r>
    </w:p>
    <w:p>
      <w:pPr>
        <w:pStyle w:val="TOC8"/>
        <w:rPr>
          <w:rFonts w:asciiTheme="minorHAnsi" w:eastAsiaTheme="minorEastAsia" w:hAnsiTheme="minorHAnsi" w:cstheme="minorBidi"/>
          <w:szCs w:val="22"/>
        </w:rPr>
      </w:pPr>
      <w:r>
        <w:t>31.</w:t>
      </w:r>
      <w:r>
        <w:tab/>
        <w:t>Non</w:t>
      </w:r>
      <w:r>
        <w:noBreakHyphen/>
        <w:t>metropolitan residential concessional</w:t>
      </w:r>
      <w:r>
        <w:tab/>
      </w:r>
      <w:r>
        <w:fldChar w:fldCharType="begin"/>
      </w:r>
      <w:r>
        <w:instrText xml:space="preserve"> PAGEREF _Toc12277634 \h </w:instrText>
      </w:r>
      <w:r>
        <w:fldChar w:fldCharType="separate"/>
      </w:r>
      <w:r>
        <w:t>72</w:t>
      </w:r>
      <w:r>
        <w:fldChar w:fldCharType="end"/>
      </w:r>
    </w:p>
    <w:p>
      <w:pPr>
        <w:pStyle w:val="TOC8"/>
        <w:rPr>
          <w:rFonts w:asciiTheme="minorHAnsi" w:eastAsiaTheme="minorEastAsia" w:hAnsiTheme="minorHAnsi" w:cstheme="minorBidi"/>
          <w:szCs w:val="22"/>
        </w:rPr>
      </w:pPr>
      <w:r>
        <w:t>32.</w:t>
      </w:r>
      <w:r>
        <w:tab/>
        <w:t>Strata</w:t>
      </w:r>
      <w:r>
        <w:noBreakHyphen/>
        <w:t>titled or long</w:t>
      </w:r>
      <w:r>
        <w:noBreakHyphen/>
        <w:t>term residential caravan bays</w:t>
      </w:r>
      <w:r>
        <w:tab/>
      </w:r>
      <w:r>
        <w:fldChar w:fldCharType="begin"/>
      </w:r>
      <w:r>
        <w:instrText xml:space="preserve"> PAGEREF _Toc12277635 \h </w:instrText>
      </w:r>
      <w:r>
        <w:fldChar w:fldCharType="separate"/>
      </w:r>
      <w:r>
        <w:t>72</w:t>
      </w:r>
      <w:r>
        <w:fldChar w:fldCharType="end"/>
      </w:r>
    </w:p>
    <w:p>
      <w:pPr>
        <w:pStyle w:val="TOC8"/>
        <w:rPr>
          <w:rFonts w:asciiTheme="minorHAnsi" w:eastAsiaTheme="minorEastAsia" w:hAnsiTheme="minorHAnsi" w:cstheme="minorBidi"/>
          <w:szCs w:val="22"/>
        </w:rPr>
      </w:pPr>
      <w:r>
        <w:t>33.</w:t>
      </w:r>
      <w:r>
        <w:tab/>
        <w:t>Government trading organisations and non</w:t>
      </w:r>
      <w:r>
        <w:noBreakHyphen/>
        <w:t>commercial government property</w:t>
      </w:r>
      <w:r>
        <w:tab/>
      </w:r>
      <w:r>
        <w:fldChar w:fldCharType="begin"/>
      </w:r>
      <w:r>
        <w:instrText xml:space="preserve"> PAGEREF _Toc12277636 \h </w:instrText>
      </w:r>
      <w:r>
        <w:fldChar w:fldCharType="separate"/>
      </w:r>
      <w:r>
        <w:t>72</w:t>
      </w:r>
      <w:r>
        <w:fldChar w:fldCharType="end"/>
      </w:r>
    </w:p>
    <w:p>
      <w:pPr>
        <w:pStyle w:val="TOC8"/>
        <w:rPr>
          <w:rFonts w:asciiTheme="minorHAnsi" w:eastAsiaTheme="minorEastAsia" w:hAnsiTheme="minorHAnsi" w:cstheme="minorBidi"/>
          <w:szCs w:val="22"/>
        </w:rPr>
      </w:pPr>
      <w:r>
        <w:t>34.</w:t>
      </w:r>
      <w:r>
        <w:tab/>
        <w:t>Coral Bay desalinated</w:t>
      </w:r>
      <w:r>
        <w:tab/>
      </w:r>
      <w:r>
        <w:fldChar w:fldCharType="begin"/>
      </w:r>
      <w:r>
        <w:instrText xml:space="preserve"> PAGEREF _Toc12277637 \h </w:instrText>
      </w:r>
      <w:r>
        <w:fldChar w:fldCharType="separate"/>
      </w:r>
      <w:r>
        <w:t>73</w:t>
      </w:r>
      <w:r>
        <w:fldChar w:fldCharType="end"/>
      </w:r>
    </w:p>
    <w:p>
      <w:pPr>
        <w:pStyle w:val="TOC8"/>
        <w:rPr>
          <w:rFonts w:asciiTheme="minorHAnsi" w:eastAsiaTheme="minorEastAsia" w:hAnsiTheme="minorHAnsi" w:cstheme="minorBidi"/>
          <w:szCs w:val="22"/>
        </w:rPr>
      </w:pPr>
      <w:r>
        <w:t>35.</w:t>
      </w:r>
      <w:r>
        <w:tab/>
        <w:t>Denham desalinated</w:t>
      </w:r>
      <w:r>
        <w:tab/>
      </w:r>
      <w:r>
        <w:fldChar w:fldCharType="begin"/>
      </w:r>
      <w:r>
        <w:instrText xml:space="preserve"> PAGEREF _Toc12277638 \h </w:instrText>
      </w:r>
      <w:r>
        <w:fldChar w:fldCharType="separate"/>
      </w:r>
      <w:r>
        <w:t>73</w:t>
      </w:r>
      <w:r>
        <w:fldChar w:fldCharType="end"/>
      </w:r>
    </w:p>
    <w:p>
      <w:pPr>
        <w:pStyle w:val="TOC8"/>
        <w:rPr>
          <w:rFonts w:asciiTheme="minorHAnsi" w:eastAsiaTheme="minorEastAsia" w:hAnsiTheme="minorHAnsi" w:cstheme="minorBidi"/>
          <w:szCs w:val="22"/>
        </w:rPr>
      </w:pPr>
      <w:r>
        <w:t>36.</w:t>
      </w:r>
      <w:r>
        <w:tab/>
        <w:t>Garden service connection in Mulataga, Karratha</w:t>
      </w:r>
      <w:r>
        <w:tab/>
      </w:r>
      <w:r>
        <w:fldChar w:fldCharType="begin"/>
      </w:r>
      <w:r>
        <w:instrText xml:space="preserve"> PAGEREF _Toc12277639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consumption charges</w:t>
      </w:r>
    </w:p>
    <w:p>
      <w:pPr>
        <w:pStyle w:val="TOC8"/>
        <w:rPr>
          <w:rFonts w:asciiTheme="minorHAnsi" w:eastAsiaTheme="minorEastAsia" w:hAnsiTheme="minorHAnsi" w:cstheme="minorBidi"/>
          <w:szCs w:val="22"/>
        </w:rPr>
      </w:pPr>
      <w:r>
        <w:t>37.</w:t>
      </w:r>
      <w:r>
        <w:tab/>
        <w:t>Local government standpipes</w:t>
      </w:r>
      <w:r>
        <w:tab/>
      </w:r>
      <w:r>
        <w:fldChar w:fldCharType="begin"/>
      </w:r>
      <w:r>
        <w:instrText xml:space="preserve"> PAGEREF _Toc12277641 \h </w:instrText>
      </w:r>
      <w:r>
        <w:fldChar w:fldCharType="separate"/>
      </w:r>
      <w:r>
        <w:t>74</w:t>
      </w:r>
      <w:r>
        <w:fldChar w:fldCharType="end"/>
      </w:r>
    </w:p>
    <w:p>
      <w:pPr>
        <w:pStyle w:val="TOC8"/>
        <w:rPr>
          <w:rFonts w:asciiTheme="minorHAnsi" w:eastAsiaTheme="minorEastAsia" w:hAnsiTheme="minorHAnsi" w:cstheme="minorBidi"/>
          <w:szCs w:val="22"/>
        </w:rPr>
      </w:pPr>
      <w:r>
        <w:t>38.</w:t>
      </w:r>
      <w:r>
        <w:tab/>
        <w:t>Shipping</w:t>
      </w:r>
      <w:r>
        <w:tab/>
      </w:r>
      <w:r>
        <w:fldChar w:fldCharType="begin"/>
      </w:r>
      <w:r>
        <w:instrText xml:space="preserve"> PAGEREF _Toc12277642 \h </w:instrText>
      </w:r>
      <w:r>
        <w:fldChar w:fldCharType="separate"/>
      </w:r>
      <w:r>
        <w:t>74</w:t>
      </w:r>
      <w:r>
        <w:fldChar w:fldCharType="end"/>
      </w:r>
    </w:p>
    <w:p>
      <w:pPr>
        <w:pStyle w:val="TOC8"/>
        <w:rPr>
          <w:rFonts w:asciiTheme="minorHAnsi" w:eastAsiaTheme="minorEastAsia" w:hAnsiTheme="minorHAnsi" w:cstheme="minorBidi"/>
          <w:szCs w:val="22"/>
        </w:rPr>
      </w:pPr>
      <w:r>
        <w:t>39.</w:t>
      </w:r>
      <w:r>
        <w:tab/>
        <w:t>Stock</w:t>
      </w:r>
      <w:r>
        <w:tab/>
      </w:r>
      <w:r>
        <w:fldChar w:fldCharType="begin"/>
      </w:r>
      <w:r>
        <w:instrText xml:space="preserve"> PAGEREF _Toc12277643 \h </w:instrText>
      </w:r>
      <w:r>
        <w:fldChar w:fldCharType="separate"/>
      </w:r>
      <w:r>
        <w:t>75</w:t>
      </w:r>
      <w:r>
        <w:fldChar w:fldCharType="end"/>
      </w:r>
    </w:p>
    <w:p>
      <w:pPr>
        <w:pStyle w:val="TOC8"/>
        <w:rPr>
          <w:rFonts w:asciiTheme="minorHAnsi" w:eastAsiaTheme="minorEastAsia" w:hAnsiTheme="minorHAnsi" w:cstheme="minorBidi"/>
          <w:szCs w:val="22"/>
        </w:rPr>
      </w:pPr>
      <w:r>
        <w:t>40.</w:t>
      </w:r>
      <w:r>
        <w:tab/>
        <w:t>Hydrant standpipes</w:t>
      </w:r>
      <w:r>
        <w:tab/>
      </w:r>
      <w:r>
        <w:fldChar w:fldCharType="begin"/>
      </w:r>
      <w:r>
        <w:instrText xml:space="preserve"> PAGEREF _Toc12277644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4 — Sewerage charges for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2019/20 year and subsequent years</w:t>
      </w:r>
      <w:r>
        <w:tab/>
      </w:r>
      <w:r>
        <w:fldChar w:fldCharType="begin"/>
      </w:r>
      <w:r>
        <w:instrText xml:space="preserve"> PAGEREF _Toc12277647 \h </w:instrText>
      </w:r>
      <w:r>
        <w:fldChar w:fldCharType="separate"/>
      </w:r>
      <w:r>
        <w:t>76</w:t>
      </w:r>
      <w:r>
        <w:fldChar w:fldCharType="end"/>
      </w:r>
    </w:p>
    <w:p>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_Toc12277648 \h </w:instrText>
      </w:r>
      <w:r>
        <w:fldChar w:fldCharType="separate"/>
      </w:r>
      <w:r>
        <w:t>76</w:t>
      </w:r>
      <w:r>
        <w:fldChar w:fldCharType="end"/>
      </w:r>
    </w:p>
    <w:p>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_Toc12277649 \h </w:instrText>
      </w:r>
      <w:r>
        <w:fldChar w:fldCharType="separate"/>
      </w:r>
      <w:r>
        <w:t>76</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_Toc12277650 \h </w:instrText>
      </w:r>
      <w:r>
        <w:fldChar w:fldCharType="separate"/>
      </w:r>
      <w:r>
        <w:t>77</w:t>
      </w:r>
      <w:r>
        <w:fldChar w:fldCharType="end"/>
      </w:r>
    </w:p>
    <w:p>
      <w:pPr>
        <w:pStyle w:val="TOC8"/>
        <w:rPr>
          <w:rFonts w:asciiTheme="minorHAnsi" w:eastAsiaTheme="minorEastAsia" w:hAnsiTheme="minorHAnsi" w:cstheme="minorBidi"/>
          <w:szCs w:val="22"/>
        </w:rPr>
      </w:pPr>
      <w:r>
        <w:t>5.</w:t>
      </w:r>
      <w:r>
        <w:tab/>
        <w:t>Strata</w:t>
      </w:r>
      <w:r>
        <w:noBreakHyphen/>
        <w:t>titled caravan bay</w:t>
      </w:r>
      <w:r>
        <w:tab/>
      </w:r>
      <w:r>
        <w:fldChar w:fldCharType="begin"/>
      </w:r>
      <w:r>
        <w:instrText xml:space="preserve"> PAGEREF _Toc12277651 \h </w:instrText>
      </w:r>
      <w:r>
        <w:fldChar w:fldCharType="separate"/>
      </w:r>
      <w:r>
        <w:t>77</w:t>
      </w:r>
      <w:r>
        <w:fldChar w:fldCharType="end"/>
      </w:r>
    </w:p>
    <w:p>
      <w:pPr>
        <w:pStyle w:val="TOC8"/>
        <w:rPr>
          <w:rFonts w:asciiTheme="minorHAnsi" w:eastAsiaTheme="minorEastAsia" w:hAnsiTheme="minorHAnsi" w:cstheme="minorBidi"/>
          <w:szCs w:val="22"/>
        </w:rPr>
      </w:pPr>
      <w:r>
        <w:t>6.</w:t>
      </w:r>
      <w:r>
        <w:tab/>
        <w:t>Strata</w:t>
      </w:r>
      <w:r>
        <w:noBreakHyphen/>
        <w:t>titled storage unit or strata</w:t>
      </w:r>
      <w:r>
        <w:noBreakHyphen/>
        <w:t>titled parking bay</w:t>
      </w:r>
      <w:r>
        <w:tab/>
      </w:r>
      <w:r>
        <w:fldChar w:fldCharType="begin"/>
      </w:r>
      <w:r>
        <w:instrText xml:space="preserve"> PAGEREF _Toc12277652 \h </w:instrText>
      </w:r>
      <w:r>
        <w:fldChar w:fldCharType="separate"/>
      </w:r>
      <w:r>
        <w:t>77</w:t>
      </w:r>
      <w:r>
        <w:fldChar w:fldCharType="end"/>
      </w:r>
    </w:p>
    <w:p>
      <w:pPr>
        <w:pStyle w:val="TOC8"/>
        <w:rPr>
          <w:rFonts w:asciiTheme="minorHAnsi" w:eastAsiaTheme="minorEastAsia" w:hAnsiTheme="minorHAnsi" w:cstheme="minorBidi"/>
          <w:szCs w:val="22"/>
        </w:rPr>
      </w:pPr>
      <w:r>
        <w:t>7.</w:t>
      </w:r>
      <w:r>
        <w:tab/>
        <w:t>Land from which trade waste is discharged into sewer</w:t>
      </w:r>
      <w:r>
        <w:tab/>
      </w:r>
      <w:r>
        <w:fldChar w:fldCharType="begin"/>
      </w:r>
      <w:r>
        <w:instrText xml:space="preserve"> PAGEREF _Toc12277653 \h </w:instrText>
      </w:r>
      <w:r>
        <w:fldChar w:fldCharType="separate"/>
      </w:r>
      <w:r>
        <w:t>77</w:t>
      </w:r>
      <w:r>
        <w:fldChar w:fldCharType="end"/>
      </w:r>
    </w:p>
    <w:p>
      <w:pPr>
        <w:pStyle w:val="TOC8"/>
        <w:rPr>
          <w:rFonts w:asciiTheme="minorHAnsi" w:eastAsiaTheme="minorEastAsia" w:hAnsiTheme="minorHAnsi" w:cstheme="minorBidi"/>
          <w:szCs w:val="22"/>
        </w:rPr>
      </w:pPr>
      <w:r>
        <w:t>8.</w:t>
      </w:r>
      <w:r>
        <w:tab/>
        <w:t>Land from which trade waste is discharged into sewer through grease arrestor</w:t>
      </w:r>
      <w:r>
        <w:tab/>
      </w:r>
      <w:r>
        <w:fldChar w:fldCharType="begin"/>
      </w:r>
      <w:r>
        <w:instrText xml:space="preserve"> PAGEREF _Toc12277654 \h </w:instrText>
      </w:r>
      <w:r>
        <w:fldChar w:fldCharType="separate"/>
      </w:r>
      <w:r>
        <w:t>78</w:t>
      </w:r>
      <w:r>
        <w:fldChar w:fldCharType="end"/>
      </w:r>
    </w:p>
    <w:p>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_Toc12277655 \h </w:instrText>
      </w:r>
      <w:r>
        <w:fldChar w:fldCharType="separate"/>
      </w:r>
      <w:r>
        <w:t>78</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_Toc12277656 \h </w:instrText>
      </w:r>
      <w:r>
        <w:fldChar w:fldCharType="separate"/>
      </w:r>
      <w:r>
        <w:t>79</w:t>
      </w:r>
      <w:r>
        <w:fldChar w:fldCharType="end"/>
      </w:r>
    </w:p>
    <w:p>
      <w:pPr>
        <w:pStyle w:val="TOC8"/>
        <w:rPr>
          <w:rFonts w:asciiTheme="minorHAnsi" w:eastAsiaTheme="minorEastAsia" w:hAnsiTheme="minorHAnsi" w:cstheme="minorBidi"/>
          <w:szCs w:val="22"/>
        </w:rPr>
      </w:pPr>
      <w:r>
        <w:t>11.</w:t>
      </w:r>
      <w:r>
        <w:tab/>
        <w:t>Non</w:t>
      </w:r>
      <w:r>
        <w:noBreakHyphen/>
        <w:t>metropolitan</w:t>
      </w:r>
      <w:r>
        <w:tab/>
      </w:r>
      <w:r>
        <w:fldChar w:fldCharType="begin"/>
      </w:r>
      <w:r>
        <w:instrText xml:space="preserve"> PAGEREF _Toc12277657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Combined charges for certain non</w:t>
      </w:r>
      <w:r>
        <w:noBreakHyphen/>
        <w:t>residential property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12.</w:t>
      </w:r>
      <w:r>
        <w:tab/>
        <w:t>Combined charges for 2019/20 year and subsequent years</w:t>
      </w:r>
      <w:r>
        <w:tab/>
      </w:r>
      <w:r>
        <w:fldChar w:fldCharType="begin"/>
      </w:r>
      <w:r>
        <w:instrText xml:space="preserve"> PAGEREF _Toc12277660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Combined charges: metropolitan</w:t>
      </w:r>
    </w:p>
    <w:p>
      <w:pPr>
        <w:pStyle w:val="TOC8"/>
        <w:rPr>
          <w:rFonts w:asciiTheme="minorHAnsi" w:eastAsiaTheme="minorEastAsia" w:hAnsiTheme="minorHAnsi" w:cstheme="minorBidi"/>
          <w:szCs w:val="22"/>
        </w:rPr>
      </w:pPr>
      <w:r>
        <w:t>13.</w:t>
      </w:r>
      <w:r>
        <w:tab/>
        <w:t>Metropolitan non</w:t>
      </w:r>
      <w:r>
        <w:noBreakHyphen/>
        <w:t>residential</w:t>
      </w:r>
      <w:r>
        <w:tab/>
      </w:r>
      <w:r>
        <w:fldChar w:fldCharType="begin"/>
      </w:r>
      <w:r>
        <w:instrText xml:space="preserve"> PAGEREF _Toc12277662 \h </w:instrText>
      </w:r>
      <w:r>
        <w:fldChar w:fldCharType="separate"/>
      </w:r>
      <w:r>
        <w:t>85</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_Toc12277663 \h </w:instrText>
      </w:r>
      <w:r>
        <w:fldChar w:fldCharType="separate"/>
      </w:r>
      <w:r>
        <w:t>86</w:t>
      </w:r>
      <w:r>
        <w:fldChar w:fldCharType="end"/>
      </w:r>
    </w:p>
    <w:p>
      <w:pPr>
        <w:pStyle w:val="TOC8"/>
        <w:rPr>
          <w:rFonts w:asciiTheme="minorHAnsi" w:eastAsiaTheme="minorEastAsia" w:hAnsiTheme="minorHAnsi" w:cstheme="minorBidi"/>
          <w:szCs w:val="22"/>
        </w:rPr>
      </w:pPr>
      <w:r>
        <w:t>15.</w:t>
      </w:r>
      <w:r>
        <w:tab/>
        <w:t>Metropolitan non</w:t>
      </w:r>
      <w:r>
        <w:noBreakHyphen/>
        <w:t>strata titled caravan park with long</w:t>
      </w:r>
      <w:r>
        <w:noBreakHyphen/>
        <w:t>term residential caravan bays</w:t>
      </w:r>
      <w:r>
        <w:tab/>
      </w:r>
      <w:r>
        <w:fldChar w:fldCharType="begin"/>
      </w:r>
      <w:r>
        <w:instrText xml:space="preserve"> PAGEREF _Toc12277664 \h </w:instrText>
      </w:r>
      <w:r>
        <w:fldChar w:fldCharType="separate"/>
      </w:r>
      <w:r>
        <w:t>86</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_Toc12277665 \h </w:instrText>
      </w:r>
      <w:r>
        <w:fldChar w:fldCharType="separate"/>
      </w:r>
      <w:r>
        <w:t>87</w:t>
      </w:r>
      <w:r>
        <w:fldChar w:fldCharType="end"/>
      </w:r>
    </w:p>
    <w:p>
      <w:pPr>
        <w:pStyle w:val="TOC8"/>
        <w:rPr>
          <w:rFonts w:asciiTheme="minorHAnsi" w:eastAsiaTheme="minorEastAsia" w:hAnsiTheme="minorHAnsi" w:cstheme="minorBidi"/>
          <w:szCs w:val="22"/>
        </w:rPr>
      </w:pPr>
      <w:r>
        <w:t>17.</w:t>
      </w:r>
      <w:r>
        <w:tab/>
        <w:t>Certain metropolitan strata</w:t>
      </w:r>
      <w:r>
        <w:noBreakHyphen/>
        <w:t>titled units</w:t>
      </w:r>
      <w:r>
        <w:tab/>
      </w:r>
      <w:r>
        <w:fldChar w:fldCharType="begin"/>
      </w:r>
      <w:r>
        <w:instrText xml:space="preserve"> PAGEREF _Toc12277666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Calculation of certain factors for the purposes of Subdivision 2</w:t>
      </w:r>
    </w:p>
    <w:p>
      <w:pPr>
        <w:pStyle w:val="TOC8"/>
        <w:rPr>
          <w:rFonts w:asciiTheme="minorHAnsi" w:eastAsiaTheme="minorEastAsia" w:hAnsiTheme="minorHAnsi" w:cstheme="minorBidi"/>
          <w:szCs w:val="22"/>
        </w:rPr>
      </w:pPr>
      <w:r>
        <w:t>18.</w:t>
      </w:r>
      <w:r>
        <w:tab/>
        <w:t>Service charge</w:t>
      </w:r>
      <w:r>
        <w:tab/>
      </w:r>
      <w:r>
        <w:fldChar w:fldCharType="begin"/>
      </w:r>
      <w:r>
        <w:instrText xml:space="preserve"> PAGEREF _Toc12277668 \h </w:instrText>
      </w:r>
      <w:r>
        <w:fldChar w:fldCharType="separate"/>
      </w:r>
      <w:r>
        <w:t>88</w:t>
      </w:r>
      <w:r>
        <w:fldChar w:fldCharType="end"/>
      </w:r>
    </w:p>
    <w:p>
      <w:pPr>
        <w:pStyle w:val="TOC8"/>
        <w:rPr>
          <w:rFonts w:asciiTheme="minorHAnsi" w:eastAsiaTheme="minorEastAsia" w:hAnsiTheme="minorHAnsi" w:cstheme="minorBidi"/>
          <w:szCs w:val="22"/>
        </w:rPr>
      </w:pPr>
      <w:r>
        <w:t>19.</w:t>
      </w:r>
      <w:r>
        <w:tab/>
        <w:t>Discharge charge</w:t>
      </w:r>
      <w:r>
        <w:tab/>
      </w:r>
      <w:r>
        <w:fldChar w:fldCharType="begin"/>
      </w:r>
      <w:r>
        <w:instrText xml:space="preserve"> PAGEREF _Toc12277669 \h </w:instrText>
      </w:r>
      <w:r>
        <w:fldChar w:fldCharType="separate"/>
      </w:r>
      <w:r>
        <w:t>88</w:t>
      </w:r>
      <w:r>
        <w:fldChar w:fldCharType="end"/>
      </w:r>
    </w:p>
    <w:p>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_Toc12277670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Combined charges: non</w:t>
      </w:r>
      <w:r>
        <w:noBreakHyphen/>
        <w:t>metropolitan</w:t>
      </w:r>
    </w:p>
    <w:p>
      <w:pPr>
        <w:pStyle w:val="TOC8"/>
        <w:rPr>
          <w:rFonts w:asciiTheme="minorHAnsi" w:eastAsiaTheme="minorEastAsia" w:hAnsiTheme="minorHAnsi" w:cstheme="minorBidi"/>
          <w:szCs w:val="22"/>
        </w:rPr>
      </w:pPr>
      <w:r>
        <w:t>21.</w:t>
      </w:r>
      <w:r>
        <w:tab/>
        <w:t>Non</w:t>
      </w:r>
      <w:r>
        <w:noBreakHyphen/>
        <w:t>metropolitan non</w:t>
      </w:r>
      <w:r>
        <w:noBreakHyphen/>
        <w:t>residential</w:t>
      </w:r>
      <w:r>
        <w:tab/>
      </w:r>
      <w:r>
        <w:fldChar w:fldCharType="begin"/>
      </w:r>
      <w:r>
        <w:instrText xml:space="preserve"> PAGEREF _Toc12277672 \h </w:instrText>
      </w:r>
      <w:r>
        <w:fldChar w:fldCharType="separate"/>
      </w:r>
      <w:r>
        <w:t>90</w:t>
      </w:r>
      <w:r>
        <w:fldChar w:fldCharType="end"/>
      </w:r>
    </w:p>
    <w:p>
      <w:pPr>
        <w:pStyle w:val="TOC8"/>
        <w:rPr>
          <w:rFonts w:asciiTheme="minorHAnsi" w:eastAsiaTheme="minorEastAsia" w:hAnsiTheme="minorHAnsi" w:cstheme="minorBidi"/>
          <w:szCs w:val="22"/>
        </w:rPr>
      </w:pPr>
      <w:r>
        <w:t>22.</w:t>
      </w:r>
      <w:r>
        <w:tab/>
        <w:t>Non</w:t>
      </w:r>
      <w:r>
        <w:noBreakHyphen/>
        <w:t>metropolitan non</w:t>
      </w:r>
      <w:r>
        <w:noBreakHyphen/>
        <w:t>strata titled caravan park with long</w:t>
      </w:r>
      <w:r>
        <w:noBreakHyphen/>
        <w:t>term residential caravan bays</w:t>
      </w:r>
      <w:r>
        <w:tab/>
      </w:r>
      <w:r>
        <w:fldChar w:fldCharType="begin"/>
      </w:r>
      <w:r>
        <w:instrText xml:space="preserve"> PAGEREF _Toc12277673 \h </w:instrText>
      </w:r>
      <w:r>
        <w:fldChar w:fldCharType="separate"/>
      </w:r>
      <w:r>
        <w:t>91</w:t>
      </w:r>
      <w:r>
        <w:fldChar w:fldCharType="end"/>
      </w:r>
    </w:p>
    <w:p>
      <w:pPr>
        <w:pStyle w:val="TOC8"/>
        <w:rPr>
          <w:rFonts w:asciiTheme="minorHAnsi" w:eastAsiaTheme="minorEastAsia" w:hAnsiTheme="minorHAnsi" w:cstheme="minorBidi"/>
          <w:szCs w:val="22"/>
        </w:rPr>
      </w:pPr>
      <w:r>
        <w:t>23.</w:t>
      </w:r>
      <w:r>
        <w:tab/>
        <w:t>Non</w:t>
      </w:r>
      <w:r>
        <w:noBreakHyphen/>
        <w:t>metropolitan nursing home</w:t>
      </w:r>
      <w:r>
        <w:tab/>
      </w:r>
      <w:r>
        <w:fldChar w:fldCharType="begin"/>
      </w:r>
      <w:r>
        <w:instrText xml:space="preserve"> PAGEREF _Toc12277674 \h </w:instrText>
      </w:r>
      <w:r>
        <w:fldChar w:fldCharType="separate"/>
      </w:r>
      <w:r>
        <w:t>92</w:t>
      </w:r>
      <w:r>
        <w:fldChar w:fldCharType="end"/>
      </w:r>
    </w:p>
    <w:p>
      <w:pPr>
        <w:pStyle w:val="TOC8"/>
        <w:rPr>
          <w:rFonts w:asciiTheme="minorHAnsi" w:eastAsiaTheme="minorEastAsia" w:hAnsiTheme="minorHAnsi" w:cstheme="minorBidi"/>
          <w:szCs w:val="22"/>
        </w:rPr>
      </w:pPr>
      <w:r>
        <w:t>24.</w:t>
      </w:r>
      <w:r>
        <w:tab/>
        <w:t>Certain non</w:t>
      </w:r>
      <w:r>
        <w:noBreakHyphen/>
        <w:t>metropolitan strata</w:t>
      </w:r>
      <w:r>
        <w:noBreakHyphen/>
        <w:t>titled units</w:t>
      </w:r>
      <w:r>
        <w:tab/>
      </w:r>
      <w:r>
        <w:fldChar w:fldCharType="begin"/>
      </w:r>
      <w:r>
        <w:instrText xml:space="preserve"> PAGEREF _Toc12277675 \h </w:instrText>
      </w:r>
      <w:r>
        <w:fldChar w:fldCharType="separate"/>
      </w:r>
      <w:r>
        <w:t>92</w:t>
      </w:r>
      <w:r>
        <w:fldChar w:fldCharType="end"/>
      </w:r>
    </w:p>
    <w:p>
      <w:pPr>
        <w:pStyle w:val="TOC8"/>
        <w:rPr>
          <w:rFonts w:asciiTheme="minorHAnsi" w:eastAsiaTheme="minorEastAsia" w:hAnsiTheme="minorHAnsi" w:cstheme="minorBidi"/>
          <w:szCs w:val="22"/>
        </w:rPr>
      </w:pPr>
      <w:r>
        <w:t>24A.</w:t>
      </w:r>
      <w:r>
        <w:tab/>
        <w:t>Non</w:t>
      </w:r>
      <w:r>
        <w:noBreakHyphen/>
        <w:t>metropolitan government trading organisation and non</w:t>
      </w:r>
      <w:r>
        <w:noBreakHyphen/>
        <w:t>commercial government property</w:t>
      </w:r>
      <w:r>
        <w:tab/>
      </w:r>
      <w:r>
        <w:fldChar w:fldCharType="begin"/>
      </w:r>
      <w:r>
        <w:instrText xml:space="preserve"> PAGEREF _Toc12277676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5 — Calculation of certain factors for the purposes of Subdivision 4</w:t>
      </w:r>
    </w:p>
    <w:p>
      <w:pPr>
        <w:pStyle w:val="TOC8"/>
        <w:rPr>
          <w:rFonts w:asciiTheme="minorHAnsi" w:eastAsiaTheme="minorEastAsia" w:hAnsiTheme="minorHAnsi" w:cstheme="minorBidi"/>
          <w:szCs w:val="22"/>
        </w:rPr>
      </w:pPr>
      <w:r>
        <w:t>25.</w:t>
      </w:r>
      <w:r>
        <w:tab/>
        <w:t>Service charge</w:t>
      </w:r>
      <w:r>
        <w:tab/>
      </w:r>
      <w:r>
        <w:fldChar w:fldCharType="begin"/>
      </w:r>
      <w:r>
        <w:instrText xml:space="preserve"> PAGEREF _Toc12277678 \h </w:instrText>
      </w:r>
      <w:r>
        <w:fldChar w:fldCharType="separate"/>
      </w:r>
      <w:r>
        <w:t>93</w:t>
      </w:r>
      <w:r>
        <w:fldChar w:fldCharType="end"/>
      </w:r>
    </w:p>
    <w:p>
      <w:pPr>
        <w:pStyle w:val="TOC8"/>
        <w:rPr>
          <w:rFonts w:asciiTheme="minorHAnsi" w:eastAsiaTheme="minorEastAsia" w:hAnsiTheme="minorHAnsi" w:cstheme="minorBidi"/>
          <w:szCs w:val="22"/>
        </w:rPr>
      </w:pPr>
      <w:r>
        <w:t>26.</w:t>
      </w:r>
      <w:r>
        <w:tab/>
        <w:t>Discharge charge</w:t>
      </w:r>
      <w:r>
        <w:tab/>
      </w:r>
      <w:r>
        <w:fldChar w:fldCharType="begin"/>
      </w:r>
      <w:r>
        <w:instrText xml:space="preserve"> PAGEREF _Toc12277679 \h </w:instrText>
      </w:r>
      <w:r>
        <w:fldChar w:fldCharType="separate"/>
      </w:r>
      <w:r>
        <w:t>94</w:t>
      </w:r>
      <w:r>
        <w:fldChar w:fldCharType="end"/>
      </w:r>
    </w:p>
    <w:p>
      <w:pPr>
        <w:pStyle w:val="TOC8"/>
        <w:rPr>
          <w:rFonts w:asciiTheme="minorHAnsi" w:eastAsiaTheme="minorEastAsia" w:hAnsiTheme="minorHAnsi" w:cstheme="minorBidi"/>
          <w:szCs w:val="22"/>
        </w:rPr>
      </w:pPr>
      <w:r>
        <w:t>27.</w:t>
      </w:r>
      <w:r>
        <w:tab/>
        <w:t>Discharge allowance</w:t>
      </w:r>
      <w:r>
        <w:tab/>
      </w:r>
      <w:r>
        <w:fldChar w:fldCharType="begin"/>
      </w:r>
      <w:r>
        <w:instrText xml:space="preserve"> PAGEREF _Toc12277680 \h </w:instrText>
      </w:r>
      <w:r>
        <w:fldChar w:fldCharType="separate"/>
      </w:r>
      <w:r>
        <w:t>95</w:t>
      </w:r>
      <w:r>
        <w:fldChar w:fldCharType="end"/>
      </w:r>
    </w:p>
    <w:p>
      <w:pPr>
        <w:pStyle w:val="TOC8"/>
        <w:rPr>
          <w:rFonts w:asciiTheme="minorHAnsi" w:eastAsiaTheme="minorEastAsia" w:hAnsiTheme="minorHAnsi" w:cstheme="minorBidi"/>
          <w:szCs w:val="22"/>
        </w:rPr>
      </w:pPr>
      <w:r>
        <w:t>28.</w:t>
      </w:r>
      <w:r>
        <w:tab/>
        <w:t>Maximum charge</w:t>
      </w:r>
      <w:r>
        <w:tab/>
      </w:r>
      <w:r>
        <w:fldChar w:fldCharType="begin"/>
      </w:r>
      <w:r>
        <w:instrText xml:space="preserve"> PAGEREF _Toc12277681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Discharge charges: trade waste and effluent</w:t>
      </w:r>
    </w:p>
    <w:p>
      <w:pPr>
        <w:pStyle w:val="TOC8"/>
        <w:rPr>
          <w:rFonts w:asciiTheme="minorHAnsi" w:eastAsiaTheme="minorEastAsia" w:hAnsiTheme="minorHAnsi" w:cstheme="minorBidi"/>
          <w:szCs w:val="22"/>
        </w:rPr>
      </w:pPr>
      <w:r>
        <w:t>29.</w:t>
      </w:r>
      <w:r>
        <w:tab/>
        <w:t>Discharge charges for 2019/20 year and subsequent years</w:t>
      </w:r>
      <w:r>
        <w:tab/>
      </w:r>
      <w:r>
        <w:fldChar w:fldCharType="begin"/>
      </w:r>
      <w:r>
        <w:instrText xml:space="preserve"> PAGEREF _Toc12277683 \h </w:instrText>
      </w:r>
      <w:r>
        <w:fldChar w:fldCharType="separate"/>
      </w:r>
      <w:r>
        <w:t>96</w:t>
      </w:r>
      <w:r>
        <w:fldChar w:fldCharType="end"/>
      </w:r>
    </w:p>
    <w:p>
      <w:pPr>
        <w:pStyle w:val="TOC8"/>
        <w:rPr>
          <w:rFonts w:asciiTheme="minorHAnsi" w:eastAsiaTheme="minorEastAsia" w:hAnsiTheme="minorHAnsi" w:cstheme="minorBidi"/>
          <w:szCs w:val="22"/>
        </w:rPr>
      </w:pPr>
      <w:r>
        <w:t>30.</w:t>
      </w:r>
      <w:r>
        <w:tab/>
        <w:t>Trade waste discharged into sewer under approval</w:t>
      </w:r>
      <w:r>
        <w:tab/>
      </w:r>
      <w:r>
        <w:fldChar w:fldCharType="begin"/>
      </w:r>
      <w:r>
        <w:instrText xml:space="preserve"> PAGEREF _Toc12277684 \h </w:instrText>
      </w:r>
      <w:r>
        <w:fldChar w:fldCharType="separate"/>
      </w:r>
      <w:r>
        <w:t>96</w:t>
      </w:r>
      <w:r>
        <w:fldChar w:fldCharType="end"/>
      </w:r>
    </w:p>
    <w:p>
      <w:pPr>
        <w:pStyle w:val="TOC8"/>
        <w:rPr>
          <w:rFonts w:asciiTheme="minorHAnsi" w:eastAsiaTheme="minorEastAsia" w:hAnsiTheme="minorHAnsi" w:cstheme="minorBidi"/>
          <w:szCs w:val="22"/>
        </w:rPr>
      </w:pPr>
      <w:r>
        <w:t>31.</w:t>
      </w:r>
      <w:r>
        <w:tab/>
        <w:t>Effluent discharged from septic tank effluent pumping system into sewer</w:t>
      </w:r>
      <w:r>
        <w:tab/>
      </w:r>
      <w:r>
        <w:fldChar w:fldCharType="begin"/>
      </w:r>
      <w:r>
        <w:instrText xml:space="preserve"> PAGEREF _Toc12277685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5 — Drainage charges for the Water Corporation</w:t>
      </w:r>
    </w:p>
    <w:p>
      <w:pPr>
        <w:pStyle w:val="TOC8"/>
        <w:rPr>
          <w:rFonts w:asciiTheme="minorHAnsi" w:eastAsiaTheme="minorEastAsia" w:hAnsiTheme="minorHAnsi" w:cstheme="minorBidi"/>
          <w:szCs w:val="22"/>
        </w:rPr>
      </w:pPr>
      <w:r>
        <w:t>1.</w:t>
      </w:r>
      <w:r>
        <w:tab/>
        <w:t>Drainage charges for 2019/20 year and subsequent years</w:t>
      </w:r>
      <w:r>
        <w:tab/>
      </w:r>
      <w:r>
        <w:fldChar w:fldCharType="begin"/>
      </w:r>
      <w:r>
        <w:instrText xml:space="preserve"> PAGEREF _Toc12277687 \h </w:instrText>
      </w:r>
      <w:r>
        <w:fldChar w:fldCharType="separate"/>
      </w:r>
      <w:r>
        <w:t>100</w:t>
      </w:r>
      <w:r>
        <w:fldChar w:fldCharType="end"/>
      </w:r>
    </w:p>
    <w:p>
      <w:pPr>
        <w:pStyle w:val="TOC8"/>
        <w:rPr>
          <w:rFonts w:asciiTheme="minorHAnsi" w:eastAsiaTheme="minorEastAsia" w:hAnsiTheme="minorHAnsi" w:cstheme="minorBidi"/>
          <w:szCs w:val="22"/>
        </w:rPr>
      </w:pPr>
      <w:r>
        <w:t>2.</w:t>
      </w:r>
      <w:r>
        <w:tab/>
        <w:t>Strata</w:t>
      </w:r>
      <w:r>
        <w:noBreakHyphen/>
        <w:t>titled caravan bays</w:t>
      </w:r>
      <w:r>
        <w:tab/>
      </w:r>
      <w:r>
        <w:fldChar w:fldCharType="begin"/>
      </w:r>
      <w:r>
        <w:instrText xml:space="preserve"> PAGEREF _Toc12277688 \h </w:instrText>
      </w:r>
      <w:r>
        <w:fldChar w:fldCharType="separate"/>
      </w:r>
      <w:r>
        <w:t>100</w:t>
      </w:r>
      <w:r>
        <w:fldChar w:fldCharType="end"/>
      </w:r>
    </w:p>
    <w:p>
      <w:pPr>
        <w:pStyle w:val="TOC8"/>
        <w:rPr>
          <w:rFonts w:asciiTheme="minorHAnsi" w:eastAsiaTheme="minorEastAsia" w:hAnsiTheme="minorHAnsi" w:cstheme="minorBidi"/>
          <w:szCs w:val="22"/>
        </w:rPr>
      </w:pPr>
      <w:r>
        <w:t>3.</w:t>
      </w:r>
      <w:r>
        <w:tab/>
        <w:t>Strata</w:t>
      </w:r>
      <w:r>
        <w:noBreakHyphen/>
        <w:t>titled storage unit or strata</w:t>
      </w:r>
      <w:r>
        <w:noBreakHyphen/>
        <w:t>titled parking bay</w:t>
      </w:r>
      <w:r>
        <w:tab/>
      </w:r>
      <w:r>
        <w:fldChar w:fldCharType="begin"/>
      </w:r>
      <w:r>
        <w:instrText xml:space="preserve"> PAGEREF _Toc12277689 \h </w:instrText>
      </w:r>
      <w:r>
        <w:fldChar w:fldCharType="separate"/>
      </w:r>
      <w:r>
        <w:t>100</w:t>
      </w:r>
      <w:r>
        <w:fldChar w:fldCharType="end"/>
      </w:r>
    </w:p>
    <w:p>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_Toc12277690 \h </w:instrText>
      </w:r>
      <w:r>
        <w:fldChar w:fldCharType="separate"/>
      </w:r>
      <w:r>
        <w:t>100</w:t>
      </w:r>
      <w:r>
        <w:fldChar w:fldCharType="end"/>
      </w:r>
    </w:p>
    <w:p>
      <w:pPr>
        <w:pStyle w:val="TOC8"/>
        <w:rPr>
          <w:rFonts w:asciiTheme="minorHAnsi" w:eastAsiaTheme="minorEastAsia" w:hAnsiTheme="minorHAnsi" w:cstheme="minorBidi"/>
          <w:szCs w:val="22"/>
        </w:rPr>
      </w:pPr>
      <w:r>
        <w:t>5.</w:t>
      </w:r>
      <w:r>
        <w:tab/>
        <w:t>Vacant land</w:t>
      </w:r>
      <w:r>
        <w:tab/>
      </w:r>
      <w:r>
        <w:fldChar w:fldCharType="begin"/>
      </w:r>
      <w:r>
        <w:instrText xml:space="preserve"> PAGEREF _Toc12277691 \h </w:instrText>
      </w:r>
      <w:r>
        <w:fldChar w:fldCharType="separate"/>
      </w:r>
      <w:r>
        <w:t>100</w:t>
      </w:r>
      <w:r>
        <w:fldChar w:fldCharType="end"/>
      </w:r>
    </w:p>
    <w:p>
      <w:pPr>
        <w:pStyle w:val="TOC8"/>
        <w:rPr>
          <w:rFonts w:asciiTheme="minorHAnsi" w:eastAsiaTheme="minorEastAsia" w:hAnsiTheme="minorHAnsi" w:cstheme="minorBidi"/>
          <w:szCs w:val="22"/>
        </w:rPr>
      </w:pPr>
      <w:r>
        <w:t>6.</w:t>
      </w:r>
      <w:r>
        <w:tab/>
        <w:t>Non</w:t>
      </w:r>
      <w:r>
        <w:noBreakHyphen/>
        <w:t>residential (except certain strata</w:t>
      </w:r>
      <w:r>
        <w:noBreakHyphen/>
        <w:t>titled units)</w:t>
      </w:r>
      <w:r>
        <w:tab/>
      </w:r>
      <w:r>
        <w:fldChar w:fldCharType="begin"/>
      </w:r>
      <w:r>
        <w:instrText xml:space="preserve"> PAGEREF _Toc12277692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6 — Irrigation charges for the Water Corporation (Ord Irrigation District)</w:t>
      </w:r>
    </w:p>
    <w:p>
      <w:pPr>
        <w:pStyle w:val="TOC8"/>
        <w:rPr>
          <w:rFonts w:asciiTheme="minorHAnsi" w:eastAsiaTheme="minorEastAsia" w:hAnsiTheme="minorHAnsi" w:cstheme="minorBidi"/>
          <w:szCs w:val="22"/>
        </w:rPr>
      </w:pPr>
      <w:r>
        <w:t>1.</w:t>
      </w:r>
      <w:r>
        <w:tab/>
        <w:t>Irrigation charges for 2019/20 year and subsequent years</w:t>
      </w:r>
      <w:r>
        <w:tab/>
      </w:r>
      <w:r>
        <w:fldChar w:fldCharType="begin"/>
      </w:r>
      <w:r>
        <w:instrText xml:space="preserve"> PAGEREF _Toc12277694 \h </w:instrText>
      </w:r>
      <w:r>
        <w:fldChar w:fldCharType="separate"/>
      </w:r>
      <w:r>
        <w:t>101</w:t>
      </w:r>
      <w:r>
        <w:fldChar w:fldCharType="end"/>
      </w:r>
    </w:p>
    <w:p>
      <w:pPr>
        <w:pStyle w:val="TOC8"/>
        <w:rPr>
          <w:rFonts w:asciiTheme="minorHAnsi" w:eastAsiaTheme="minorEastAsia" w:hAnsiTheme="minorHAnsi" w:cstheme="minorBidi"/>
          <w:szCs w:val="22"/>
        </w:rPr>
      </w:pPr>
      <w:r>
        <w:t>2.</w:t>
      </w:r>
      <w:r>
        <w:tab/>
        <w:t>Water supplied for irrigation</w:t>
      </w:r>
      <w:r>
        <w:tab/>
      </w:r>
      <w:r>
        <w:fldChar w:fldCharType="begin"/>
      </w:r>
      <w:r>
        <w:instrText xml:space="preserve"> PAGEREF _Toc12277695 \h </w:instrText>
      </w:r>
      <w:r>
        <w:fldChar w:fldCharType="separate"/>
      </w:r>
      <w:r>
        <w:t>101</w:t>
      </w:r>
      <w:r>
        <w:fldChar w:fldCharType="end"/>
      </w:r>
    </w:p>
    <w:p>
      <w:pPr>
        <w:pStyle w:val="TOC8"/>
        <w:rPr>
          <w:rFonts w:asciiTheme="minorHAnsi" w:eastAsiaTheme="minorEastAsia" w:hAnsiTheme="minorHAnsi" w:cstheme="minorBidi"/>
          <w:szCs w:val="22"/>
        </w:rPr>
      </w:pPr>
      <w:r>
        <w:t>3.</w:t>
      </w:r>
      <w:r>
        <w:tab/>
        <w:t>Water supplied for watering stock or dust prevention</w:t>
      </w:r>
      <w:r>
        <w:tab/>
      </w:r>
      <w:r>
        <w:fldChar w:fldCharType="begin"/>
      </w:r>
      <w:r>
        <w:instrText xml:space="preserve"> PAGEREF _Toc12277696 \h </w:instrText>
      </w:r>
      <w:r>
        <w:fldChar w:fldCharType="separate"/>
      </w:r>
      <w:r>
        <w:t>101</w:t>
      </w:r>
      <w:r>
        <w:fldChar w:fldCharType="end"/>
      </w:r>
    </w:p>
    <w:p>
      <w:pPr>
        <w:pStyle w:val="TOC8"/>
        <w:rPr>
          <w:rFonts w:asciiTheme="minorHAnsi" w:eastAsiaTheme="minorEastAsia" w:hAnsiTheme="minorHAnsi" w:cstheme="minorBidi"/>
          <w:szCs w:val="22"/>
        </w:rPr>
      </w:pPr>
      <w:r>
        <w:t>4.</w:t>
      </w:r>
      <w:r>
        <w:tab/>
        <w:t>Water supplied for purposes other than irrigation, watering stock or dust prevention</w:t>
      </w:r>
      <w:r>
        <w:tab/>
      </w:r>
      <w:r>
        <w:fldChar w:fldCharType="begin"/>
      </w:r>
      <w:r>
        <w:instrText xml:space="preserve"> PAGEREF _Toc12277697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7 — Miscellaneous charges for the Water Corporation</w:t>
      </w:r>
    </w:p>
    <w:p>
      <w:pPr>
        <w:pStyle w:val="TOC8"/>
        <w:rPr>
          <w:rFonts w:asciiTheme="minorHAnsi" w:eastAsiaTheme="minorEastAsia" w:hAnsiTheme="minorHAnsi" w:cstheme="minorBidi"/>
          <w:szCs w:val="22"/>
        </w:rPr>
      </w:pPr>
      <w:r>
        <w:t>1.</w:t>
      </w:r>
      <w:r>
        <w:tab/>
        <w:t>Meters: multi</w:t>
      </w:r>
      <w:r>
        <w:noBreakHyphen/>
        <w:t>unit developments</w:t>
      </w:r>
      <w:r>
        <w:tab/>
      </w:r>
      <w:r>
        <w:fldChar w:fldCharType="begin"/>
      </w:r>
      <w:r>
        <w:instrText xml:space="preserve"> PAGEREF _Toc12277699 \h </w:instrText>
      </w:r>
      <w:r>
        <w:fldChar w:fldCharType="separate"/>
      </w:r>
      <w:r>
        <w:t>103</w:t>
      </w:r>
      <w:r>
        <w:fldChar w:fldCharType="end"/>
      </w:r>
    </w:p>
    <w:p>
      <w:pPr>
        <w:pStyle w:val="TOC8"/>
        <w:rPr>
          <w:rFonts w:asciiTheme="minorHAnsi" w:eastAsiaTheme="minorEastAsia" w:hAnsiTheme="minorHAnsi" w:cstheme="minorBidi"/>
          <w:szCs w:val="22"/>
        </w:rPr>
      </w:pPr>
      <w:r>
        <w:t>2.</w:t>
      </w:r>
      <w:r>
        <w:tab/>
        <w:t>Assessing meters: multi</w:t>
      </w:r>
      <w:r>
        <w:noBreakHyphen/>
        <w:t>unit developments</w:t>
      </w:r>
      <w:r>
        <w:tab/>
      </w:r>
      <w:r>
        <w:fldChar w:fldCharType="begin"/>
      </w:r>
      <w:r>
        <w:instrText xml:space="preserve"> PAGEREF _Toc12277700 \h </w:instrText>
      </w:r>
      <w:r>
        <w:fldChar w:fldCharType="separate"/>
      </w:r>
      <w:r>
        <w:t>103</w:t>
      </w:r>
      <w:r>
        <w:fldChar w:fldCharType="end"/>
      </w:r>
    </w:p>
    <w:p>
      <w:pPr>
        <w:pStyle w:val="TOC8"/>
        <w:rPr>
          <w:rFonts w:asciiTheme="minorHAnsi" w:eastAsiaTheme="minorEastAsia" w:hAnsiTheme="minorHAnsi" w:cstheme="minorBidi"/>
          <w:szCs w:val="22"/>
        </w:rPr>
      </w:pPr>
      <w:r>
        <w:t>3.</w:t>
      </w:r>
      <w:r>
        <w:tab/>
        <w:t>Testing meters</w:t>
      </w:r>
      <w:r>
        <w:tab/>
      </w:r>
      <w:r>
        <w:fldChar w:fldCharType="begin"/>
      </w:r>
      <w:r>
        <w:instrText xml:space="preserve"> PAGEREF _Toc12277701 \h </w:instrText>
      </w:r>
      <w:r>
        <w:fldChar w:fldCharType="separate"/>
      </w:r>
      <w:r>
        <w:t>103</w:t>
      </w:r>
      <w:r>
        <w:fldChar w:fldCharType="end"/>
      </w:r>
    </w:p>
    <w:p>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_Toc12277702 \h </w:instrText>
      </w:r>
      <w:r>
        <w:fldChar w:fldCharType="separate"/>
      </w:r>
      <w:r>
        <w:t>103</w:t>
      </w:r>
      <w:r>
        <w:fldChar w:fldCharType="end"/>
      </w:r>
    </w:p>
    <w:p>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_Toc12277703 \h </w:instrText>
      </w:r>
      <w:r>
        <w:fldChar w:fldCharType="separate"/>
      </w:r>
      <w:r>
        <w:t>104</w:t>
      </w:r>
      <w:r>
        <w:fldChar w:fldCharType="end"/>
      </w:r>
    </w:p>
    <w:p>
      <w:pPr>
        <w:pStyle w:val="TOC8"/>
        <w:rPr>
          <w:rFonts w:asciiTheme="minorHAnsi" w:eastAsiaTheme="minorEastAsia" w:hAnsiTheme="minorHAnsi" w:cstheme="minorBidi"/>
          <w:szCs w:val="22"/>
        </w:rPr>
      </w:pPr>
      <w:r>
        <w:t>6.</w:t>
      </w:r>
      <w:r>
        <w:tab/>
        <w:t>Disconnecting water supply connection</w:t>
      </w:r>
      <w:r>
        <w:tab/>
      </w:r>
      <w:r>
        <w:fldChar w:fldCharType="begin"/>
      </w:r>
      <w:r>
        <w:instrText xml:space="preserve"> PAGEREF _Toc12277704 \h </w:instrText>
      </w:r>
      <w:r>
        <w:fldChar w:fldCharType="separate"/>
      </w:r>
      <w:r>
        <w:t>104</w:t>
      </w:r>
      <w:r>
        <w:fldChar w:fldCharType="end"/>
      </w:r>
    </w:p>
    <w:p>
      <w:pPr>
        <w:pStyle w:val="TOC8"/>
        <w:rPr>
          <w:rFonts w:asciiTheme="minorHAnsi" w:eastAsiaTheme="minorEastAsia" w:hAnsiTheme="minorHAnsi" w:cstheme="minorBidi"/>
          <w:szCs w:val="22"/>
        </w:rPr>
      </w:pPr>
      <w:r>
        <w:t>7.</w:t>
      </w:r>
      <w:r>
        <w:tab/>
        <w:t>Reconnecting water supply connection</w:t>
      </w:r>
      <w:r>
        <w:tab/>
      </w:r>
      <w:r>
        <w:fldChar w:fldCharType="begin"/>
      </w:r>
      <w:r>
        <w:instrText xml:space="preserve"> PAGEREF _Toc12277705 \h </w:instrText>
      </w:r>
      <w:r>
        <w:fldChar w:fldCharType="separate"/>
      </w:r>
      <w:r>
        <w:t>104</w:t>
      </w:r>
      <w:r>
        <w:fldChar w:fldCharType="end"/>
      </w:r>
    </w:p>
    <w:p>
      <w:pPr>
        <w:pStyle w:val="TOC8"/>
        <w:rPr>
          <w:rFonts w:asciiTheme="minorHAnsi" w:eastAsiaTheme="minorEastAsia" w:hAnsiTheme="minorHAnsi" w:cstheme="minorBidi"/>
          <w:szCs w:val="22"/>
        </w:rPr>
      </w:pPr>
      <w:r>
        <w:t>8.</w:t>
      </w:r>
      <w:r>
        <w:tab/>
        <w:t>Relocating water supply connection</w:t>
      </w:r>
      <w:r>
        <w:tab/>
      </w:r>
      <w:r>
        <w:fldChar w:fldCharType="begin"/>
      </w:r>
      <w:r>
        <w:instrText xml:space="preserve"> PAGEREF _Toc12277706 \h </w:instrText>
      </w:r>
      <w:r>
        <w:fldChar w:fldCharType="separate"/>
      </w:r>
      <w:r>
        <w:t>105</w:t>
      </w:r>
      <w:r>
        <w:fldChar w:fldCharType="end"/>
      </w:r>
    </w:p>
    <w:p>
      <w:pPr>
        <w:pStyle w:val="TOC8"/>
        <w:rPr>
          <w:rFonts w:asciiTheme="minorHAnsi" w:eastAsiaTheme="minorEastAsia" w:hAnsiTheme="minorHAnsi" w:cstheme="minorBidi"/>
          <w:szCs w:val="22"/>
        </w:rPr>
      </w:pPr>
      <w:r>
        <w:t>9.</w:t>
      </w:r>
      <w:r>
        <w:tab/>
        <w:t>Proposal to connect to sewer</w:t>
      </w:r>
      <w:r>
        <w:tab/>
      </w:r>
      <w:r>
        <w:fldChar w:fldCharType="begin"/>
      </w:r>
      <w:r>
        <w:instrText xml:space="preserve"> PAGEREF _Toc12277707 \h </w:instrText>
      </w:r>
      <w:r>
        <w:fldChar w:fldCharType="separate"/>
      </w:r>
      <w:r>
        <w:t>106</w:t>
      </w:r>
      <w:r>
        <w:fldChar w:fldCharType="end"/>
      </w:r>
    </w:p>
    <w:p>
      <w:pPr>
        <w:pStyle w:val="TOC8"/>
        <w:rPr>
          <w:rFonts w:asciiTheme="minorHAnsi" w:eastAsiaTheme="minorEastAsia" w:hAnsiTheme="minorHAnsi" w:cstheme="minorBidi"/>
          <w:szCs w:val="22"/>
        </w:rPr>
      </w:pPr>
      <w:r>
        <w:t>10.</w:t>
      </w:r>
      <w:r>
        <w:tab/>
        <w:t>Installing sewer junction</w:t>
      </w:r>
      <w:r>
        <w:tab/>
      </w:r>
      <w:r>
        <w:fldChar w:fldCharType="begin"/>
      </w:r>
      <w:r>
        <w:instrText xml:space="preserve"> PAGEREF _Toc12277708 \h </w:instrText>
      </w:r>
      <w:r>
        <w:fldChar w:fldCharType="separate"/>
      </w:r>
      <w:r>
        <w:t>106</w:t>
      </w:r>
      <w:r>
        <w:fldChar w:fldCharType="end"/>
      </w:r>
    </w:p>
    <w:p>
      <w:pPr>
        <w:pStyle w:val="TOC8"/>
        <w:rPr>
          <w:rFonts w:asciiTheme="minorHAnsi" w:eastAsiaTheme="minorEastAsia" w:hAnsiTheme="minorHAnsi" w:cstheme="minorBidi"/>
          <w:szCs w:val="22"/>
        </w:rPr>
      </w:pPr>
      <w:r>
        <w:t>11.</w:t>
      </w:r>
      <w:r>
        <w:tab/>
        <w:t>Hire of standpipe for fire hydrant</w:t>
      </w:r>
      <w:r>
        <w:tab/>
      </w:r>
      <w:r>
        <w:fldChar w:fldCharType="begin"/>
      </w:r>
      <w:r>
        <w:instrText xml:space="preserve"> PAGEREF _Toc12277709 \h </w:instrText>
      </w:r>
      <w:r>
        <w:fldChar w:fldCharType="separate"/>
      </w:r>
      <w:r>
        <w:t>106</w:t>
      </w:r>
      <w:r>
        <w:fldChar w:fldCharType="end"/>
      </w:r>
    </w:p>
    <w:p>
      <w:pPr>
        <w:pStyle w:val="TOC8"/>
        <w:rPr>
          <w:rFonts w:asciiTheme="minorHAnsi" w:eastAsiaTheme="minorEastAsia" w:hAnsiTheme="minorHAnsi" w:cstheme="minorBidi"/>
          <w:szCs w:val="22"/>
        </w:rPr>
      </w:pPr>
      <w:r>
        <w:t>12.</w:t>
      </w:r>
      <w:r>
        <w:tab/>
        <w:t>Trade waste: routine services</w:t>
      </w:r>
      <w:r>
        <w:tab/>
      </w:r>
      <w:r>
        <w:fldChar w:fldCharType="begin"/>
      </w:r>
      <w:r>
        <w:instrText xml:space="preserve"> PAGEREF _Toc12277710 \h </w:instrText>
      </w:r>
      <w:r>
        <w:fldChar w:fldCharType="separate"/>
      </w:r>
      <w:r>
        <w:t>107</w:t>
      </w:r>
      <w:r>
        <w:fldChar w:fldCharType="end"/>
      </w:r>
    </w:p>
    <w:p>
      <w:pPr>
        <w:pStyle w:val="TOC8"/>
        <w:rPr>
          <w:rFonts w:asciiTheme="minorHAnsi" w:eastAsiaTheme="minorEastAsia" w:hAnsiTheme="minorHAnsi" w:cstheme="minorBidi"/>
          <w:szCs w:val="22"/>
        </w:rPr>
      </w:pPr>
      <w:r>
        <w:t>13.</w:t>
      </w:r>
      <w:r>
        <w:tab/>
        <w:t>Trade waste: ad hoc services</w:t>
      </w:r>
      <w:r>
        <w:tab/>
      </w:r>
      <w:r>
        <w:fldChar w:fldCharType="begin"/>
      </w:r>
      <w:r>
        <w:instrText xml:space="preserve"> PAGEREF _Toc12277711 \h </w:instrText>
      </w:r>
      <w:r>
        <w:fldChar w:fldCharType="separate"/>
      </w:r>
      <w:r>
        <w:t>107</w:t>
      </w:r>
      <w:r>
        <w:fldChar w:fldCharType="end"/>
      </w:r>
    </w:p>
    <w:p>
      <w:pPr>
        <w:pStyle w:val="TOC8"/>
        <w:rPr>
          <w:rFonts w:asciiTheme="minorHAnsi" w:eastAsiaTheme="minorEastAsia" w:hAnsiTheme="minorHAnsi" w:cstheme="minorBidi"/>
          <w:szCs w:val="22"/>
        </w:rPr>
      </w:pPr>
      <w:r>
        <w:t>14.</w:t>
      </w:r>
      <w:r>
        <w:tab/>
        <w:t>Trade waste: one</w:t>
      </w:r>
      <w:r>
        <w:noBreakHyphen/>
        <w:t>off discharge services</w:t>
      </w:r>
      <w:r>
        <w:tab/>
      </w:r>
      <w:r>
        <w:fldChar w:fldCharType="begin"/>
      </w:r>
      <w:r>
        <w:instrText xml:space="preserve"> PAGEREF _Toc12277712 \h </w:instrText>
      </w:r>
      <w:r>
        <w:fldChar w:fldCharType="separate"/>
      </w:r>
      <w:r>
        <w:t>108</w:t>
      </w:r>
      <w:r>
        <w:fldChar w:fldCharType="end"/>
      </w:r>
    </w:p>
    <w:p>
      <w:pPr>
        <w:pStyle w:val="TOC8"/>
        <w:rPr>
          <w:rFonts w:asciiTheme="minorHAnsi" w:eastAsiaTheme="minorEastAsia" w:hAnsiTheme="minorHAnsi" w:cstheme="minorBidi"/>
          <w:szCs w:val="22"/>
        </w:rPr>
      </w:pPr>
      <w:r>
        <w:t>15.</w:t>
      </w:r>
      <w:r>
        <w:tab/>
        <w:t>Meter reading and other information</w:t>
      </w:r>
      <w:r>
        <w:tab/>
      </w:r>
      <w:r>
        <w:fldChar w:fldCharType="begin"/>
      </w:r>
      <w:r>
        <w:instrText xml:space="preserve"> PAGEREF _Toc12277713 \h </w:instrText>
      </w:r>
      <w:r>
        <w:fldChar w:fldCharType="separate"/>
      </w:r>
      <w:r>
        <w:t>108</w:t>
      </w:r>
      <w:r>
        <w:fldChar w:fldCharType="end"/>
      </w:r>
    </w:p>
    <w:p>
      <w:pPr>
        <w:pStyle w:val="TOC8"/>
        <w:rPr>
          <w:rFonts w:asciiTheme="minorHAnsi" w:eastAsiaTheme="minorEastAsia" w:hAnsiTheme="minorHAnsi" w:cstheme="minorBidi"/>
          <w:szCs w:val="22"/>
        </w:rPr>
      </w:pPr>
      <w:r>
        <w:t>16.</w:t>
      </w:r>
      <w:r>
        <w:tab/>
        <w:t>Copies of records</w:t>
      </w:r>
      <w:r>
        <w:tab/>
      </w:r>
      <w:r>
        <w:fldChar w:fldCharType="begin"/>
      </w:r>
      <w:r>
        <w:instrText xml:space="preserve"> PAGEREF _Toc12277714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8 — Government trading organisations</w:t>
      </w:r>
    </w:p>
    <w:p>
      <w:pPr>
        <w:pStyle w:val="TOC2"/>
        <w:tabs>
          <w:tab w:val="right" w:leader="dot" w:pos="7077"/>
        </w:tabs>
        <w:rPr>
          <w:rFonts w:asciiTheme="minorHAnsi" w:eastAsiaTheme="minorEastAsia" w:hAnsiTheme="minorHAnsi" w:cstheme="minorBidi"/>
          <w:b w:val="0"/>
          <w:sz w:val="22"/>
          <w:szCs w:val="22"/>
        </w:rPr>
      </w:pPr>
      <w:r>
        <w:t>Schedule 9 — Central business districts</w:t>
      </w:r>
    </w:p>
    <w:p>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_Toc12277717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10 — Class of town or area: current consumption year</w:t>
      </w:r>
    </w:p>
    <w:p>
      <w:pPr>
        <w:pStyle w:val="TOC2"/>
        <w:tabs>
          <w:tab w:val="right" w:leader="dot" w:pos="7077"/>
        </w:tabs>
        <w:rPr>
          <w:rFonts w:asciiTheme="minorHAnsi" w:eastAsiaTheme="minorEastAsia" w:hAnsiTheme="minorHAnsi" w:cstheme="minorBidi"/>
          <w:b w:val="0"/>
          <w:sz w:val="22"/>
          <w:szCs w:val="22"/>
        </w:rPr>
      </w:pPr>
      <w:r>
        <w:t>Schedule 11 — Class of town or area: previous consumption year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_Toc12277721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3" w:name="_Toc11766179"/>
      <w:bookmarkStart w:id="4" w:name="_Toc11835589"/>
      <w:bookmarkStart w:id="5" w:name="_Toc12273666"/>
      <w:bookmarkStart w:id="6" w:name="_Toc1227749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2277495"/>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Water Services (Water Corporations Charges) Regulations 2014</w:t>
      </w:r>
      <w:r>
        <w:rPr>
          <w:vertAlign w:val="superscript"/>
        </w:rPr>
        <w:t> 1</w:t>
      </w:r>
      <w:r>
        <w:t>.</w:t>
      </w:r>
    </w:p>
    <w:p>
      <w:pPr>
        <w:pStyle w:val="Heading5"/>
        <w:rPr>
          <w:spacing w:val="-2"/>
        </w:rPr>
      </w:pPr>
      <w:bookmarkStart w:id="9" w:name="_Toc12277496"/>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vertAlign w:val="superscript"/>
        </w:rPr>
        <w:t> 1</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0" w:name="_Toc12277497"/>
      <w:r>
        <w:rPr>
          <w:rStyle w:val="CharSectno"/>
        </w:rPr>
        <w:t>3</w:t>
      </w:r>
      <w:r>
        <w:t>.</w:t>
      </w:r>
      <w:r>
        <w:tab/>
        <w:t>Terms used</w:t>
      </w:r>
      <w:bookmarkEnd w:id="10"/>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1" w:name="_Toc11766183"/>
      <w:bookmarkStart w:id="12" w:name="_Toc11835593"/>
      <w:bookmarkStart w:id="13" w:name="_Toc12273670"/>
      <w:bookmarkStart w:id="14" w:name="_Toc12277498"/>
      <w:r>
        <w:rPr>
          <w:rStyle w:val="CharPartNo"/>
        </w:rPr>
        <w:t>Part 2</w:t>
      </w:r>
      <w:r>
        <w:rPr>
          <w:rStyle w:val="CharDivNo"/>
        </w:rPr>
        <w:t> </w:t>
      </w:r>
      <w:r>
        <w:t>—</w:t>
      </w:r>
      <w:r>
        <w:rPr>
          <w:rStyle w:val="CharDivText"/>
        </w:rPr>
        <w:t> </w:t>
      </w:r>
      <w:r>
        <w:rPr>
          <w:rStyle w:val="CharPartText"/>
        </w:rPr>
        <w:t>General provisions</w:t>
      </w:r>
      <w:bookmarkEnd w:id="11"/>
      <w:bookmarkEnd w:id="12"/>
      <w:bookmarkEnd w:id="13"/>
      <w:bookmarkEnd w:id="14"/>
    </w:p>
    <w:p>
      <w:pPr>
        <w:pStyle w:val="Heading5"/>
      </w:pPr>
      <w:bookmarkStart w:id="15" w:name="_Toc12277499"/>
      <w:r>
        <w:rPr>
          <w:rStyle w:val="CharSectno"/>
        </w:rPr>
        <w:t>4</w:t>
      </w:r>
      <w:r>
        <w:t>.</w:t>
      </w:r>
      <w:r>
        <w:tab/>
        <w:t>Annual charges and pro rata annual charges</w:t>
      </w:r>
      <w:bookmarkEnd w:id="15"/>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6" w:name="_Toc12277500"/>
      <w:r>
        <w:rPr>
          <w:rStyle w:val="CharSectno"/>
        </w:rPr>
        <w:t>5</w:t>
      </w:r>
      <w:r>
        <w:t>.</w:t>
      </w:r>
      <w:r>
        <w:tab/>
        <w:t>Amendment of consumption or discharge charges during charge period</w:t>
      </w:r>
      <w:bookmarkEnd w:id="16"/>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17" w:name="_Toc11766186"/>
      <w:bookmarkStart w:id="18" w:name="_Toc11835596"/>
      <w:bookmarkStart w:id="19" w:name="_Toc12273673"/>
      <w:bookmarkStart w:id="20" w:name="_Toc12277501"/>
      <w:r>
        <w:rPr>
          <w:rStyle w:val="CharPartNo"/>
        </w:rPr>
        <w:t>Part 3</w:t>
      </w:r>
      <w:r>
        <w:rPr>
          <w:rStyle w:val="CharDivNo"/>
        </w:rPr>
        <w:t> </w:t>
      </w:r>
      <w:r>
        <w:t>—</w:t>
      </w:r>
      <w:r>
        <w:rPr>
          <w:rStyle w:val="CharDivText"/>
        </w:rPr>
        <w:t> </w:t>
      </w:r>
      <w:r>
        <w:rPr>
          <w:rStyle w:val="CharPartText"/>
        </w:rPr>
        <w:t>Charges for Bunbury Water Corporation</w:t>
      </w:r>
      <w:bookmarkEnd w:id="17"/>
      <w:bookmarkEnd w:id="18"/>
      <w:bookmarkEnd w:id="19"/>
      <w:bookmarkEnd w:id="20"/>
    </w:p>
    <w:p>
      <w:pPr>
        <w:pStyle w:val="Heading5"/>
      </w:pPr>
      <w:bookmarkStart w:id="21" w:name="_Toc12277502"/>
      <w:r>
        <w:rPr>
          <w:rStyle w:val="CharSectno"/>
        </w:rPr>
        <w:t>6</w:t>
      </w:r>
      <w:r>
        <w:t>.</w:t>
      </w:r>
      <w:r>
        <w:tab/>
        <w:t>Terms used</w:t>
      </w:r>
      <w:bookmarkEnd w:id="21"/>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22" w:name="_Toc12277503"/>
      <w:r>
        <w:rPr>
          <w:rStyle w:val="CharSectno"/>
        </w:rPr>
        <w:t>7</w:t>
      </w:r>
      <w:r>
        <w:t>.</w:t>
      </w:r>
      <w:r>
        <w:tab/>
        <w:t>Water supply charges</w:t>
      </w:r>
      <w:bookmarkEnd w:id="22"/>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23" w:name="_Toc12277504"/>
      <w:r>
        <w:rPr>
          <w:rStyle w:val="CharSectno"/>
        </w:rPr>
        <w:t>9</w:t>
      </w:r>
      <w:r>
        <w:t>.</w:t>
      </w:r>
      <w:r>
        <w:tab/>
        <w:t>Concessions</w:t>
      </w:r>
      <w:bookmarkEnd w:id="23"/>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4" w:name="_Toc12277505"/>
      <w:r>
        <w:rPr>
          <w:rStyle w:val="CharSectno"/>
        </w:rPr>
        <w:t>10</w:t>
      </w:r>
      <w:r>
        <w:t>.</w:t>
      </w:r>
      <w:r>
        <w:tab/>
        <w:t>Interest accruing on overdue amounts</w:t>
      </w:r>
      <w:bookmarkEnd w:id="24"/>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 10 amended: Gazette 30 Jun 2015 p. 2363; 27 Jun 2016 p. 2538; 23 Jun 2017 p. 3324.]</w:t>
      </w:r>
    </w:p>
    <w:p>
      <w:pPr>
        <w:pStyle w:val="Heading2"/>
      </w:pPr>
      <w:bookmarkStart w:id="25" w:name="_Toc11766191"/>
      <w:bookmarkStart w:id="26" w:name="_Toc11835601"/>
      <w:bookmarkStart w:id="27" w:name="_Toc12273678"/>
      <w:bookmarkStart w:id="28" w:name="_Toc12277506"/>
      <w:r>
        <w:rPr>
          <w:rStyle w:val="CharPartNo"/>
        </w:rPr>
        <w:t>Part 4</w:t>
      </w:r>
      <w:r>
        <w:rPr>
          <w:rStyle w:val="CharDivNo"/>
        </w:rPr>
        <w:t> </w:t>
      </w:r>
      <w:r>
        <w:t>—</w:t>
      </w:r>
      <w:r>
        <w:rPr>
          <w:rStyle w:val="CharDivText"/>
        </w:rPr>
        <w:t> </w:t>
      </w:r>
      <w:r>
        <w:rPr>
          <w:rStyle w:val="CharPartText"/>
        </w:rPr>
        <w:t>Charges for Busselton Water Corporation</w:t>
      </w:r>
      <w:bookmarkEnd w:id="25"/>
      <w:bookmarkEnd w:id="26"/>
      <w:bookmarkEnd w:id="27"/>
      <w:bookmarkEnd w:id="28"/>
    </w:p>
    <w:p>
      <w:pPr>
        <w:pStyle w:val="Heading5"/>
      </w:pPr>
      <w:bookmarkStart w:id="29" w:name="_Toc12277507"/>
      <w:r>
        <w:rPr>
          <w:rStyle w:val="CharSectno"/>
        </w:rPr>
        <w:t>11</w:t>
      </w:r>
      <w:r>
        <w:t>.</w:t>
      </w:r>
      <w:r>
        <w:tab/>
        <w:t>Terms used</w:t>
      </w:r>
      <w:bookmarkEnd w:id="29"/>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w:t>
      </w:r>
    </w:p>
    <w:p>
      <w:pPr>
        <w:pStyle w:val="Heading5"/>
      </w:pPr>
      <w:bookmarkStart w:id="30" w:name="_Toc12277508"/>
      <w:r>
        <w:rPr>
          <w:rStyle w:val="CharSectno"/>
        </w:rPr>
        <w:t>12</w:t>
      </w:r>
      <w:r>
        <w:t>.</w:t>
      </w:r>
      <w:r>
        <w:tab/>
        <w:t>Water supply charges</w:t>
      </w:r>
      <w:bookmarkEnd w:id="30"/>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31" w:name="_Toc12277509"/>
      <w:r>
        <w:rPr>
          <w:rStyle w:val="CharSectno"/>
        </w:rPr>
        <w:t>14</w:t>
      </w:r>
      <w:r>
        <w:t>.</w:t>
      </w:r>
      <w:r>
        <w:tab/>
        <w:t>Concessions</w:t>
      </w:r>
      <w:bookmarkEnd w:id="31"/>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32" w:name="_Toc12277510"/>
      <w:r>
        <w:rPr>
          <w:rStyle w:val="CharSectno"/>
        </w:rPr>
        <w:t>15A</w:t>
      </w:r>
      <w:r>
        <w:t>.</w:t>
      </w:r>
      <w:r>
        <w:tab/>
        <w:t>Permitted surcharge for using credit card or debit card</w:t>
      </w:r>
      <w:bookmarkEnd w:id="32"/>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33" w:name="_Toc12277511"/>
      <w:r>
        <w:rPr>
          <w:rStyle w:val="CharSectno"/>
        </w:rPr>
        <w:t>15</w:t>
      </w:r>
      <w:r>
        <w:t>.</w:t>
      </w:r>
      <w:r>
        <w:tab/>
        <w:t>Interest accruing on overdue amounts</w:t>
      </w:r>
      <w:bookmarkEnd w:id="33"/>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 15 amended: Gazette 27 Jun 2016 p. 2538; 23 Jun 2017 p. 3324.]</w:t>
      </w:r>
    </w:p>
    <w:p>
      <w:pPr>
        <w:pStyle w:val="Heading2"/>
      </w:pPr>
      <w:bookmarkStart w:id="34" w:name="_Toc11766197"/>
      <w:bookmarkStart w:id="35" w:name="_Toc11835607"/>
      <w:bookmarkStart w:id="36" w:name="_Toc12273684"/>
      <w:bookmarkStart w:id="37" w:name="_Toc12277512"/>
      <w:r>
        <w:rPr>
          <w:rStyle w:val="CharPartNo"/>
        </w:rPr>
        <w:t>Part 5</w:t>
      </w:r>
      <w:r>
        <w:t> — </w:t>
      </w:r>
      <w:r>
        <w:rPr>
          <w:rStyle w:val="CharPartText"/>
        </w:rPr>
        <w:t>Charges for the Water Corporation</w:t>
      </w:r>
      <w:bookmarkEnd w:id="34"/>
      <w:bookmarkEnd w:id="35"/>
      <w:bookmarkEnd w:id="36"/>
      <w:bookmarkEnd w:id="37"/>
    </w:p>
    <w:p>
      <w:pPr>
        <w:pStyle w:val="Heading3"/>
        <w:rPr>
          <w:rStyle w:val="CharDivText"/>
        </w:rPr>
      </w:pPr>
      <w:bookmarkStart w:id="38" w:name="_Toc11766198"/>
      <w:bookmarkStart w:id="39" w:name="_Toc11835608"/>
      <w:bookmarkStart w:id="40" w:name="_Toc12273685"/>
      <w:bookmarkStart w:id="41" w:name="_Toc12277513"/>
      <w:r>
        <w:rPr>
          <w:rStyle w:val="CharDivNo"/>
        </w:rPr>
        <w:t>Division 1</w:t>
      </w:r>
      <w:r>
        <w:t> — </w:t>
      </w:r>
      <w:r>
        <w:rPr>
          <w:rStyle w:val="CharDivText"/>
        </w:rPr>
        <w:t>Preliminary</w:t>
      </w:r>
      <w:bookmarkEnd w:id="38"/>
      <w:bookmarkEnd w:id="39"/>
      <w:bookmarkEnd w:id="40"/>
      <w:bookmarkEnd w:id="41"/>
    </w:p>
    <w:p>
      <w:pPr>
        <w:pStyle w:val="Heading5"/>
      </w:pPr>
      <w:bookmarkStart w:id="42" w:name="_Toc12277514"/>
      <w:r>
        <w:rPr>
          <w:rStyle w:val="CharSectno"/>
        </w:rPr>
        <w:t>16</w:t>
      </w:r>
      <w:r>
        <w:t>.</w:t>
      </w:r>
      <w:r>
        <w:tab/>
        <w:t>Terms used</w:t>
      </w:r>
      <w:bookmarkEnd w:id="42"/>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Gazette 13 Dec 2016 p. 5690; 14 Jun 2019 p. 1930.]</w:t>
      </w:r>
    </w:p>
    <w:p>
      <w:pPr>
        <w:pStyle w:val="Heading5"/>
      </w:pPr>
      <w:bookmarkStart w:id="43" w:name="_Toc12277515"/>
      <w:r>
        <w:rPr>
          <w:rStyle w:val="CharSectno"/>
        </w:rPr>
        <w:t>17</w:t>
      </w:r>
      <w:r>
        <w:t>.</w:t>
      </w:r>
      <w:r>
        <w:tab/>
        <w:t>Concessional land</w:t>
      </w:r>
      <w:bookmarkEnd w:id="43"/>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44" w:name="_Toc11766201"/>
      <w:bookmarkStart w:id="45" w:name="_Toc11835611"/>
      <w:bookmarkStart w:id="46" w:name="_Toc12273688"/>
      <w:bookmarkStart w:id="47" w:name="_Toc12277516"/>
      <w:r>
        <w:rPr>
          <w:rStyle w:val="CharDivNo"/>
        </w:rPr>
        <w:t>Division 2</w:t>
      </w:r>
      <w:r>
        <w:t> — </w:t>
      </w:r>
      <w:r>
        <w:rPr>
          <w:rStyle w:val="CharDivText"/>
        </w:rPr>
        <w:t>Provisions of general application</w:t>
      </w:r>
      <w:bookmarkEnd w:id="44"/>
      <w:bookmarkEnd w:id="45"/>
      <w:bookmarkEnd w:id="46"/>
      <w:bookmarkEnd w:id="47"/>
    </w:p>
    <w:p>
      <w:pPr>
        <w:pStyle w:val="Heading5"/>
      </w:pPr>
      <w:bookmarkStart w:id="48" w:name="_Toc12277517"/>
      <w:r>
        <w:rPr>
          <w:rStyle w:val="CharSectno"/>
        </w:rPr>
        <w:t>18</w:t>
      </w:r>
      <w:r>
        <w:t>.</w:t>
      </w:r>
      <w:r>
        <w:tab/>
        <w:t>Application of this Division</w:t>
      </w:r>
      <w:bookmarkEnd w:id="48"/>
    </w:p>
    <w:p>
      <w:pPr>
        <w:pStyle w:val="Subsection"/>
      </w:pPr>
      <w:r>
        <w:tab/>
      </w:r>
      <w:r>
        <w:tab/>
        <w:t>This Division applies to water service charges applicable under Divisions 3, 4, 5 and 6.</w:t>
      </w:r>
    </w:p>
    <w:p>
      <w:pPr>
        <w:pStyle w:val="Heading5"/>
      </w:pPr>
      <w:bookmarkStart w:id="49" w:name="_Toc12277518"/>
      <w:r>
        <w:rPr>
          <w:rStyle w:val="CharSectno"/>
        </w:rPr>
        <w:t>19</w:t>
      </w:r>
      <w:r>
        <w:t>.</w:t>
      </w:r>
      <w:r>
        <w:tab/>
        <w:t>Payment of charges</w:t>
      </w:r>
      <w:bookmarkEnd w:id="49"/>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50" w:name="_Toc12277519"/>
      <w:r>
        <w:rPr>
          <w:rStyle w:val="CharSectno"/>
        </w:rPr>
        <w:t>20</w:t>
      </w:r>
      <w:r>
        <w:t>.</w:t>
      </w:r>
      <w:r>
        <w:tab/>
        <w:t>Permitted surcharge for using credit card or debit card</w:t>
      </w:r>
      <w:bookmarkEnd w:id="50"/>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51" w:name="_Toc12277520"/>
      <w:r>
        <w:rPr>
          <w:rStyle w:val="CharSectno"/>
        </w:rPr>
        <w:t>21</w:t>
      </w:r>
      <w:r>
        <w:t>.</w:t>
      </w:r>
      <w:r>
        <w:tab/>
        <w:t>Special payment arrangements</w:t>
      </w:r>
      <w:bookmarkEnd w:id="51"/>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52" w:name="_Toc12277521"/>
      <w:r>
        <w:rPr>
          <w:rStyle w:val="CharSectno"/>
        </w:rPr>
        <w:t>22</w:t>
      </w:r>
      <w:r>
        <w:t>.</w:t>
      </w:r>
      <w:r>
        <w:tab/>
        <w:t>Estimating quantity of water or wastewater supplied, discharged or drained</w:t>
      </w:r>
      <w:bookmarkEnd w:id="52"/>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53" w:name="_Toc12277522"/>
      <w:r>
        <w:rPr>
          <w:rStyle w:val="CharSectno"/>
        </w:rPr>
        <w:t>23</w:t>
      </w:r>
      <w:r>
        <w:t>.</w:t>
      </w:r>
      <w:r>
        <w:tab/>
        <w:t>Determining quality and quantity of trade waste discharged</w:t>
      </w:r>
      <w:bookmarkEnd w:id="53"/>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54" w:name="_Toc12277523"/>
      <w:r>
        <w:rPr>
          <w:rStyle w:val="CharSectno"/>
        </w:rPr>
        <w:t>24</w:t>
      </w:r>
      <w:r>
        <w:t>.</w:t>
      </w:r>
      <w:r>
        <w:tab/>
        <w:t>Vacant land: minimum charges before revaluation</w:t>
      </w:r>
      <w:bookmarkEnd w:id="54"/>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55" w:name="_Toc12277524"/>
      <w:r>
        <w:rPr>
          <w:rStyle w:val="CharSectno"/>
        </w:rPr>
        <w:t>25</w:t>
      </w:r>
      <w:r>
        <w:t>.</w:t>
      </w:r>
      <w:r>
        <w:tab/>
        <w:t>Classification of land</w:t>
      </w:r>
      <w:bookmarkEnd w:id="55"/>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3</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56" w:name="_Toc12277525"/>
      <w:r>
        <w:rPr>
          <w:rStyle w:val="CharSectno"/>
        </w:rPr>
        <w:t>26</w:t>
      </w:r>
      <w:r>
        <w:t>.</w:t>
      </w:r>
      <w:r>
        <w:tab/>
        <w:t>Classification of land: holiday accommodation</w:t>
      </w:r>
      <w:bookmarkEnd w:id="56"/>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57" w:name="_Toc12277526"/>
      <w:r>
        <w:rPr>
          <w:rStyle w:val="CharSectno"/>
        </w:rPr>
        <w:t>27</w:t>
      </w:r>
      <w:r>
        <w:t>.</w:t>
      </w:r>
      <w:r>
        <w:tab/>
        <w:t>Commercial caravan parks</w:t>
      </w:r>
      <w:bookmarkEnd w:id="57"/>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3pt">
            <v:imagedata r:id="rId22" o:title=""/>
          </v:shape>
        </w:pict>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58" w:name="_Toc12277527"/>
      <w:r>
        <w:rPr>
          <w:rStyle w:val="CharSectno"/>
        </w:rPr>
        <w:t>28</w:t>
      </w:r>
      <w:r>
        <w:t>.</w:t>
      </w:r>
      <w:r>
        <w:tab/>
        <w:t>Maximum increases for various GRV based charges</w:t>
      </w:r>
      <w:bookmarkEnd w:id="58"/>
    </w:p>
    <w:p>
      <w:pPr>
        <w:pStyle w:val="Subsection"/>
      </w:pPr>
      <w:r>
        <w:tab/>
        <w:t>(1)</w:t>
      </w:r>
      <w:r>
        <w:tab/>
        <w:t>If, for a financial year, a water service charge calculated in respect of land under Schedule 4 item 2, 3 or 11 or Schedule 5 item 6 is more than 12% greater than the charge payable in respect of the land for the same service under the same circumstances in the previous financial year, the charge payable for the financial year cannot be more than 12%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w:t>
      </w:r>
    </w:p>
    <w:p>
      <w:pPr>
        <w:pStyle w:val="Heading5"/>
      </w:pPr>
      <w:bookmarkStart w:id="59" w:name="_Toc12277528"/>
      <w:r>
        <w:rPr>
          <w:rStyle w:val="CharSectno"/>
        </w:rPr>
        <w:t>29</w:t>
      </w:r>
      <w:r>
        <w:t>.</w:t>
      </w:r>
      <w:r>
        <w:tab/>
        <w:t>Interest accruing on overdue amounts</w:t>
      </w:r>
      <w:bookmarkEnd w:id="59"/>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60" w:name="_Toc11766214"/>
      <w:bookmarkStart w:id="61" w:name="_Toc11835624"/>
      <w:bookmarkStart w:id="62" w:name="_Toc12273701"/>
      <w:bookmarkStart w:id="63" w:name="_Toc12277529"/>
      <w:r>
        <w:rPr>
          <w:rStyle w:val="CharDivNo"/>
        </w:rPr>
        <w:t>Division 3</w:t>
      </w:r>
      <w:r>
        <w:t> — </w:t>
      </w:r>
      <w:r>
        <w:rPr>
          <w:rStyle w:val="CharDivText"/>
        </w:rPr>
        <w:t>Water supply charges</w:t>
      </w:r>
      <w:bookmarkEnd w:id="60"/>
      <w:bookmarkEnd w:id="61"/>
      <w:bookmarkEnd w:id="62"/>
      <w:bookmarkEnd w:id="63"/>
    </w:p>
    <w:p>
      <w:pPr>
        <w:pStyle w:val="Heading5"/>
      </w:pPr>
      <w:bookmarkStart w:id="64" w:name="_Toc12277530"/>
      <w:r>
        <w:rPr>
          <w:rStyle w:val="CharSectno"/>
        </w:rPr>
        <w:t>30</w:t>
      </w:r>
      <w:r>
        <w:t>.</w:t>
      </w:r>
      <w:r>
        <w:tab/>
        <w:t>Land connected to water supply works</w:t>
      </w:r>
      <w:bookmarkEnd w:id="64"/>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65" w:name="_Toc12277531"/>
      <w:r>
        <w:rPr>
          <w:rStyle w:val="CharSectno"/>
        </w:rPr>
        <w:t>31</w:t>
      </w:r>
      <w:r>
        <w:t>.</w:t>
      </w:r>
      <w:r>
        <w:tab/>
        <w:t>Water supply charges</w:t>
      </w:r>
      <w:bookmarkEnd w:id="65"/>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66" w:name="_Toc12277532"/>
      <w:r>
        <w:rPr>
          <w:rStyle w:val="CharSectno"/>
        </w:rPr>
        <w:t>32</w:t>
      </w:r>
      <w:r>
        <w:t>.</w:t>
      </w:r>
      <w:r>
        <w:tab/>
        <w:t>Classification of land</w:t>
      </w:r>
      <w:bookmarkEnd w:id="66"/>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w:t>
      </w:r>
    </w:p>
    <w:p>
      <w:pPr>
        <w:pStyle w:val="Heading5"/>
        <w:keepNext w:val="0"/>
        <w:keepLines w:val="0"/>
        <w:widowControl w:val="0"/>
      </w:pPr>
      <w:bookmarkStart w:id="67" w:name="_Toc12277533"/>
      <w:r>
        <w:rPr>
          <w:rStyle w:val="CharSectno"/>
        </w:rPr>
        <w:t>33</w:t>
      </w:r>
      <w:r>
        <w:t>.</w:t>
      </w:r>
      <w:r>
        <w:tab/>
        <w:t>Change of occupancy during year</w:t>
      </w:r>
      <w:bookmarkEnd w:id="67"/>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pPr>
      <w:r>
        <w:tab/>
      </w:r>
      <w:r>
        <w:tab/>
      </w:r>
      <w:r>
        <w:rPr>
          <w:position w:val="-24"/>
        </w:rPr>
        <w:pict>
          <v:shape id="_x0000_i1026" type="#_x0000_t75" style="width:17.25pt;height:33pt">
            <v:imagedata r:id="rId23" o:title=""/>
          </v:shape>
        </w:pict>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w:t>
      </w:r>
    </w:p>
    <w:p>
      <w:pPr>
        <w:pStyle w:val="Heading5"/>
        <w:keepNext w:val="0"/>
        <w:keepLines w:val="0"/>
        <w:spacing w:before="160"/>
      </w:pPr>
      <w:bookmarkStart w:id="68" w:name="_Toc12277534"/>
      <w:r>
        <w:rPr>
          <w:rStyle w:val="CharSectno"/>
        </w:rPr>
        <w:t>34</w:t>
      </w:r>
      <w:r>
        <w:t>.</w:t>
      </w:r>
      <w:r>
        <w:tab/>
        <w:t>Concessions: consumption charges</w:t>
      </w:r>
      <w:bookmarkEnd w:id="68"/>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spacing w:before="180"/>
      </w:pPr>
      <w:bookmarkStart w:id="69" w:name="_Toc12277535"/>
      <w:r>
        <w:rPr>
          <w:rStyle w:val="CharSectno"/>
        </w:rPr>
        <w:t>35</w:t>
      </w:r>
      <w:r>
        <w:t>.</w:t>
      </w:r>
      <w:r>
        <w:tab/>
        <w:t>Concessions: certain occupiers of multi</w:t>
      </w:r>
      <w:r>
        <w:noBreakHyphen/>
        <w:t>unit developments</w:t>
      </w:r>
      <w:bookmarkEnd w:id="69"/>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70" w:name="_Toc12277536"/>
      <w:r>
        <w:rPr>
          <w:rStyle w:val="CharSectno"/>
        </w:rPr>
        <w:t>36</w:t>
      </w:r>
      <w:r>
        <w:t>.</w:t>
      </w:r>
      <w:r>
        <w:tab/>
        <w:t>Concessions: certain retirement village residents</w:t>
      </w:r>
      <w:bookmarkEnd w:id="70"/>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3"/>
        <w:keepNext w:val="0"/>
        <w:widowControl w:val="0"/>
      </w:pPr>
      <w:bookmarkStart w:id="71" w:name="_Toc11766222"/>
      <w:bookmarkStart w:id="72" w:name="_Toc11835632"/>
      <w:bookmarkStart w:id="73" w:name="_Toc12273709"/>
      <w:bookmarkStart w:id="74" w:name="_Toc12277537"/>
      <w:r>
        <w:rPr>
          <w:rStyle w:val="CharDivNo"/>
        </w:rPr>
        <w:t>Division 4</w:t>
      </w:r>
      <w:r>
        <w:t> — </w:t>
      </w:r>
      <w:r>
        <w:rPr>
          <w:rStyle w:val="CharDivText"/>
        </w:rPr>
        <w:t>Sewerage charges</w:t>
      </w:r>
      <w:bookmarkEnd w:id="71"/>
      <w:bookmarkEnd w:id="72"/>
      <w:bookmarkEnd w:id="73"/>
      <w:bookmarkEnd w:id="74"/>
    </w:p>
    <w:p>
      <w:pPr>
        <w:pStyle w:val="Heading5"/>
      </w:pPr>
      <w:bookmarkStart w:id="75" w:name="_Toc12277538"/>
      <w:r>
        <w:rPr>
          <w:rStyle w:val="CharSectno"/>
        </w:rPr>
        <w:t>37</w:t>
      </w:r>
      <w:r>
        <w:t>.</w:t>
      </w:r>
      <w:r>
        <w:tab/>
        <w:t>Land connected to sewerage works</w:t>
      </w:r>
      <w:bookmarkEnd w:id="75"/>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76" w:name="_Toc12277539"/>
      <w:r>
        <w:rPr>
          <w:rStyle w:val="CharSectno"/>
        </w:rPr>
        <w:t>38</w:t>
      </w:r>
      <w:r>
        <w:t>.</w:t>
      </w:r>
      <w:r>
        <w:tab/>
        <w:t>Sewerage areas</w:t>
      </w:r>
      <w:bookmarkEnd w:id="76"/>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4</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4</w:t>
      </w:r>
      <w:r>
        <w:t xml:space="preserve"> section 4.</w:t>
      </w:r>
    </w:p>
    <w:p>
      <w:pPr>
        <w:pStyle w:val="Heading5"/>
        <w:spacing w:before="180"/>
      </w:pPr>
      <w:bookmarkStart w:id="77" w:name="_Toc12277540"/>
      <w:r>
        <w:rPr>
          <w:rStyle w:val="CharSectno"/>
        </w:rPr>
        <w:t>39</w:t>
      </w:r>
      <w:r>
        <w:t>.</w:t>
      </w:r>
      <w:r>
        <w:tab/>
        <w:t>Sewerage charges</w:t>
      </w:r>
      <w:bookmarkEnd w:id="77"/>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78" w:name="_Toc12277541"/>
      <w:r>
        <w:rPr>
          <w:rStyle w:val="CharSectno"/>
        </w:rPr>
        <w:t>40</w:t>
      </w:r>
      <w:r>
        <w:t>.</w:t>
      </w:r>
      <w:r>
        <w:tab/>
        <w:t>Classification of land</w:t>
      </w:r>
      <w:bookmarkEnd w:id="78"/>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79" w:name="_Toc12277542"/>
      <w:r>
        <w:rPr>
          <w:rStyle w:val="CharSectno"/>
        </w:rPr>
        <w:t>41</w:t>
      </w:r>
      <w:r>
        <w:t>.</w:t>
      </w:r>
      <w:r>
        <w:tab/>
        <w:t>Minimum charges: Schedule 4 Division 2</w:t>
      </w:r>
      <w:bookmarkEnd w:id="79"/>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80" w:name="_Toc12277543"/>
      <w:r>
        <w:rPr>
          <w:rStyle w:val="CharSectno"/>
        </w:rPr>
        <w:t>42</w:t>
      </w:r>
      <w:r>
        <w:t>.</w:t>
      </w:r>
      <w:r>
        <w:tab/>
        <w:t>Estimating charge, or volume discharged, for previous year: Schedule 4 Division 2</w:t>
      </w:r>
      <w:bookmarkEnd w:id="80"/>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81" w:name="_Toc12277544"/>
      <w:r>
        <w:rPr>
          <w:rStyle w:val="CharSectno"/>
        </w:rPr>
        <w:t>43</w:t>
      </w:r>
      <w:r>
        <w:t>.</w:t>
      </w:r>
      <w:r>
        <w:tab/>
        <w:t>Determining number of major fixtures: Schedule 4 Division 2</w:t>
      </w:r>
      <w:bookmarkEnd w:id="81"/>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82" w:name="_Toc12277545"/>
      <w:r>
        <w:rPr>
          <w:rStyle w:val="CharSectno"/>
        </w:rPr>
        <w:t>44</w:t>
      </w:r>
      <w:r>
        <w:t>.</w:t>
      </w:r>
      <w:r>
        <w:tab/>
        <w:t>Concessions: certain retirement village residents</w:t>
      </w:r>
      <w:bookmarkEnd w:id="82"/>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w:t>
      </w:r>
    </w:p>
    <w:p>
      <w:pPr>
        <w:pStyle w:val="Heading3"/>
        <w:keepNext w:val="0"/>
        <w:spacing w:before="180"/>
      </w:pPr>
      <w:bookmarkStart w:id="83" w:name="_Toc11766231"/>
      <w:bookmarkStart w:id="84" w:name="_Toc11835641"/>
      <w:bookmarkStart w:id="85" w:name="_Toc12273718"/>
      <w:bookmarkStart w:id="86" w:name="_Toc12277546"/>
      <w:r>
        <w:rPr>
          <w:rStyle w:val="CharDivNo"/>
        </w:rPr>
        <w:t>Division 5</w:t>
      </w:r>
      <w:r>
        <w:t> — </w:t>
      </w:r>
      <w:r>
        <w:rPr>
          <w:rStyle w:val="CharDivText"/>
        </w:rPr>
        <w:t>Drainage charges</w:t>
      </w:r>
      <w:bookmarkEnd w:id="83"/>
      <w:bookmarkEnd w:id="84"/>
      <w:bookmarkEnd w:id="85"/>
      <w:bookmarkEnd w:id="86"/>
    </w:p>
    <w:p>
      <w:pPr>
        <w:pStyle w:val="Heading5"/>
        <w:spacing w:before="180"/>
      </w:pPr>
      <w:bookmarkStart w:id="87" w:name="_Toc12277547"/>
      <w:r>
        <w:rPr>
          <w:rStyle w:val="CharSectno"/>
        </w:rPr>
        <w:t>45</w:t>
      </w:r>
      <w:r>
        <w:t>.</w:t>
      </w:r>
      <w:r>
        <w:tab/>
        <w:t>Drainage areas</w:t>
      </w:r>
      <w:bookmarkEnd w:id="87"/>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5</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5</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88" w:name="_Toc12277548"/>
      <w:r>
        <w:rPr>
          <w:rStyle w:val="CharSectno"/>
        </w:rPr>
        <w:t>46</w:t>
      </w:r>
      <w:r>
        <w:t>.</w:t>
      </w:r>
      <w:r>
        <w:tab/>
        <w:t>Drainage areas: notice of and objections to proposed designation</w:t>
      </w:r>
      <w:bookmarkEnd w:id="88"/>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89" w:name="_Toc12277549"/>
      <w:r>
        <w:rPr>
          <w:rStyle w:val="CharSectno"/>
        </w:rPr>
        <w:t>47</w:t>
      </w:r>
      <w:r>
        <w:t>.</w:t>
      </w:r>
      <w:r>
        <w:tab/>
        <w:t>Drainage charges</w:t>
      </w:r>
      <w:bookmarkEnd w:id="89"/>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90" w:name="_Toc12277550"/>
      <w:r>
        <w:rPr>
          <w:rStyle w:val="CharSectno"/>
        </w:rPr>
        <w:t>48</w:t>
      </w:r>
      <w:r>
        <w:t>.</w:t>
      </w:r>
      <w:r>
        <w:tab/>
        <w:t>Classification of land</w:t>
      </w:r>
      <w:bookmarkEnd w:id="90"/>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91" w:name="_Toc12277551"/>
      <w:r>
        <w:rPr>
          <w:rStyle w:val="CharSectno"/>
        </w:rPr>
        <w:t>49</w:t>
      </w:r>
      <w:r>
        <w:t>.</w:t>
      </w:r>
      <w:r>
        <w:tab/>
        <w:t>Concessions: certain retirement village residents</w:t>
      </w:r>
      <w:bookmarkEnd w:id="91"/>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92" w:name="_Toc11766237"/>
      <w:bookmarkStart w:id="93" w:name="_Toc11835647"/>
      <w:bookmarkStart w:id="94" w:name="_Toc12273724"/>
      <w:bookmarkStart w:id="95" w:name="_Toc12277552"/>
      <w:r>
        <w:rPr>
          <w:rStyle w:val="CharDivNo"/>
        </w:rPr>
        <w:t>Division 6</w:t>
      </w:r>
      <w:r>
        <w:t> — </w:t>
      </w:r>
      <w:r>
        <w:rPr>
          <w:rStyle w:val="CharDivText"/>
        </w:rPr>
        <w:t>Irrigation charges</w:t>
      </w:r>
      <w:bookmarkEnd w:id="92"/>
      <w:bookmarkEnd w:id="93"/>
      <w:bookmarkEnd w:id="94"/>
      <w:bookmarkEnd w:id="95"/>
    </w:p>
    <w:p>
      <w:pPr>
        <w:pStyle w:val="Heading5"/>
      </w:pPr>
      <w:bookmarkStart w:id="96" w:name="_Toc12277553"/>
      <w:r>
        <w:rPr>
          <w:rStyle w:val="CharSectno"/>
        </w:rPr>
        <w:t>50</w:t>
      </w:r>
      <w:r>
        <w:t>.</w:t>
      </w:r>
      <w:r>
        <w:tab/>
        <w:t>Charges for water supplied from certain irrigation works</w:t>
      </w:r>
      <w:bookmarkEnd w:id="96"/>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97" w:name="_Toc11766239"/>
      <w:bookmarkStart w:id="98" w:name="_Toc11835649"/>
      <w:bookmarkStart w:id="99" w:name="_Toc12273726"/>
      <w:bookmarkStart w:id="100" w:name="_Toc12277554"/>
      <w:r>
        <w:rPr>
          <w:rStyle w:val="CharDivNo"/>
        </w:rPr>
        <w:t>Division 7</w:t>
      </w:r>
      <w:r>
        <w:t> — </w:t>
      </w:r>
      <w:r>
        <w:rPr>
          <w:rStyle w:val="CharDivText"/>
        </w:rPr>
        <w:t>Miscellaneous charges</w:t>
      </w:r>
      <w:bookmarkEnd w:id="97"/>
      <w:bookmarkEnd w:id="98"/>
      <w:bookmarkEnd w:id="99"/>
      <w:bookmarkEnd w:id="100"/>
    </w:p>
    <w:p>
      <w:pPr>
        <w:pStyle w:val="Heading5"/>
        <w:keepNext w:val="0"/>
        <w:keepLines w:val="0"/>
        <w:spacing w:before="180"/>
      </w:pPr>
      <w:bookmarkStart w:id="101" w:name="_Toc12277555"/>
      <w:r>
        <w:rPr>
          <w:rStyle w:val="CharSectno"/>
        </w:rPr>
        <w:t>51</w:t>
      </w:r>
      <w:r>
        <w:t>.</w:t>
      </w:r>
      <w:r>
        <w:tab/>
        <w:t>Miscellaneous charges</w:t>
      </w:r>
      <w:bookmarkEnd w:id="101"/>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102" w:name="_Toc11766241"/>
      <w:bookmarkStart w:id="103" w:name="_Toc11835651"/>
      <w:bookmarkStart w:id="104" w:name="_Toc12273728"/>
      <w:bookmarkStart w:id="105" w:name="_Toc12277556"/>
      <w:r>
        <w:rPr>
          <w:rStyle w:val="CharPartNo"/>
        </w:rPr>
        <w:t>Part 6</w:t>
      </w:r>
      <w:r>
        <w:t> — </w:t>
      </w:r>
      <w:r>
        <w:rPr>
          <w:rStyle w:val="CharPartText"/>
        </w:rPr>
        <w:t>Repeal of regulations and transitional provisions</w:t>
      </w:r>
      <w:bookmarkEnd w:id="102"/>
      <w:bookmarkEnd w:id="103"/>
      <w:bookmarkEnd w:id="104"/>
      <w:bookmarkEnd w:id="105"/>
    </w:p>
    <w:p>
      <w:pPr>
        <w:pStyle w:val="Heading3"/>
      </w:pPr>
      <w:bookmarkStart w:id="106" w:name="_Toc11766242"/>
      <w:bookmarkStart w:id="107" w:name="_Toc11835652"/>
      <w:bookmarkStart w:id="108" w:name="_Toc12273729"/>
      <w:bookmarkStart w:id="109" w:name="_Toc12277557"/>
      <w:r>
        <w:rPr>
          <w:rStyle w:val="CharDivNo"/>
        </w:rPr>
        <w:t>Division 1</w:t>
      </w:r>
      <w:r>
        <w:t> — </w:t>
      </w:r>
      <w:r>
        <w:rPr>
          <w:rStyle w:val="CharDivText"/>
          <w:i/>
        </w:rPr>
        <w:t>Water Services (Water Corporations Charges) Regulations 2013</w:t>
      </w:r>
      <w:r>
        <w:rPr>
          <w:rStyle w:val="CharDivText"/>
        </w:rPr>
        <w:t xml:space="preserve"> repealed</w:t>
      </w:r>
      <w:bookmarkEnd w:id="106"/>
      <w:bookmarkEnd w:id="107"/>
      <w:bookmarkEnd w:id="108"/>
      <w:bookmarkEnd w:id="109"/>
    </w:p>
    <w:p>
      <w:pPr>
        <w:pStyle w:val="Heading5"/>
        <w:rPr>
          <w:b w:val="0"/>
        </w:rPr>
      </w:pPr>
      <w:bookmarkStart w:id="110" w:name="_Toc12277558"/>
      <w:r>
        <w:rPr>
          <w:rStyle w:val="CharSectno"/>
        </w:rPr>
        <w:t>52</w:t>
      </w:r>
      <w:r>
        <w:t>.</w:t>
      </w:r>
      <w:r>
        <w:tab/>
      </w:r>
      <w:r>
        <w:rPr>
          <w:i/>
        </w:rPr>
        <w:t>Water Services (Water Corporations Charges) Regulations 2013</w:t>
      </w:r>
      <w:r>
        <w:t xml:space="preserve"> repealed</w:t>
      </w:r>
      <w:bookmarkEnd w:id="110"/>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111" w:name="_Toc11766244"/>
      <w:bookmarkStart w:id="112" w:name="_Toc11835654"/>
      <w:bookmarkStart w:id="113" w:name="_Toc12273731"/>
      <w:bookmarkStart w:id="114" w:name="_Toc12277559"/>
      <w:r>
        <w:rPr>
          <w:rStyle w:val="CharDivNo"/>
        </w:rPr>
        <w:t>Division 2</w:t>
      </w:r>
      <w:r>
        <w:t> — </w:t>
      </w:r>
      <w:r>
        <w:rPr>
          <w:rStyle w:val="CharDivText"/>
        </w:rPr>
        <w:t xml:space="preserve">Transitional provisions: </w:t>
      </w:r>
      <w:r>
        <w:rPr>
          <w:rStyle w:val="CharDivText"/>
          <w:i/>
        </w:rPr>
        <w:t>Water Services (Water Corporations Charges) Regulations 2014</w:t>
      </w:r>
      <w:bookmarkEnd w:id="111"/>
      <w:bookmarkEnd w:id="112"/>
      <w:bookmarkEnd w:id="113"/>
      <w:bookmarkEnd w:id="114"/>
    </w:p>
    <w:p>
      <w:pPr>
        <w:pStyle w:val="Footnoteheading"/>
      </w:pPr>
      <w:r>
        <w:tab/>
        <w:t>[Heading amended: Gazette 15 Oct 2014 p. 3943.]</w:t>
      </w:r>
    </w:p>
    <w:p>
      <w:pPr>
        <w:pStyle w:val="Heading4"/>
      </w:pPr>
      <w:bookmarkStart w:id="115" w:name="_Toc11766245"/>
      <w:bookmarkStart w:id="116" w:name="_Toc11835655"/>
      <w:bookmarkStart w:id="117" w:name="_Toc12273732"/>
      <w:bookmarkStart w:id="118" w:name="_Toc12277560"/>
      <w:r>
        <w:t>Subdivision 1 — General provisions</w:t>
      </w:r>
      <w:bookmarkEnd w:id="115"/>
      <w:bookmarkEnd w:id="116"/>
      <w:bookmarkEnd w:id="117"/>
      <w:bookmarkEnd w:id="118"/>
    </w:p>
    <w:p>
      <w:pPr>
        <w:pStyle w:val="Heading5"/>
        <w:rPr>
          <w:b w:val="0"/>
        </w:rPr>
      </w:pPr>
      <w:bookmarkStart w:id="119" w:name="_Toc12277561"/>
      <w:r>
        <w:rPr>
          <w:rStyle w:val="CharSectno"/>
        </w:rPr>
        <w:t>53</w:t>
      </w:r>
      <w:r>
        <w:t>.</w:t>
      </w:r>
      <w:r>
        <w:tab/>
        <w:t xml:space="preserve">Application of the </w:t>
      </w:r>
      <w:r>
        <w:rPr>
          <w:i/>
        </w:rPr>
        <w:t>Interpretation Act 1984</w:t>
      </w:r>
      <w:bookmarkEnd w:id="119"/>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120" w:name="_Toc12277562"/>
      <w:r>
        <w:rPr>
          <w:rStyle w:val="CharSectno"/>
        </w:rPr>
        <w:t>54</w:t>
      </w:r>
      <w:r>
        <w:t>.</w:t>
      </w:r>
      <w:r>
        <w:tab/>
        <w:t>Liability to water service charges</w:t>
      </w:r>
      <w:bookmarkEnd w:id="120"/>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3</w:t>
      </w:r>
      <w:r>
        <w:t xml:space="preserve"> had instead been amended to provide for water service charges in the terms in which they are provided for by these regulations.</w:t>
      </w:r>
    </w:p>
    <w:p>
      <w:pPr>
        <w:pStyle w:val="Heading5"/>
      </w:pPr>
      <w:bookmarkStart w:id="121" w:name="_Toc12277563"/>
      <w:r>
        <w:rPr>
          <w:rStyle w:val="CharSectno"/>
        </w:rPr>
        <w:t>55</w:t>
      </w:r>
      <w:r>
        <w:t>.</w:t>
      </w:r>
      <w:r>
        <w:tab/>
        <w:t>Continuing effect of things done before 1 July 2014</w:t>
      </w:r>
      <w:bookmarkEnd w:id="121"/>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3</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122" w:name="_Toc12277564"/>
      <w:r>
        <w:rPr>
          <w:rStyle w:val="CharSectno"/>
        </w:rPr>
        <w:t>56</w:t>
      </w:r>
      <w:r>
        <w:t>.</w:t>
      </w:r>
      <w:r>
        <w:tab/>
        <w:t>Relationship between Subdivision 1 and Subdivision 2</w:t>
      </w:r>
      <w:bookmarkEnd w:id="122"/>
    </w:p>
    <w:p>
      <w:pPr>
        <w:pStyle w:val="Subsection"/>
      </w:pPr>
      <w:r>
        <w:tab/>
      </w:r>
      <w:r>
        <w:tab/>
        <w:t>The generality of the provisions in this Subdivision is not limited by the specificity of the provisions in Subdivision 2.</w:t>
      </w:r>
    </w:p>
    <w:p>
      <w:pPr>
        <w:pStyle w:val="Heading4"/>
      </w:pPr>
      <w:bookmarkStart w:id="123" w:name="_Toc11766250"/>
      <w:bookmarkStart w:id="124" w:name="_Toc11835660"/>
      <w:bookmarkStart w:id="125" w:name="_Toc12273737"/>
      <w:bookmarkStart w:id="126" w:name="_Toc12277565"/>
      <w:r>
        <w:t>Subdivision 2 — Specific provisions</w:t>
      </w:r>
      <w:bookmarkEnd w:id="123"/>
      <w:bookmarkEnd w:id="124"/>
      <w:bookmarkEnd w:id="125"/>
      <w:bookmarkEnd w:id="126"/>
    </w:p>
    <w:p>
      <w:pPr>
        <w:pStyle w:val="Heading5"/>
      </w:pPr>
      <w:bookmarkStart w:id="127" w:name="_Toc12277566"/>
      <w:r>
        <w:rPr>
          <w:rStyle w:val="CharSectno"/>
        </w:rPr>
        <w:t>57</w:t>
      </w:r>
      <w:r>
        <w:t>.</w:t>
      </w:r>
      <w:r>
        <w:tab/>
        <w:t>Commencement of these regulations during charge period</w:t>
      </w:r>
      <w:bookmarkEnd w:id="127"/>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3 </w:t>
      </w:r>
      <w:r>
        <w:t>as in effect immediately before 1 July 2014.</w:t>
      </w:r>
    </w:p>
    <w:p>
      <w:pPr>
        <w:pStyle w:val="Heading5"/>
      </w:pPr>
      <w:bookmarkStart w:id="128" w:name="_Toc12277567"/>
      <w:r>
        <w:rPr>
          <w:rStyle w:val="CharSectno"/>
        </w:rPr>
        <w:t>58</w:t>
      </w:r>
      <w:r>
        <w:t>.</w:t>
      </w:r>
      <w:r>
        <w:tab/>
        <w:t>Special payment arrangements</w:t>
      </w:r>
      <w:bookmarkEnd w:id="128"/>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3</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129" w:name="_Toc12277568"/>
      <w:r>
        <w:rPr>
          <w:rStyle w:val="CharSectno"/>
        </w:rPr>
        <w:t>59</w:t>
      </w:r>
      <w:r>
        <w:t>.</w:t>
      </w:r>
      <w:r>
        <w:tab/>
        <w:t>Commercial caravan parks</w:t>
      </w:r>
      <w:bookmarkEnd w:id="129"/>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3</w:t>
      </w:r>
      <w:r>
        <w:t xml:space="preserve"> by</w:t>
      </w:r>
      <w:r>
        <w:noBreakHyphen/>
        <w:t>law 17A, has effect for the purposes of these regulations as if made under regulation 27.</w:t>
      </w:r>
    </w:p>
    <w:p>
      <w:pPr>
        <w:pStyle w:val="Heading5"/>
      </w:pPr>
      <w:bookmarkStart w:id="130" w:name="_Toc12277569"/>
      <w:r>
        <w:rPr>
          <w:rStyle w:val="CharSectno"/>
        </w:rPr>
        <w:t>60</w:t>
      </w:r>
      <w:r>
        <w:t>.</w:t>
      </w:r>
      <w:r>
        <w:tab/>
        <w:t>Certain charges and discharge volumes before 1 July 2014</w:t>
      </w:r>
      <w:bookmarkEnd w:id="130"/>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3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3</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3</w:t>
      </w:r>
      <w:r>
        <w:t>, as in effect at the relevant time, are to be used.</w:t>
      </w:r>
    </w:p>
    <w:p>
      <w:pPr>
        <w:pStyle w:val="Heading5"/>
      </w:pPr>
      <w:bookmarkStart w:id="131" w:name="_Toc12277570"/>
      <w:r>
        <w:rPr>
          <w:rStyle w:val="CharSectno"/>
        </w:rPr>
        <w:t>61</w:t>
      </w:r>
      <w:r>
        <w:t>.</w:t>
      </w:r>
      <w:r>
        <w:tab/>
        <w:t>Concessions: r. 34 and 35</w:t>
      </w:r>
      <w:bookmarkEnd w:id="131"/>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3</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3</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3</w:t>
      </w:r>
      <w:r>
        <w:t xml:space="preserve"> by</w:t>
      </w:r>
      <w:r>
        <w:noBreakHyphen/>
        <w:t>law 18B becomes, on 1 July 2014, a person registered with the Water Corporation for the purposes of regulation 35.</w:t>
      </w:r>
    </w:p>
    <w:p>
      <w:pPr>
        <w:pStyle w:val="Heading3"/>
      </w:pPr>
      <w:bookmarkStart w:id="132" w:name="_Toc11766256"/>
      <w:bookmarkStart w:id="133" w:name="_Toc11835666"/>
      <w:bookmarkStart w:id="134" w:name="_Toc12273743"/>
      <w:bookmarkStart w:id="135" w:name="_Toc12277571"/>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132"/>
      <w:bookmarkEnd w:id="133"/>
      <w:bookmarkEnd w:id="134"/>
      <w:bookmarkEnd w:id="135"/>
    </w:p>
    <w:p>
      <w:pPr>
        <w:pStyle w:val="Footnoteheading"/>
      </w:pPr>
      <w:r>
        <w:tab/>
        <w:t>[Heading inserted: Gazette 15 Oct 2014 p. 3944.]</w:t>
      </w:r>
    </w:p>
    <w:p>
      <w:pPr>
        <w:pStyle w:val="Heading5"/>
      </w:pPr>
      <w:bookmarkStart w:id="136" w:name="_Toc12277572"/>
      <w:r>
        <w:rPr>
          <w:rStyle w:val="CharSectno"/>
        </w:rPr>
        <w:t>62</w:t>
      </w:r>
      <w:r>
        <w:t>.</w:t>
      </w:r>
      <w:r>
        <w:tab/>
        <w:t>Application of r. 5</w:t>
      </w:r>
      <w:bookmarkEnd w:id="136"/>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137" w:name="_Toc12277573"/>
      <w:r>
        <w:rPr>
          <w:rStyle w:val="CharSectno"/>
        </w:rPr>
        <w:t>63</w:t>
      </w:r>
      <w:r>
        <w:t>.</w:t>
      </w:r>
      <w:r>
        <w:tab/>
        <w:t>Reduction, waiver or refund of certain charges</w:t>
      </w:r>
      <w:bookmarkEnd w:id="137"/>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Gazette 15 Oct 2014 p. 3944.]</w:t>
      </w:r>
    </w:p>
    <w:p>
      <w:pPr>
        <w:sectPr>
          <w:headerReference w:type="even" r:id="rId24"/>
          <w:head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38" w:name="_Toc10034184"/>
      <w:bookmarkStart w:id="139" w:name="_Toc10034344"/>
      <w:bookmarkStart w:id="140" w:name="_Toc10107664"/>
      <w:bookmarkStart w:id="141" w:name="_Toc10107824"/>
      <w:bookmarkStart w:id="142" w:name="_Toc10121131"/>
      <w:bookmarkStart w:id="143" w:name="_Toc10124516"/>
      <w:bookmarkStart w:id="144" w:name="_Toc10193801"/>
      <w:bookmarkStart w:id="145" w:name="_Toc10203588"/>
      <w:bookmarkStart w:id="146" w:name="_Toc10203744"/>
      <w:bookmarkStart w:id="147" w:name="_Toc10534898"/>
      <w:bookmarkStart w:id="148" w:name="_Toc10535771"/>
      <w:bookmarkStart w:id="149" w:name="_Toc10642182"/>
      <w:bookmarkStart w:id="150" w:name="_Toc11835669"/>
      <w:bookmarkStart w:id="151" w:name="_Toc12273746"/>
      <w:bookmarkStart w:id="152" w:name="_Toc12277574"/>
      <w:bookmarkStart w:id="153" w:name="_Toc10034194"/>
      <w:bookmarkStart w:id="154" w:name="_Toc10034354"/>
      <w:bookmarkStart w:id="155" w:name="_Toc10107674"/>
      <w:bookmarkStart w:id="156" w:name="_Toc10107834"/>
      <w:bookmarkStart w:id="157" w:name="_Toc10121141"/>
      <w:bookmarkStart w:id="158" w:name="_Toc10124526"/>
      <w:bookmarkStart w:id="159" w:name="_Toc10193811"/>
      <w:bookmarkStart w:id="160" w:name="_Toc10203598"/>
      <w:bookmarkStart w:id="161" w:name="_Toc10203754"/>
      <w:bookmarkStart w:id="162" w:name="_Toc10534908"/>
      <w:bookmarkStart w:id="163" w:name="_Toc10535781"/>
      <w:bookmarkStart w:id="164" w:name="_Toc10642192"/>
      <w:bookmarkStart w:id="165" w:name="_Toc11766259"/>
      <w:r>
        <w:rPr>
          <w:rStyle w:val="CharSchNo"/>
        </w:rPr>
        <w:t>Schedule 1</w:t>
      </w:r>
      <w:r>
        <w:t> — </w:t>
      </w:r>
      <w:r>
        <w:rPr>
          <w:rStyle w:val="CharSchText"/>
        </w:rPr>
        <w:t>Charges for Bunbury Water Corporation</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yShoulderClause"/>
      </w:pPr>
      <w:r>
        <w:t>[r. 7]</w:t>
      </w:r>
    </w:p>
    <w:p>
      <w:pPr>
        <w:pStyle w:val="yFootnoteheading"/>
        <w:spacing w:after="120"/>
      </w:pPr>
      <w:bookmarkStart w:id="166" w:name="_Toc10034185"/>
      <w:bookmarkStart w:id="167" w:name="_Toc10034345"/>
      <w:bookmarkStart w:id="168" w:name="_Toc10107665"/>
      <w:bookmarkStart w:id="169" w:name="_Toc10107825"/>
      <w:bookmarkStart w:id="170" w:name="_Toc10121132"/>
      <w:bookmarkStart w:id="171" w:name="_Toc10124517"/>
      <w:bookmarkStart w:id="172" w:name="_Toc10193802"/>
      <w:bookmarkStart w:id="173" w:name="_Toc10203589"/>
      <w:bookmarkStart w:id="174" w:name="_Toc10203745"/>
      <w:bookmarkStart w:id="175" w:name="_Toc10534899"/>
      <w:bookmarkStart w:id="176" w:name="_Toc10535772"/>
      <w:bookmarkStart w:id="177" w:name="_Toc10642183"/>
      <w:r>
        <w:tab/>
        <w:t>[Heading inserted: Gazette 14 Jun 2019 p. 1931.]</w:t>
      </w:r>
    </w:p>
    <w:p>
      <w:pPr>
        <w:pStyle w:val="yHeading3"/>
      </w:pPr>
      <w:bookmarkStart w:id="178" w:name="_Toc11835670"/>
      <w:bookmarkStart w:id="179" w:name="_Toc12273747"/>
      <w:bookmarkStart w:id="180" w:name="_Toc12277575"/>
      <w:r>
        <w:rPr>
          <w:rStyle w:val="CharSDivNo"/>
        </w:rPr>
        <w:t>Division 1</w:t>
      </w:r>
      <w:r>
        <w:rPr>
          <w:b w:val="0"/>
        </w:rPr>
        <w:t> — </w:t>
      </w:r>
      <w:r>
        <w:rPr>
          <w:rStyle w:val="CharSDivText"/>
        </w:rPr>
        <w:t>Service charges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yFootnoteheading"/>
        <w:spacing w:after="120"/>
      </w:pPr>
      <w:bookmarkStart w:id="181" w:name="_Toc10193803"/>
      <w:bookmarkStart w:id="182" w:name="_Toc10642184"/>
      <w:r>
        <w:tab/>
        <w:t>[Heading inserted: Gazette 14 Jun 2019 p. 1931.]</w:t>
      </w:r>
    </w:p>
    <w:p>
      <w:pPr>
        <w:pStyle w:val="yHeading5"/>
      </w:pPr>
      <w:bookmarkStart w:id="183" w:name="_Toc12277576"/>
      <w:r>
        <w:rPr>
          <w:rStyle w:val="CharSClsNo"/>
        </w:rPr>
        <w:t>1</w:t>
      </w:r>
      <w:r>
        <w:t>.</w:t>
      </w:r>
      <w:r>
        <w:tab/>
      </w:r>
      <w:r>
        <w:tab/>
        <w:t>Service charges for 2019/20 year and subsequent years</w:t>
      </w:r>
      <w:bookmarkEnd w:id="181"/>
      <w:bookmarkEnd w:id="182"/>
      <w:bookmarkEnd w:id="183"/>
    </w:p>
    <w:p>
      <w:pPr>
        <w:pStyle w:val="yMiscellaneousBody"/>
        <w:ind w:left="851" w:hanging="284"/>
      </w:pPr>
      <w:r>
        <w:tab/>
        <w:t>The charges set out in this Division apply for water supply services provided in the 2019/20 financial year and each subsequent year.</w:t>
      </w:r>
    </w:p>
    <w:p>
      <w:pPr>
        <w:pStyle w:val="yHeading5"/>
      </w:pPr>
      <w:bookmarkStart w:id="184" w:name="_Toc10193804"/>
      <w:bookmarkStart w:id="185" w:name="_Toc10642185"/>
      <w:bookmarkStart w:id="186" w:name="_Toc12277577"/>
      <w:r>
        <w:rPr>
          <w:rStyle w:val="CharSClsNo"/>
        </w:rPr>
        <w:t>2</w:t>
      </w:r>
      <w:r>
        <w:t>.</w:t>
      </w:r>
      <w:r>
        <w:tab/>
        <w:t>Residential lots</w:t>
      </w:r>
      <w:bookmarkEnd w:id="184"/>
      <w:bookmarkEnd w:id="185"/>
      <w:bookmarkEnd w:id="186"/>
    </w:p>
    <w:p>
      <w:pPr>
        <w:pStyle w:val="yMiscellaneousBody"/>
        <w:tabs>
          <w:tab w:val="right" w:leader="dot" w:pos="6804"/>
        </w:tabs>
        <w:ind w:left="851" w:hanging="284"/>
      </w:pPr>
      <w:r>
        <w:tab/>
        <w:t xml:space="preserve">For a residential lot, the charge is </w:t>
      </w:r>
      <w:r>
        <w:tab/>
        <w:t>$251.89</w:t>
      </w:r>
    </w:p>
    <w:p>
      <w:pPr>
        <w:pStyle w:val="yHeading5"/>
      </w:pPr>
      <w:bookmarkStart w:id="187" w:name="_Toc10193805"/>
      <w:bookmarkStart w:id="188" w:name="_Toc10642186"/>
      <w:bookmarkStart w:id="189" w:name="_Toc12277578"/>
      <w:r>
        <w:rPr>
          <w:rStyle w:val="CharSClsNo"/>
        </w:rPr>
        <w:t>3</w:t>
      </w:r>
      <w:r>
        <w:t>.</w:t>
      </w:r>
      <w:r>
        <w:tab/>
        <w:t>Non</w:t>
      </w:r>
      <w:r>
        <w:noBreakHyphen/>
        <w:t>residential lots</w:t>
      </w:r>
      <w:bookmarkEnd w:id="187"/>
      <w:bookmarkEnd w:id="188"/>
      <w:bookmarkEnd w:id="189"/>
    </w:p>
    <w:p>
      <w:pPr>
        <w:pStyle w:val="yMiscellaneousBody"/>
        <w:ind w:left="851" w:hanging="284"/>
      </w:pPr>
      <w:r>
        <w:tab/>
        <w:t>For a non</w:t>
      </w:r>
      <w:r>
        <w:noBreakHyphen/>
        <w:t>residential lot, the charge, according to the size of the meter, is —</w:t>
      </w:r>
    </w:p>
    <w:p>
      <w:pPr>
        <w:pStyle w:val="yMiscellaneousBody"/>
        <w:tabs>
          <w:tab w:val="left" w:pos="1134"/>
          <w:tab w:val="right" w:leader="dot" w:pos="6804"/>
        </w:tabs>
      </w:pPr>
      <w:r>
        <w:tab/>
        <w:t xml:space="preserve">20 mm </w:t>
      </w:r>
      <w:r>
        <w:tab/>
        <w:t>$251.89</w:t>
      </w:r>
    </w:p>
    <w:p>
      <w:pPr>
        <w:pStyle w:val="yMiscellaneousBody"/>
        <w:tabs>
          <w:tab w:val="left" w:pos="1134"/>
          <w:tab w:val="right" w:leader="dot" w:pos="6804"/>
        </w:tabs>
      </w:pPr>
      <w:r>
        <w:tab/>
        <w:t xml:space="preserve">25 mm </w:t>
      </w:r>
      <w:r>
        <w:tab/>
        <w:t>$393.00</w:t>
      </w:r>
    </w:p>
    <w:p>
      <w:pPr>
        <w:pStyle w:val="yMiscellaneousBody"/>
        <w:tabs>
          <w:tab w:val="left" w:pos="1134"/>
          <w:tab w:val="right" w:leader="dot" w:pos="6804"/>
        </w:tabs>
      </w:pPr>
      <w:r>
        <w:tab/>
        <w:t xml:space="preserve">40 mm </w:t>
      </w:r>
      <w:r>
        <w:tab/>
        <w:t>$1 007.60</w:t>
      </w:r>
    </w:p>
    <w:p>
      <w:pPr>
        <w:pStyle w:val="yMiscellaneousBody"/>
        <w:tabs>
          <w:tab w:val="left" w:pos="1134"/>
          <w:tab w:val="right" w:leader="dot" w:pos="6804"/>
        </w:tabs>
      </w:pPr>
      <w:r>
        <w:tab/>
        <w:t xml:space="preserve">50 mm </w:t>
      </w:r>
      <w:r>
        <w:tab/>
        <w:t>$1 574.40</w:t>
      </w:r>
    </w:p>
    <w:p>
      <w:pPr>
        <w:pStyle w:val="yMiscellaneousBody"/>
        <w:tabs>
          <w:tab w:val="left" w:pos="1134"/>
          <w:tab w:val="right" w:leader="dot" w:pos="6804"/>
        </w:tabs>
      </w:pPr>
      <w:r>
        <w:tab/>
        <w:t xml:space="preserve">80 mm </w:t>
      </w:r>
      <w:r>
        <w:tab/>
        <w:t>$4 030.40</w:t>
      </w:r>
    </w:p>
    <w:p>
      <w:pPr>
        <w:pStyle w:val="yMiscellaneousBody"/>
        <w:tabs>
          <w:tab w:val="left" w:pos="1134"/>
          <w:tab w:val="right" w:leader="dot" w:pos="6804"/>
        </w:tabs>
      </w:pPr>
      <w:r>
        <w:tab/>
        <w:t xml:space="preserve">100 mm </w:t>
      </w:r>
      <w:r>
        <w:tab/>
        <w:t>$6 297.50</w:t>
      </w:r>
    </w:p>
    <w:p>
      <w:pPr>
        <w:pStyle w:val="yMiscellaneousBody"/>
        <w:tabs>
          <w:tab w:val="left" w:pos="1134"/>
          <w:tab w:val="right" w:leader="dot" w:pos="6804"/>
        </w:tabs>
      </w:pPr>
      <w:r>
        <w:tab/>
        <w:t xml:space="preserve">150 mm </w:t>
      </w:r>
      <w:r>
        <w:tab/>
        <w:t>$14 169.40</w:t>
      </w:r>
    </w:p>
    <w:p>
      <w:pPr>
        <w:pStyle w:val="yHeading5"/>
      </w:pPr>
      <w:bookmarkStart w:id="190" w:name="_Toc10193806"/>
      <w:bookmarkStart w:id="191" w:name="_Toc10642187"/>
      <w:bookmarkStart w:id="192" w:name="_Toc12277579"/>
      <w:r>
        <w:rPr>
          <w:rStyle w:val="CharSClsNo"/>
        </w:rPr>
        <w:t>4</w:t>
      </w:r>
      <w:r>
        <w:t>.</w:t>
      </w:r>
      <w:r>
        <w:tab/>
        <w:t>Fire service connections</w:t>
      </w:r>
      <w:bookmarkEnd w:id="190"/>
      <w:bookmarkEnd w:id="191"/>
      <w:bookmarkEnd w:id="192"/>
    </w:p>
    <w:p>
      <w:pPr>
        <w:pStyle w:val="yMiscellaneousBody"/>
        <w:ind w:left="851" w:hanging="284"/>
      </w:pPr>
      <w:r>
        <w:tab/>
        <w:t>For a fire service connection, the charge, according to the size of the meter, is —</w:t>
      </w:r>
    </w:p>
    <w:p>
      <w:pPr>
        <w:pStyle w:val="yMiscellaneousBody"/>
        <w:tabs>
          <w:tab w:val="left" w:pos="1134"/>
          <w:tab w:val="right" w:leader="dot" w:pos="6804"/>
        </w:tabs>
      </w:pPr>
      <w:r>
        <w:tab/>
        <w:t xml:space="preserve">25 mm </w:t>
      </w:r>
      <w:r>
        <w:tab/>
        <w:t>$143.30</w:t>
      </w:r>
    </w:p>
    <w:p>
      <w:pPr>
        <w:pStyle w:val="yMiscellaneousBody"/>
        <w:tabs>
          <w:tab w:val="left" w:pos="1134"/>
          <w:tab w:val="right" w:leader="dot" w:pos="6804"/>
        </w:tabs>
      </w:pPr>
      <w:r>
        <w:tab/>
        <w:t xml:space="preserve">40 mm </w:t>
      </w:r>
      <w:r>
        <w:tab/>
        <w:t>$229.30</w:t>
      </w:r>
    </w:p>
    <w:p>
      <w:pPr>
        <w:pStyle w:val="yMiscellaneousBody"/>
        <w:tabs>
          <w:tab w:val="left" w:pos="1134"/>
          <w:tab w:val="right" w:leader="dot" w:pos="6804"/>
        </w:tabs>
      </w:pPr>
      <w:r>
        <w:tab/>
        <w:t xml:space="preserve">50 mm </w:t>
      </w:r>
      <w:r>
        <w:tab/>
        <w:t>$286.60</w:t>
      </w:r>
    </w:p>
    <w:p>
      <w:pPr>
        <w:pStyle w:val="yMiscellaneousBody"/>
        <w:tabs>
          <w:tab w:val="left" w:pos="1134"/>
          <w:tab w:val="right" w:leader="dot" w:pos="6804"/>
        </w:tabs>
      </w:pPr>
      <w:r>
        <w:tab/>
        <w:t xml:space="preserve">100 mm </w:t>
      </w:r>
      <w:r>
        <w:tab/>
        <w:t>$573.20</w:t>
      </w:r>
    </w:p>
    <w:p>
      <w:pPr>
        <w:pStyle w:val="yMiscellaneousBody"/>
        <w:tabs>
          <w:tab w:val="left" w:pos="1134"/>
          <w:tab w:val="right" w:leader="dot" w:pos="6804"/>
        </w:tabs>
      </w:pPr>
      <w:r>
        <w:tab/>
        <w:t xml:space="preserve">150 mm </w:t>
      </w:r>
      <w:r>
        <w:tab/>
        <w:t>$859.80</w:t>
      </w:r>
    </w:p>
    <w:p>
      <w:pPr>
        <w:pStyle w:val="yMiscellaneousBody"/>
        <w:tabs>
          <w:tab w:val="left" w:pos="1134"/>
          <w:tab w:val="right" w:leader="dot" w:pos="6804"/>
        </w:tabs>
      </w:pPr>
      <w:r>
        <w:tab/>
        <w:t xml:space="preserve">200 mm </w:t>
      </w:r>
      <w:r>
        <w:tab/>
        <w:t>$1 146.40</w:t>
      </w:r>
    </w:p>
    <w:p>
      <w:pPr>
        <w:pStyle w:val="yFootnotesection"/>
      </w:pPr>
      <w:bookmarkStart w:id="193" w:name="_Toc10034190"/>
      <w:bookmarkStart w:id="194" w:name="_Toc10034350"/>
      <w:bookmarkStart w:id="195" w:name="_Toc10107670"/>
      <w:bookmarkStart w:id="196" w:name="_Toc10107830"/>
      <w:bookmarkStart w:id="197" w:name="_Toc10121137"/>
      <w:bookmarkStart w:id="198" w:name="_Toc10124522"/>
      <w:bookmarkStart w:id="199" w:name="_Toc10193807"/>
      <w:bookmarkStart w:id="200" w:name="_Toc10203594"/>
      <w:bookmarkStart w:id="201" w:name="_Toc10203750"/>
      <w:bookmarkStart w:id="202" w:name="_Toc10534904"/>
      <w:bookmarkStart w:id="203" w:name="_Toc10535777"/>
      <w:bookmarkStart w:id="204" w:name="_Toc10642188"/>
      <w:r>
        <w:tab/>
        <w:t>[Division 1 inserted: Gazette 14 Jun 2019 p. 1931</w:t>
      </w:r>
      <w:r>
        <w:noBreakHyphen/>
        <w:t>2.]</w:t>
      </w:r>
    </w:p>
    <w:p>
      <w:pPr>
        <w:pStyle w:val="yHeading3"/>
      </w:pPr>
      <w:bookmarkStart w:id="205" w:name="_Toc11835675"/>
      <w:bookmarkStart w:id="206" w:name="_Toc12273752"/>
      <w:bookmarkStart w:id="207" w:name="_Toc12277580"/>
      <w:r>
        <w:rPr>
          <w:rStyle w:val="CharSDivNo"/>
        </w:rPr>
        <w:t>Division 2</w:t>
      </w:r>
      <w:r>
        <w:rPr>
          <w:b w:val="0"/>
        </w:rPr>
        <w:t> — </w:t>
      </w:r>
      <w:r>
        <w:rPr>
          <w:rStyle w:val="CharSDivText"/>
        </w:rPr>
        <w:t>Consumption charges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yFootnoteheading"/>
        <w:spacing w:after="120"/>
      </w:pPr>
      <w:bookmarkStart w:id="208" w:name="_Toc10193808"/>
      <w:bookmarkStart w:id="209" w:name="_Toc10642189"/>
      <w:r>
        <w:tab/>
        <w:t>[Heading inserted: Gazette 14 Jun 2019 p. 1932.]</w:t>
      </w:r>
    </w:p>
    <w:p>
      <w:pPr>
        <w:pStyle w:val="yHeading5"/>
      </w:pPr>
      <w:bookmarkStart w:id="210" w:name="_Toc12277581"/>
      <w:r>
        <w:rPr>
          <w:rStyle w:val="CharSClsNo"/>
        </w:rPr>
        <w:t>5</w:t>
      </w:r>
      <w:r>
        <w:t>.</w:t>
      </w:r>
      <w:r>
        <w:tab/>
        <w:t>Consumption charges for 2019/20 year and subsequent years</w:t>
      </w:r>
      <w:bookmarkEnd w:id="208"/>
      <w:bookmarkEnd w:id="209"/>
      <w:bookmarkEnd w:id="210"/>
    </w:p>
    <w:p>
      <w:pPr>
        <w:pStyle w:val="yMiscellaneousBody"/>
        <w:ind w:left="851" w:hanging="284"/>
      </w:pPr>
      <w:r>
        <w:tab/>
        <w:t>The charges set out in this Division apply for water supplied in the 2019/20 financial year and each subsequent year.</w:t>
      </w:r>
    </w:p>
    <w:p>
      <w:pPr>
        <w:pStyle w:val="yHeading5"/>
      </w:pPr>
      <w:bookmarkStart w:id="211" w:name="_Toc10193809"/>
      <w:bookmarkStart w:id="212" w:name="_Toc10642190"/>
      <w:bookmarkStart w:id="213" w:name="_Toc12277582"/>
      <w:r>
        <w:rPr>
          <w:rStyle w:val="CharSClsNo"/>
        </w:rPr>
        <w:t>6</w:t>
      </w:r>
      <w:r>
        <w:t>.</w:t>
      </w:r>
      <w:r>
        <w:tab/>
        <w:t>Residential lots</w:t>
      </w:r>
      <w:bookmarkEnd w:id="211"/>
      <w:bookmarkEnd w:id="212"/>
      <w:bookmarkEnd w:id="213"/>
    </w:p>
    <w:p>
      <w:pPr>
        <w:pStyle w:val="yMiscellaneousBody"/>
        <w:tabs>
          <w:tab w:val="left" w:pos="284"/>
        </w:tabs>
        <w:ind w:left="851" w:hanging="851"/>
      </w:pPr>
      <w:r>
        <w:tab/>
        <w:t>(1)</w:t>
      </w:r>
      <w:r>
        <w:tab/>
        <w:t>For each kilolitre of water supplied to a residential lot, the charge is —</w:t>
      </w:r>
    </w:p>
    <w:p>
      <w:pPr>
        <w:pStyle w:val="yMiscellaneousBody"/>
        <w:tabs>
          <w:tab w:val="left" w:pos="1134"/>
          <w:tab w:val="right" w:leader="dot" w:pos="6804"/>
        </w:tabs>
      </w:pPr>
      <w:r>
        <w:tab/>
        <w:t xml:space="preserve">up to 150 kL </w:t>
      </w:r>
      <w:r>
        <w:tab/>
        <w:t>$1.05</w:t>
      </w:r>
    </w:p>
    <w:p>
      <w:pPr>
        <w:pStyle w:val="yMiscellaneousBody"/>
        <w:tabs>
          <w:tab w:val="left" w:pos="1134"/>
          <w:tab w:val="right" w:leader="dot" w:pos="6804"/>
        </w:tabs>
      </w:pPr>
      <w:r>
        <w:tab/>
        <w:t xml:space="preserve">over 150 but not over 350 kL </w:t>
      </w:r>
      <w:r>
        <w:tab/>
        <w:t>$1.94</w:t>
      </w:r>
    </w:p>
    <w:p>
      <w:pPr>
        <w:pStyle w:val="yMiscellaneousBody"/>
        <w:tabs>
          <w:tab w:val="left" w:pos="1134"/>
          <w:tab w:val="right" w:leader="dot" w:pos="6804"/>
        </w:tabs>
      </w:pPr>
      <w:r>
        <w:tab/>
        <w:t xml:space="preserve">over 350 but not over 500 kL </w:t>
      </w:r>
      <w:r>
        <w:tab/>
        <w:t>$2.77</w:t>
      </w:r>
    </w:p>
    <w:p>
      <w:pPr>
        <w:pStyle w:val="yMiscellaneousBody"/>
        <w:tabs>
          <w:tab w:val="left" w:pos="1134"/>
          <w:tab w:val="right" w:leader="dot" w:pos="6804"/>
        </w:tabs>
      </w:pPr>
      <w:r>
        <w:tab/>
        <w:t xml:space="preserve">over 500 kL </w:t>
      </w:r>
      <w:r>
        <w:tab/>
        <w:t>$3.43</w:t>
      </w:r>
    </w:p>
    <w:p>
      <w:pPr>
        <w:pStyle w:val="yMiscellaneousBody"/>
        <w:tabs>
          <w:tab w:val="left" w:pos="284"/>
        </w:tabs>
        <w:ind w:left="851" w:hanging="851"/>
      </w:pPr>
      <w:r>
        <w:tab/>
        <w:t>(2)</w:t>
      </w:r>
      <w:r>
        <w:tab/>
        <w:t>The volumetric ranges in this item have effect by reference to the volume of water supplied in the current consumption year.</w:t>
      </w:r>
    </w:p>
    <w:p>
      <w:pPr>
        <w:pStyle w:val="yHeading5"/>
      </w:pPr>
      <w:bookmarkStart w:id="214" w:name="_Toc10193810"/>
      <w:bookmarkStart w:id="215" w:name="_Toc10642191"/>
      <w:bookmarkStart w:id="216" w:name="_Toc12277583"/>
      <w:r>
        <w:rPr>
          <w:rStyle w:val="CharSClsNo"/>
        </w:rPr>
        <w:t>7</w:t>
      </w:r>
      <w:r>
        <w:t>.</w:t>
      </w:r>
      <w:r>
        <w:tab/>
        <w:t>Non</w:t>
      </w:r>
      <w:r>
        <w:noBreakHyphen/>
        <w:t>residential lots</w:t>
      </w:r>
      <w:bookmarkEnd w:id="214"/>
      <w:bookmarkEnd w:id="215"/>
      <w:bookmarkEnd w:id="216"/>
    </w:p>
    <w:p>
      <w:pPr>
        <w:pStyle w:val="yMiscellaneousBody"/>
        <w:tabs>
          <w:tab w:val="right" w:leader="dot" w:pos="6804"/>
        </w:tabs>
        <w:ind w:left="851" w:hanging="284"/>
      </w:pPr>
      <w:r>
        <w:tab/>
        <w:t xml:space="preserve">For each kilolitre of water supplied to a </w:t>
      </w:r>
      <w:r>
        <w:br/>
        <w:t>non</w:t>
      </w:r>
      <w:r>
        <w:noBreakHyphen/>
        <w:t xml:space="preserve">residential lot, the charge is </w:t>
      </w:r>
      <w:r>
        <w:tab/>
        <w:t>$2.77</w:t>
      </w:r>
    </w:p>
    <w:p>
      <w:pPr>
        <w:pStyle w:val="yFootnotesection"/>
      </w:pPr>
      <w:r>
        <w:tab/>
        <w:t>[Division 2 inserted: Gazette 14 Jun 2019 p. 1932.]</w:t>
      </w:r>
    </w:p>
    <w:p>
      <w:pPr>
        <w:pStyle w:val="yScheduleHeading"/>
      </w:pPr>
      <w:bookmarkStart w:id="217" w:name="_Toc11835679"/>
      <w:bookmarkStart w:id="218" w:name="_Toc12273756"/>
      <w:bookmarkStart w:id="219" w:name="_Toc12277584"/>
      <w:r>
        <w:rPr>
          <w:rStyle w:val="CharSchNo"/>
        </w:rPr>
        <w:t>Schedule 2</w:t>
      </w:r>
      <w:r>
        <w:t> — </w:t>
      </w:r>
      <w:r>
        <w:rPr>
          <w:rStyle w:val="CharSchText"/>
        </w:rPr>
        <w:t>Charges for Busselton Water Corporation</w:t>
      </w:r>
      <w:bookmarkEnd w:id="153"/>
      <w:bookmarkEnd w:id="154"/>
      <w:bookmarkEnd w:id="155"/>
      <w:bookmarkEnd w:id="156"/>
      <w:bookmarkEnd w:id="157"/>
      <w:bookmarkEnd w:id="158"/>
      <w:bookmarkEnd w:id="159"/>
      <w:bookmarkEnd w:id="160"/>
      <w:bookmarkEnd w:id="161"/>
      <w:bookmarkEnd w:id="162"/>
      <w:bookmarkEnd w:id="163"/>
      <w:bookmarkEnd w:id="164"/>
      <w:bookmarkEnd w:id="217"/>
      <w:bookmarkEnd w:id="218"/>
      <w:bookmarkEnd w:id="219"/>
    </w:p>
    <w:p>
      <w:pPr>
        <w:pStyle w:val="yShoulderClause"/>
      </w:pPr>
      <w:r>
        <w:t>[r. 12]</w:t>
      </w:r>
    </w:p>
    <w:p>
      <w:pPr>
        <w:pStyle w:val="yFootnoteheading"/>
        <w:spacing w:after="120"/>
      </w:pPr>
      <w:bookmarkStart w:id="220" w:name="_Toc10034195"/>
      <w:bookmarkStart w:id="221" w:name="_Toc10034355"/>
      <w:bookmarkStart w:id="222" w:name="_Toc10107675"/>
      <w:bookmarkStart w:id="223" w:name="_Toc10107835"/>
      <w:bookmarkStart w:id="224" w:name="_Toc10121142"/>
      <w:bookmarkStart w:id="225" w:name="_Toc10124527"/>
      <w:bookmarkStart w:id="226" w:name="_Toc10193812"/>
      <w:bookmarkStart w:id="227" w:name="_Toc10203599"/>
      <w:bookmarkStart w:id="228" w:name="_Toc10203755"/>
      <w:bookmarkStart w:id="229" w:name="_Toc10534909"/>
      <w:bookmarkStart w:id="230" w:name="_Toc10535782"/>
      <w:bookmarkStart w:id="231" w:name="_Toc10642193"/>
      <w:r>
        <w:tab/>
        <w:t>[Heading inserted: Gazette 14 Jun 2019 p. 1933.]</w:t>
      </w:r>
    </w:p>
    <w:p>
      <w:pPr>
        <w:pStyle w:val="yHeading3"/>
      </w:pPr>
      <w:bookmarkStart w:id="232" w:name="_Toc11835680"/>
      <w:bookmarkStart w:id="233" w:name="_Toc12273757"/>
      <w:bookmarkStart w:id="234" w:name="_Toc12277585"/>
      <w:r>
        <w:rPr>
          <w:rStyle w:val="CharSDivNo"/>
        </w:rPr>
        <w:t>Division 1</w:t>
      </w:r>
      <w:r>
        <w:rPr>
          <w:b w:val="0"/>
        </w:rPr>
        <w:t> — </w:t>
      </w:r>
      <w:r>
        <w:rPr>
          <w:rStyle w:val="CharSDivText"/>
        </w:rPr>
        <w:t>Service charges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yFootnoteheading"/>
        <w:spacing w:after="120"/>
      </w:pPr>
      <w:r>
        <w:tab/>
        <w:t>[Heading inserted: Gazette 14 Jun 2019 p. 1933.]</w:t>
      </w:r>
    </w:p>
    <w:p>
      <w:pPr>
        <w:pStyle w:val="yHeading5"/>
      </w:pPr>
      <w:bookmarkStart w:id="235" w:name="_Toc10193813"/>
      <w:bookmarkStart w:id="236" w:name="_Toc10642194"/>
      <w:bookmarkStart w:id="237" w:name="_Toc12277586"/>
      <w:r>
        <w:rPr>
          <w:rStyle w:val="CharSClsNo"/>
        </w:rPr>
        <w:t>1</w:t>
      </w:r>
      <w:r>
        <w:t>.</w:t>
      </w:r>
      <w:r>
        <w:tab/>
        <w:t>Service charges for 2019/20 year and subsequent years</w:t>
      </w:r>
      <w:bookmarkEnd w:id="235"/>
      <w:bookmarkEnd w:id="236"/>
      <w:bookmarkEnd w:id="237"/>
    </w:p>
    <w:p>
      <w:pPr>
        <w:pStyle w:val="yMiscellaneousBody"/>
        <w:ind w:left="851" w:hanging="284"/>
      </w:pPr>
      <w:r>
        <w:tab/>
        <w:t>The charges set out in this Division apply for water supply services provided in the 2019/20 financial year and each subsequent year.</w:t>
      </w:r>
    </w:p>
    <w:p>
      <w:pPr>
        <w:pStyle w:val="yHeading5"/>
      </w:pPr>
      <w:bookmarkStart w:id="238" w:name="_Toc10193814"/>
      <w:bookmarkStart w:id="239" w:name="_Toc10642195"/>
      <w:bookmarkStart w:id="240" w:name="_Toc12277587"/>
      <w:r>
        <w:rPr>
          <w:rStyle w:val="CharSClsNo"/>
        </w:rPr>
        <w:t>2</w:t>
      </w:r>
      <w:r>
        <w:t>.</w:t>
      </w:r>
      <w:r>
        <w:tab/>
        <w:t>Residential lots</w:t>
      </w:r>
      <w:bookmarkEnd w:id="238"/>
      <w:bookmarkEnd w:id="239"/>
      <w:bookmarkEnd w:id="240"/>
    </w:p>
    <w:p>
      <w:pPr>
        <w:pStyle w:val="yMiscellaneousBody"/>
        <w:tabs>
          <w:tab w:val="right" w:leader="dot" w:pos="6804"/>
        </w:tabs>
        <w:ind w:left="851" w:hanging="284"/>
      </w:pPr>
      <w:r>
        <w:tab/>
        <w:t xml:space="preserve">For a residential lot, the charge is </w:t>
      </w:r>
      <w:r>
        <w:tab/>
        <w:t>$219.35</w:t>
      </w:r>
    </w:p>
    <w:p>
      <w:pPr>
        <w:pStyle w:val="yHeading5"/>
      </w:pPr>
      <w:bookmarkStart w:id="241" w:name="_Toc10193815"/>
      <w:bookmarkStart w:id="242" w:name="_Toc10642196"/>
      <w:bookmarkStart w:id="243" w:name="_Toc12277588"/>
      <w:r>
        <w:rPr>
          <w:rStyle w:val="CharSClsNo"/>
        </w:rPr>
        <w:t>3</w:t>
      </w:r>
      <w:r>
        <w:t>.</w:t>
      </w:r>
      <w:r>
        <w:tab/>
        <w:t>Non</w:t>
      </w:r>
      <w:r>
        <w:noBreakHyphen/>
        <w:t>residential lots</w:t>
      </w:r>
      <w:bookmarkEnd w:id="241"/>
      <w:bookmarkEnd w:id="242"/>
      <w:bookmarkEnd w:id="243"/>
    </w:p>
    <w:p>
      <w:pPr>
        <w:pStyle w:val="yMiscellaneousBody"/>
        <w:ind w:left="851" w:hanging="284"/>
      </w:pPr>
      <w:r>
        <w:tab/>
        <w:t>For a non</w:t>
      </w:r>
      <w:r>
        <w:noBreakHyphen/>
        <w:t>residential lot, the charge, according to the size of the meter, is —</w:t>
      </w:r>
    </w:p>
    <w:p>
      <w:pPr>
        <w:pStyle w:val="yMiscellaneousBody"/>
        <w:tabs>
          <w:tab w:val="left" w:pos="1134"/>
          <w:tab w:val="right" w:leader="dot" w:pos="6804"/>
        </w:tabs>
      </w:pPr>
      <w:r>
        <w:tab/>
        <w:t xml:space="preserve">20 mm </w:t>
      </w:r>
      <w:r>
        <w:tab/>
        <w:t>$219.35</w:t>
      </w:r>
    </w:p>
    <w:p>
      <w:pPr>
        <w:pStyle w:val="yMiscellaneousBody"/>
        <w:tabs>
          <w:tab w:val="left" w:pos="1134"/>
          <w:tab w:val="right" w:leader="dot" w:pos="6804"/>
        </w:tabs>
      </w:pPr>
      <w:r>
        <w:tab/>
        <w:t xml:space="preserve">25 mm </w:t>
      </w:r>
      <w:r>
        <w:tab/>
        <w:t>$342.73</w:t>
      </w:r>
    </w:p>
    <w:p>
      <w:pPr>
        <w:pStyle w:val="yMiscellaneousBody"/>
        <w:tabs>
          <w:tab w:val="left" w:pos="1134"/>
          <w:tab w:val="right" w:leader="dot" w:pos="6804"/>
        </w:tabs>
      </w:pPr>
      <w:r>
        <w:tab/>
        <w:t xml:space="preserve">40 mm </w:t>
      </w:r>
      <w:r>
        <w:tab/>
        <w:t>$877.40</w:t>
      </w:r>
    </w:p>
    <w:p>
      <w:pPr>
        <w:pStyle w:val="yMiscellaneousBody"/>
        <w:tabs>
          <w:tab w:val="left" w:pos="1134"/>
          <w:tab w:val="right" w:leader="dot" w:pos="6804"/>
        </w:tabs>
      </w:pPr>
      <w:r>
        <w:tab/>
        <w:t xml:space="preserve">50 mm </w:t>
      </w:r>
      <w:r>
        <w:tab/>
        <w:t>$1 370.93</w:t>
      </w:r>
    </w:p>
    <w:p>
      <w:pPr>
        <w:pStyle w:val="yMiscellaneousBody"/>
        <w:tabs>
          <w:tab w:val="left" w:pos="1134"/>
          <w:tab w:val="right" w:leader="dot" w:pos="6804"/>
        </w:tabs>
      </w:pPr>
      <w:r>
        <w:tab/>
        <w:t xml:space="preserve">80 mm </w:t>
      </w:r>
      <w:r>
        <w:tab/>
        <w:t>$3 509.60</w:t>
      </w:r>
    </w:p>
    <w:p>
      <w:pPr>
        <w:pStyle w:val="yMiscellaneousBody"/>
        <w:tabs>
          <w:tab w:val="left" w:pos="1134"/>
          <w:tab w:val="right" w:leader="dot" w:pos="6804"/>
        </w:tabs>
      </w:pPr>
      <w:r>
        <w:tab/>
        <w:t xml:space="preserve">100 mm </w:t>
      </w:r>
      <w:r>
        <w:tab/>
        <w:t>$5 483.73</w:t>
      </w:r>
    </w:p>
    <w:p>
      <w:pPr>
        <w:pStyle w:val="yMiscellaneousBody"/>
        <w:tabs>
          <w:tab w:val="left" w:pos="1134"/>
          <w:tab w:val="right" w:leader="dot" w:pos="6804"/>
        </w:tabs>
      </w:pPr>
      <w:r>
        <w:tab/>
        <w:t xml:space="preserve">150 mm </w:t>
      </w:r>
      <w:r>
        <w:tab/>
        <w:t>$12 338.40</w:t>
      </w:r>
    </w:p>
    <w:p>
      <w:pPr>
        <w:pStyle w:val="yHeading5"/>
      </w:pPr>
      <w:bookmarkStart w:id="244" w:name="_Toc10193816"/>
      <w:bookmarkStart w:id="245" w:name="_Toc10642197"/>
      <w:bookmarkStart w:id="246" w:name="_Toc12277589"/>
      <w:r>
        <w:rPr>
          <w:rStyle w:val="CharSClsNo"/>
        </w:rPr>
        <w:t>4</w:t>
      </w:r>
      <w:r>
        <w:t>.</w:t>
      </w:r>
      <w:r>
        <w:tab/>
        <w:t>Vacant land</w:t>
      </w:r>
      <w:bookmarkEnd w:id="244"/>
      <w:bookmarkEnd w:id="245"/>
      <w:bookmarkEnd w:id="246"/>
    </w:p>
    <w:p>
      <w:pPr>
        <w:pStyle w:val="yMiscellaneousBody"/>
        <w:tabs>
          <w:tab w:val="right" w:leader="dot" w:pos="6804"/>
        </w:tabs>
        <w:ind w:left="851" w:hanging="284"/>
      </w:pPr>
      <w:r>
        <w:tab/>
        <w:t xml:space="preserve">For vacant land, the charge is </w:t>
      </w:r>
      <w:r>
        <w:tab/>
        <w:t>$219.35</w:t>
      </w:r>
    </w:p>
    <w:p>
      <w:pPr>
        <w:pStyle w:val="yHeading5"/>
      </w:pPr>
      <w:bookmarkStart w:id="247" w:name="_Toc10193817"/>
      <w:bookmarkStart w:id="248" w:name="_Toc10642198"/>
      <w:bookmarkStart w:id="249" w:name="_Toc12277590"/>
      <w:r>
        <w:rPr>
          <w:rStyle w:val="CharSClsNo"/>
        </w:rPr>
        <w:t>5</w:t>
      </w:r>
      <w:r>
        <w:t>.</w:t>
      </w:r>
      <w:r>
        <w:tab/>
        <w:t>Fire service connections</w:t>
      </w:r>
      <w:bookmarkEnd w:id="247"/>
      <w:bookmarkEnd w:id="248"/>
      <w:bookmarkEnd w:id="249"/>
    </w:p>
    <w:p>
      <w:pPr>
        <w:pStyle w:val="yMiscellaneousBody"/>
        <w:tabs>
          <w:tab w:val="right" w:leader="dot" w:pos="6804"/>
        </w:tabs>
        <w:ind w:left="851" w:hanging="284"/>
      </w:pPr>
      <w:r>
        <w:tab/>
        <w:t xml:space="preserve">For a fire service connection, the charge is </w:t>
      </w:r>
      <w:r>
        <w:tab/>
        <w:t>$219.35</w:t>
      </w:r>
    </w:p>
    <w:p>
      <w:pPr>
        <w:pStyle w:val="yFootnotesection"/>
      </w:pPr>
      <w:bookmarkStart w:id="250" w:name="_Toc10034201"/>
      <w:bookmarkStart w:id="251" w:name="_Toc10034361"/>
      <w:bookmarkStart w:id="252" w:name="_Toc10107681"/>
      <w:bookmarkStart w:id="253" w:name="_Toc10107841"/>
      <w:bookmarkStart w:id="254" w:name="_Toc10121148"/>
      <w:bookmarkStart w:id="255" w:name="_Toc10124533"/>
      <w:bookmarkStart w:id="256" w:name="_Toc10193818"/>
      <w:bookmarkStart w:id="257" w:name="_Toc10203605"/>
      <w:bookmarkStart w:id="258" w:name="_Toc10203761"/>
      <w:bookmarkStart w:id="259" w:name="_Toc10534915"/>
      <w:bookmarkStart w:id="260" w:name="_Toc10535788"/>
      <w:bookmarkStart w:id="261" w:name="_Toc10642199"/>
      <w:r>
        <w:tab/>
        <w:t>[Division 1 inserted: Gazette 14 Jun 2019 p. 1933.]</w:t>
      </w:r>
    </w:p>
    <w:p>
      <w:pPr>
        <w:pStyle w:val="yHeading3"/>
      </w:pPr>
      <w:bookmarkStart w:id="262" w:name="_Toc11835686"/>
      <w:bookmarkStart w:id="263" w:name="_Toc12273763"/>
      <w:bookmarkStart w:id="264" w:name="_Toc12277591"/>
      <w:r>
        <w:rPr>
          <w:rStyle w:val="CharSDivNo"/>
        </w:rPr>
        <w:t>Division 2</w:t>
      </w:r>
      <w:r>
        <w:rPr>
          <w:b w:val="0"/>
        </w:rPr>
        <w:t> — </w:t>
      </w:r>
      <w:r>
        <w:rPr>
          <w:rStyle w:val="CharSDivText"/>
        </w:rPr>
        <w:t>Consumption charges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yFootnoteheading"/>
        <w:spacing w:after="120"/>
      </w:pPr>
      <w:bookmarkStart w:id="265" w:name="_Toc10193819"/>
      <w:bookmarkStart w:id="266" w:name="_Toc10642200"/>
      <w:r>
        <w:tab/>
        <w:t>[Heading inserted: Gazette 14 Jun 2019 p. 1934.]</w:t>
      </w:r>
    </w:p>
    <w:p>
      <w:pPr>
        <w:pStyle w:val="yHeading5"/>
      </w:pPr>
      <w:bookmarkStart w:id="267" w:name="_Toc12277592"/>
      <w:r>
        <w:rPr>
          <w:rStyle w:val="CharSClsNo"/>
        </w:rPr>
        <w:t>6</w:t>
      </w:r>
      <w:r>
        <w:t>.</w:t>
      </w:r>
      <w:r>
        <w:tab/>
        <w:t>Consumption charges for 2019/20 year and subsequent years</w:t>
      </w:r>
      <w:bookmarkEnd w:id="265"/>
      <w:bookmarkEnd w:id="266"/>
      <w:bookmarkEnd w:id="267"/>
    </w:p>
    <w:p>
      <w:pPr>
        <w:pStyle w:val="yMiscellaneousBody"/>
        <w:ind w:left="851" w:hanging="284"/>
      </w:pPr>
      <w:r>
        <w:tab/>
        <w:t>The charges set out in this Division apply for water supplied in the 2019/20 financial year and each subsequent year.</w:t>
      </w:r>
    </w:p>
    <w:p>
      <w:pPr>
        <w:pStyle w:val="yHeading5"/>
      </w:pPr>
      <w:bookmarkStart w:id="268" w:name="_Toc10193820"/>
      <w:bookmarkStart w:id="269" w:name="_Toc10642201"/>
      <w:bookmarkStart w:id="270" w:name="_Toc12277593"/>
      <w:r>
        <w:rPr>
          <w:rStyle w:val="CharSClsNo"/>
        </w:rPr>
        <w:t>7</w:t>
      </w:r>
      <w:r>
        <w:t>.</w:t>
      </w:r>
      <w:r>
        <w:tab/>
        <w:t>Residential lots</w:t>
      </w:r>
      <w:bookmarkEnd w:id="268"/>
      <w:bookmarkEnd w:id="269"/>
      <w:bookmarkEnd w:id="270"/>
    </w:p>
    <w:p>
      <w:pPr>
        <w:pStyle w:val="yMiscellaneousBody"/>
        <w:tabs>
          <w:tab w:val="left" w:pos="284"/>
        </w:tabs>
        <w:ind w:left="851" w:hanging="851"/>
      </w:pPr>
      <w:r>
        <w:tab/>
        <w:t>(1)</w:t>
      </w:r>
      <w:r>
        <w:tab/>
        <w:t>For each kilolitre of water supplied to a residential lot, the charge is —</w:t>
      </w:r>
    </w:p>
    <w:p>
      <w:pPr>
        <w:pStyle w:val="yMiscellaneousBody"/>
        <w:tabs>
          <w:tab w:val="left" w:pos="1134"/>
          <w:tab w:val="right" w:leader="dot" w:pos="6804"/>
        </w:tabs>
      </w:pPr>
      <w:r>
        <w:tab/>
        <w:t xml:space="preserve">up to 150 kL </w:t>
      </w:r>
      <w:r>
        <w:tab/>
        <w:t>$1.09</w:t>
      </w:r>
    </w:p>
    <w:p>
      <w:pPr>
        <w:pStyle w:val="yMiscellaneousBody"/>
        <w:tabs>
          <w:tab w:val="left" w:pos="1134"/>
          <w:tab w:val="right" w:leader="dot" w:pos="6804"/>
        </w:tabs>
      </w:pPr>
      <w:r>
        <w:tab/>
        <w:t xml:space="preserve">over 150 but not over 350 kL </w:t>
      </w:r>
      <w:r>
        <w:tab/>
        <w:t>$1.52</w:t>
      </w:r>
    </w:p>
    <w:p>
      <w:pPr>
        <w:pStyle w:val="yMiscellaneousBody"/>
        <w:tabs>
          <w:tab w:val="left" w:pos="1134"/>
          <w:tab w:val="right" w:leader="dot" w:pos="6804"/>
        </w:tabs>
      </w:pPr>
      <w:r>
        <w:tab/>
        <w:t xml:space="preserve">over 350 but not over 500 kL </w:t>
      </w:r>
      <w:r>
        <w:tab/>
        <w:t>$1.74</w:t>
      </w:r>
    </w:p>
    <w:p>
      <w:pPr>
        <w:pStyle w:val="yMiscellaneousBody"/>
        <w:tabs>
          <w:tab w:val="left" w:pos="1134"/>
          <w:tab w:val="right" w:leader="dot" w:pos="6804"/>
        </w:tabs>
      </w:pPr>
      <w:r>
        <w:tab/>
        <w:t xml:space="preserve">over 500 but not over 700 kL </w:t>
      </w:r>
      <w:r>
        <w:tab/>
        <w:t>$2.30</w:t>
      </w:r>
    </w:p>
    <w:p>
      <w:pPr>
        <w:pStyle w:val="yMiscellaneousBody"/>
        <w:tabs>
          <w:tab w:val="left" w:pos="1134"/>
          <w:tab w:val="right" w:leader="dot" w:pos="6804"/>
        </w:tabs>
      </w:pPr>
      <w:r>
        <w:tab/>
        <w:t xml:space="preserve">over 700 but not over 1 000 kL </w:t>
      </w:r>
      <w:r>
        <w:tab/>
        <w:t>$3.22</w:t>
      </w:r>
    </w:p>
    <w:p>
      <w:pPr>
        <w:pStyle w:val="yMiscellaneousBody"/>
        <w:tabs>
          <w:tab w:val="left" w:pos="1134"/>
          <w:tab w:val="right" w:leader="dot" w:pos="6804"/>
        </w:tabs>
      </w:pPr>
      <w:r>
        <w:tab/>
        <w:t xml:space="preserve">over 1 000 kL </w:t>
      </w:r>
      <w:r>
        <w:tab/>
        <w:t>$3.30</w:t>
      </w:r>
    </w:p>
    <w:p>
      <w:pPr>
        <w:pStyle w:val="yMiscellaneousBody"/>
        <w:tabs>
          <w:tab w:val="left" w:pos="284"/>
        </w:tabs>
        <w:ind w:left="851" w:hanging="851"/>
      </w:pPr>
      <w:r>
        <w:tab/>
        <w:t>(2)</w:t>
      </w:r>
      <w:r>
        <w:tab/>
        <w:t>The volumetric ranges in this item have effect by reference to the volume of water supplied in the current consumption year.</w:t>
      </w:r>
    </w:p>
    <w:p>
      <w:pPr>
        <w:pStyle w:val="yHeading5"/>
      </w:pPr>
      <w:bookmarkStart w:id="271" w:name="_Toc10193821"/>
      <w:bookmarkStart w:id="272" w:name="_Toc10642202"/>
      <w:bookmarkStart w:id="273" w:name="_Toc12277594"/>
      <w:r>
        <w:rPr>
          <w:rStyle w:val="CharSClsNo"/>
        </w:rPr>
        <w:t>8</w:t>
      </w:r>
      <w:r>
        <w:t>.</w:t>
      </w:r>
      <w:r>
        <w:tab/>
        <w:t>Non</w:t>
      </w:r>
      <w:r>
        <w:noBreakHyphen/>
        <w:t>residential lots</w:t>
      </w:r>
      <w:bookmarkEnd w:id="271"/>
      <w:bookmarkEnd w:id="272"/>
      <w:bookmarkEnd w:id="273"/>
    </w:p>
    <w:p>
      <w:pPr>
        <w:pStyle w:val="yMiscellaneousBody"/>
        <w:tabs>
          <w:tab w:val="right" w:leader="dot" w:pos="6804"/>
        </w:tabs>
        <w:ind w:left="851" w:hanging="284"/>
      </w:pPr>
      <w:r>
        <w:tab/>
        <w:t xml:space="preserve">For each kilolitre of water supplied to a </w:t>
      </w:r>
      <w:r>
        <w:br/>
        <w:t>non</w:t>
      </w:r>
      <w:r>
        <w:noBreakHyphen/>
        <w:t xml:space="preserve">residential lot, the charge is </w:t>
      </w:r>
      <w:r>
        <w:tab/>
        <w:t>$1.74</w:t>
      </w:r>
    </w:p>
    <w:p>
      <w:pPr>
        <w:pStyle w:val="yHeading5"/>
      </w:pPr>
      <w:bookmarkStart w:id="274" w:name="_Toc10193822"/>
      <w:bookmarkStart w:id="275" w:name="_Toc10642203"/>
      <w:bookmarkStart w:id="276" w:name="_Toc12277595"/>
      <w:r>
        <w:rPr>
          <w:rStyle w:val="CharSClsNo"/>
        </w:rPr>
        <w:t>9</w:t>
      </w:r>
      <w:r>
        <w:t>.</w:t>
      </w:r>
      <w:r>
        <w:tab/>
        <w:t>Water supply service (fire)</w:t>
      </w:r>
      <w:bookmarkEnd w:id="274"/>
      <w:bookmarkEnd w:id="275"/>
      <w:bookmarkEnd w:id="276"/>
    </w:p>
    <w:p>
      <w:pPr>
        <w:pStyle w:val="yMiscellaneousBody"/>
        <w:tabs>
          <w:tab w:val="right" w:leader="dot" w:pos="6804"/>
        </w:tabs>
        <w:ind w:left="851" w:hanging="284"/>
      </w:pPr>
      <w:r>
        <w:tab/>
        <w:t xml:space="preserve">For each kilolitre of water supplied through a </w:t>
      </w:r>
      <w:r>
        <w:br/>
        <w:t xml:space="preserve">fire service connection, the charge is </w:t>
      </w:r>
      <w:r>
        <w:tab/>
        <w:t>$2.13</w:t>
      </w:r>
    </w:p>
    <w:p>
      <w:pPr>
        <w:pStyle w:val="yFootnotesection"/>
      </w:pPr>
      <w:bookmarkStart w:id="277" w:name="_Toc10034206"/>
      <w:bookmarkStart w:id="278" w:name="_Toc10034366"/>
      <w:bookmarkStart w:id="279" w:name="_Toc10107686"/>
      <w:bookmarkStart w:id="280" w:name="_Toc10107846"/>
      <w:bookmarkStart w:id="281" w:name="_Toc10121153"/>
      <w:bookmarkStart w:id="282" w:name="_Toc10124538"/>
      <w:bookmarkStart w:id="283" w:name="_Toc10193823"/>
      <w:bookmarkStart w:id="284" w:name="_Toc10203610"/>
      <w:bookmarkStart w:id="285" w:name="_Toc10203766"/>
      <w:bookmarkStart w:id="286" w:name="_Toc10534920"/>
      <w:bookmarkStart w:id="287" w:name="_Toc10535793"/>
      <w:bookmarkStart w:id="288" w:name="_Toc10642204"/>
      <w:r>
        <w:tab/>
        <w:t>[Division 2 inserted: Gazette 14 Jun 2019 p. 1934.]</w:t>
      </w:r>
    </w:p>
    <w:p>
      <w:pPr>
        <w:pStyle w:val="yScheduleHeading"/>
      </w:pPr>
      <w:bookmarkStart w:id="289" w:name="_Toc11835691"/>
      <w:bookmarkStart w:id="290" w:name="_Toc12273768"/>
      <w:bookmarkStart w:id="291" w:name="_Toc12277596"/>
      <w:r>
        <w:rPr>
          <w:rStyle w:val="CharSchNo"/>
        </w:rPr>
        <w:t>Schedule 3</w:t>
      </w:r>
      <w:r>
        <w:t> — </w:t>
      </w:r>
      <w:r>
        <w:rPr>
          <w:rStyle w:val="CharSchText"/>
        </w:rPr>
        <w:t>Water supply charges for the Water Corporation</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yShoulderClause"/>
      </w:pPr>
      <w:r>
        <w:t>[r. 31]</w:t>
      </w:r>
    </w:p>
    <w:p>
      <w:pPr>
        <w:pStyle w:val="yFootnoteheading"/>
        <w:spacing w:after="120"/>
      </w:pPr>
      <w:bookmarkStart w:id="292" w:name="_Toc10034207"/>
      <w:bookmarkStart w:id="293" w:name="_Toc10034367"/>
      <w:bookmarkStart w:id="294" w:name="_Toc10107687"/>
      <w:bookmarkStart w:id="295" w:name="_Toc10107847"/>
      <w:bookmarkStart w:id="296" w:name="_Toc10121154"/>
      <w:bookmarkStart w:id="297" w:name="_Toc10124539"/>
      <w:bookmarkStart w:id="298" w:name="_Toc10193824"/>
      <w:bookmarkStart w:id="299" w:name="_Toc10203611"/>
      <w:bookmarkStart w:id="300" w:name="_Toc10203767"/>
      <w:bookmarkStart w:id="301" w:name="_Toc10534921"/>
      <w:bookmarkStart w:id="302" w:name="_Toc10535794"/>
      <w:bookmarkStart w:id="303" w:name="_Toc10642205"/>
      <w:r>
        <w:tab/>
        <w:t>[Heading inserted: Gazette 14 Jun 2019 p. 1935.]</w:t>
      </w:r>
    </w:p>
    <w:p>
      <w:pPr>
        <w:pStyle w:val="yHeading3"/>
      </w:pPr>
      <w:bookmarkStart w:id="304" w:name="_Toc11835692"/>
      <w:bookmarkStart w:id="305" w:name="_Toc12273769"/>
      <w:bookmarkStart w:id="306" w:name="_Toc12277597"/>
      <w:r>
        <w:rPr>
          <w:rStyle w:val="CharSDivNo"/>
        </w:rPr>
        <w:t>Division 1</w:t>
      </w:r>
      <w:r>
        <w:rPr>
          <w:b w:val="0"/>
        </w:rPr>
        <w:t> — </w:t>
      </w:r>
      <w:r>
        <w:rPr>
          <w:rStyle w:val="CharSDivText"/>
        </w:rPr>
        <w:t>Service charges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yFootnoteheading"/>
        <w:spacing w:after="120"/>
      </w:pPr>
      <w:bookmarkStart w:id="307" w:name="_Toc10034208"/>
      <w:bookmarkStart w:id="308" w:name="_Toc10034368"/>
      <w:bookmarkStart w:id="309" w:name="_Toc10107688"/>
      <w:bookmarkStart w:id="310" w:name="_Toc10107848"/>
      <w:bookmarkStart w:id="311" w:name="_Toc10121155"/>
      <w:bookmarkStart w:id="312" w:name="_Toc10124540"/>
      <w:bookmarkStart w:id="313" w:name="_Toc10193825"/>
      <w:bookmarkStart w:id="314" w:name="_Toc10203612"/>
      <w:bookmarkStart w:id="315" w:name="_Toc10203768"/>
      <w:bookmarkStart w:id="316" w:name="_Toc10534922"/>
      <w:bookmarkStart w:id="317" w:name="_Toc10535795"/>
      <w:bookmarkStart w:id="318" w:name="_Toc10642206"/>
      <w:r>
        <w:tab/>
        <w:t>[Heading inserted: Gazette 14 Jun 2019 p. 1935.]</w:t>
      </w:r>
    </w:p>
    <w:p>
      <w:pPr>
        <w:pStyle w:val="yHeading4"/>
      </w:pPr>
      <w:bookmarkStart w:id="319" w:name="_Toc11835693"/>
      <w:bookmarkStart w:id="320" w:name="_Toc12273770"/>
      <w:bookmarkStart w:id="321" w:name="_Toc12277598"/>
      <w:r>
        <w:t>Subdivision 1 — Preliminary</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yFootnoteheading"/>
        <w:spacing w:after="120"/>
      </w:pPr>
      <w:bookmarkStart w:id="322" w:name="_Toc10193826"/>
      <w:bookmarkStart w:id="323" w:name="_Toc10642207"/>
      <w:r>
        <w:tab/>
        <w:t>[Heading inserted: Gazette 14 Jun 2019 p. 1935.]</w:t>
      </w:r>
    </w:p>
    <w:p>
      <w:pPr>
        <w:pStyle w:val="yHeading5"/>
      </w:pPr>
      <w:bookmarkStart w:id="324" w:name="_Toc12277599"/>
      <w:r>
        <w:rPr>
          <w:rStyle w:val="CharSClsNo"/>
        </w:rPr>
        <w:t>1</w:t>
      </w:r>
      <w:r>
        <w:t>.</w:t>
      </w:r>
      <w:r>
        <w:tab/>
        <w:t>Service charges for 2019/20 year and subsequent years</w:t>
      </w:r>
      <w:bookmarkEnd w:id="322"/>
      <w:bookmarkEnd w:id="323"/>
      <w:bookmarkEnd w:id="324"/>
    </w:p>
    <w:p>
      <w:pPr>
        <w:pStyle w:val="yMiscellaneousBody"/>
        <w:ind w:left="851" w:hanging="284"/>
      </w:pPr>
      <w:r>
        <w:tab/>
        <w:t>The charges set out in this Division apply for water supply services provided in the 2019/20 financial year and each subsequent year.</w:t>
      </w:r>
    </w:p>
    <w:p>
      <w:pPr>
        <w:pStyle w:val="yHeading5"/>
      </w:pPr>
      <w:bookmarkStart w:id="325" w:name="_Toc10193827"/>
      <w:bookmarkStart w:id="326" w:name="_Toc10642208"/>
      <w:bookmarkStart w:id="327" w:name="_Toc12277600"/>
      <w:r>
        <w:rPr>
          <w:rStyle w:val="CharSClsNo"/>
        </w:rPr>
        <w:t>2</w:t>
      </w:r>
      <w:r>
        <w:t>.</w:t>
      </w:r>
      <w:r>
        <w:tab/>
        <w:t>Table of meter</w:t>
      </w:r>
      <w:r>
        <w:noBreakHyphen/>
        <w:t>based charges</w:t>
      </w:r>
      <w:bookmarkEnd w:id="325"/>
      <w:bookmarkEnd w:id="326"/>
      <w:bookmarkEnd w:id="327"/>
    </w:p>
    <w:p>
      <w:pPr>
        <w:pStyle w:val="yMiscellaneousBody"/>
        <w:ind w:left="851" w:hanging="284"/>
      </w:pP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Ind w:w="1065" w:type="dxa"/>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yTableNAm"/>
              <w:jc w:val="center"/>
              <w:rPr>
                <w:b/>
              </w:rPr>
            </w:pPr>
            <w:r>
              <w:rPr>
                <w:b/>
              </w:rPr>
              <w:t>Meter size</w:t>
            </w:r>
            <w:r>
              <w:rPr>
                <w:b/>
              </w:rPr>
              <w:br/>
              <w:t>mm</w:t>
            </w:r>
          </w:p>
        </w:tc>
        <w:tc>
          <w:tcPr>
            <w:tcW w:w="2292" w:type="dxa"/>
            <w:tcBorders>
              <w:top w:val="single" w:sz="4" w:space="0" w:color="auto"/>
              <w:bottom w:val="single" w:sz="4" w:space="0" w:color="auto"/>
            </w:tcBorders>
          </w:tcPr>
          <w:p>
            <w:pPr>
              <w:pStyle w:val="yTableNAm"/>
              <w:jc w:val="center"/>
              <w:rPr>
                <w:b/>
              </w:rPr>
            </w:pPr>
            <w:r>
              <w:rPr>
                <w:b/>
              </w:rPr>
              <w:t>Charge</w:t>
            </w:r>
            <w:r>
              <w:rPr>
                <w:b/>
              </w:rPr>
              <w:br/>
              <w:t>$</w:t>
            </w:r>
          </w:p>
        </w:tc>
      </w:tr>
      <w:tr>
        <w:trPr>
          <w:cantSplit/>
          <w:jc w:val="center"/>
        </w:trPr>
        <w:tc>
          <w:tcPr>
            <w:tcW w:w="2292" w:type="dxa"/>
          </w:tcPr>
          <w:p>
            <w:pPr>
              <w:pStyle w:val="yTableNAm"/>
              <w:jc w:val="center"/>
            </w:pPr>
            <w:r>
              <w:t>15, 20</w:t>
            </w:r>
          </w:p>
        </w:tc>
        <w:tc>
          <w:tcPr>
            <w:tcW w:w="2292" w:type="dxa"/>
            <w:vAlign w:val="bottom"/>
          </w:tcPr>
          <w:p>
            <w:pPr>
              <w:pStyle w:val="yTableNAm"/>
              <w:jc w:val="center"/>
            </w:pPr>
            <w:r>
              <w:rPr>
                <w:szCs w:val="22"/>
              </w:rPr>
              <w:t>272.05</w:t>
            </w:r>
          </w:p>
        </w:tc>
      </w:tr>
      <w:tr>
        <w:trPr>
          <w:cantSplit/>
          <w:jc w:val="center"/>
        </w:trPr>
        <w:tc>
          <w:tcPr>
            <w:tcW w:w="2292" w:type="dxa"/>
          </w:tcPr>
          <w:p>
            <w:pPr>
              <w:pStyle w:val="yTableNAm"/>
              <w:jc w:val="center"/>
            </w:pPr>
            <w:r>
              <w:t>25</w:t>
            </w:r>
          </w:p>
        </w:tc>
        <w:tc>
          <w:tcPr>
            <w:tcW w:w="2292" w:type="dxa"/>
            <w:vAlign w:val="bottom"/>
          </w:tcPr>
          <w:p>
            <w:pPr>
              <w:pStyle w:val="yTableNAm"/>
              <w:jc w:val="center"/>
            </w:pPr>
            <w:r>
              <w:rPr>
                <w:szCs w:val="22"/>
              </w:rPr>
              <w:t>425.11</w:t>
            </w:r>
          </w:p>
        </w:tc>
      </w:tr>
      <w:tr>
        <w:trPr>
          <w:cantSplit/>
          <w:jc w:val="center"/>
        </w:trPr>
        <w:tc>
          <w:tcPr>
            <w:tcW w:w="2292" w:type="dxa"/>
          </w:tcPr>
          <w:p>
            <w:pPr>
              <w:pStyle w:val="yTableNAm"/>
              <w:jc w:val="center"/>
            </w:pPr>
            <w:r>
              <w:t>30</w:t>
            </w:r>
          </w:p>
        </w:tc>
        <w:tc>
          <w:tcPr>
            <w:tcW w:w="2292" w:type="dxa"/>
            <w:vAlign w:val="bottom"/>
          </w:tcPr>
          <w:p>
            <w:pPr>
              <w:pStyle w:val="yTableNAm"/>
              <w:jc w:val="center"/>
            </w:pPr>
            <w:r>
              <w:rPr>
                <w:szCs w:val="22"/>
              </w:rPr>
              <w:t>612.11</w:t>
            </w:r>
          </w:p>
        </w:tc>
      </w:tr>
      <w:tr>
        <w:trPr>
          <w:cantSplit/>
          <w:jc w:val="center"/>
        </w:trPr>
        <w:tc>
          <w:tcPr>
            <w:tcW w:w="2292" w:type="dxa"/>
          </w:tcPr>
          <w:p>
            <w:pPr>
              <w:pStyle w:val="yTableNAm"/>
              <w:jc w:val="center"/>
            </w:pPr>
            <w:r>
              <w:t>35, 38, 40</w:t>
            </w:r>
          </w:p>
        </w:tc>
        <w:tc>
          <w:tcPr>
            <w:tcW w:w="2292" w:type="dxa"/>
            <w:vAlign w:val="bottom"/>
          </w:tcPr>
          <w:p>
            <w:pPr>
              <w:pStyle w:val="yTableNAm"/>
              <w:jc w:val="center"/>
            </w:pPr>
            <w:r>
              <w:rPr>
                <w:szCs w:val="22"/>
              </w:rPr>
              <w:t>1 088.27</w:t>
            </w:r>
          </w:p>
        </w:tc>
      </w:tr>
      <w:tr>
        <w:trPr>
          <w:cantSplit/>
          <w:jc w:val="center"/>
        </w:trPr>
        <w:tc>
          <w:tcPr>
            <w:tcW w:w="2292" w:type="dxa"/>
          </w:tcPr>
          <w:p>
            <w:pPr>
              <w:pStyle w:val="yTableNAm"/>
              <w:jc w:val="center"/>
            </w:pPr>
            <w:r>
              <w:t>50</w:t>
            </w:r>
          </w:p>
        </w:tc>
        <w:tc>
          <w:tcPr>
            <w:tcW w:w="2292" w:type="dxa"/>
            <w:vAlign w:val="bottom"/>
          </w:tcPr>
          <w:p>
            <w:pPr>
              <w:pStyle w:val="yTableNAm"/>
              <w:jc w:val="center"/>
            </w:pPr>
            <w:r>
              <w:rPr>
                <w:szCs w:val="22"/>
              </w:rPr>
              <w:t>1 700.40</w:t>
            </w:r>
          </w:p>
        </w:tc>
      </w:tr>
      <w:tr>
        <w:trPr>
          <w:cantSplit/>
          <w:jc w:val="center"/>
        </w:trPr>
        <w:tc>
          <w:tcPr>
            <w:tcW w:w="2292" w:type="dxa"/>
          </w:tcPr>
          <w:p>
            <w:pPr>
              <w:pStyle w:val="yTableNAm"/>
              <w:jc w:val="center"/>
            </w:pPr>
            <w:r>
              <w:t>70, 75, 80</w:t>
            </w:r>
          </w:p>
        </w:tc>
        <w:tc>
          <w:tcPr>
            <w:tcW w:w="2292" w:type="dxa"/>
            <w:vAlign w:val="bottom"/>
          </w:tcPr>
          <w:p>
            <w:pPr>
              <w:pStyle w:val="yTableNAm"/>
              <w:jc w:val="center"/>
            </w:pPr>
            <w:r>
              <w:rPr>
                <w:szCs w:val="22"/>
              </w:rPr>
              <w:t>4 353.02</w:t>
            </w:r>
          </w:p>
        </w:tc>
      </w:tr>
      <w:tr>
        <w:trPr>
          <w:cantSplit/>
          <w:jc w:val="center"/>
        </w:trPr>
        <w:tc>
          <w:tcPr>
            <w:tcW w:w="2292" w:type="dxa"/>
          </w:tcPr>
          <w:p>
            <w:pPr>
              <w:pStyle w:val="yTableNAm"/>
              <w:jc w:val="center"/>
            </w:pPr>
            <w:r>
              <w:t>100</w:t>
            </w:r>
          </w:p>
        </w:tc>
        <w:tc>
          <w:tcPr>
            <w:tcW w:w="2292" w:type="dxa"/>
            <w:vAlign w:val="bottom"/>
          </w:tcPr>
          <w:p>
            <w:pPr>
              <w:pStyle w:val="yTableNAm"/>
              <w:jc w:val="center"/>
            </w:pPr>
            <w:r>
              <w:rPr>
                <w:szCs w:val="22"/>
              </w:rPr>
              <w:t>6 801.60</w:t>
            </w:r>
          </w:p>
        </w:tc>
      </w:tr>
      <w:tr>
        <w:trPr>
          <w:cantSplit/>
          <w:jc w:val="center"/>
        </w:trPr>
        <w:tc>
          <w:tcPr>
            <w:tcW w:w="2292" w:type="dxa"/>
          </w:tcPr>
          <w:p>
            <w:pPr>
              <w:pStyle w:val="yTableNAm"/>
              <w:jc w:val="center"/>
            </w:pPr>
            <w:r>
              <w:t>140, 150</w:t>
            </w:r>
          </w:p>
        </w:tc>
        <w:tc>
          <w:tcPr>
            <w:tcW w:w="2292" w:type="dxa"/>
            <w:vAlign w:val="bottom"/>
          </w:tcPr>
          <w:p>
            <w:pPr>
              <w:pStyle w:val="yTableNAm"/>
              <w:jc w:val="center"/>
            </w:pPr>
            <w:r>
              <w:rPr>
                <w:szCs w:val="22"/>
              </w:rPr>
              <w:t>15 303.60</w:t>
            </w:r>
          </w:p>
        </w:tc>
      </w:tr>
      <w:tr>
        <w:trPr>
          <w:cantSplit/>
          <w:jc w:val="center"/>
        </w:trPr>
        <w:tc>
          <w:tcPr>
            <w:tcW w:w="2292" w:type="dxa"/>
          </w:tcPr>
          <w:p>
            <w:pPr>
              <w:pStyle w:val="yTableNAm"/>
              <w:jc w:val="center"/>
            </w:pPr>
            <w:r>
              <w:t>200</w:t>
            </w:r>
          </w:p>
        </w:tc>
        <w:tc>
          <w:tcPr>
            <w:tcW w:w="2292" w:type="dxa"/>
            <w:vAlign w:val="bottom"/>
          </w:tcPr>
          <w:p>
            <w:pPr>
              <w:pStyle w:val="yTableNAm"/>
              <w:jc w:val="center"/>
            </w:pPr>
            <w:r>
              <w:rPr>
                <w:szCs w:val="22"/>
              </w:rPr>
              <w:t>27 206.39</w:t>
            </w:r>
          </w:p>
        </w:tc>
      </w:tr>
      <w:tr>
        <w:trPr>
          <w:cantSplit/>
          <w:jc w:val="center"/>
        </w:trPr>
        <w:tc>
          <w:tcPr>
            <w:tcW w:w="2292" w:type="dxa"/>
          </w:tcPr>
          <w:p>
            <w:pPr>
              <w:pStyle w:val="yTableNAm"/>
              <w:jc w:val="center"/>
            </w:pPr>
            <w:r>
              <w:t>250</w:t>
            </w:r>
          </w:p>
        </w:tc>
        <w:tc>
          <w:tcPr>
            <w:tcW w:w="2292" w:type="dxa"/>
            <w:vAlign w:val="bottom"/>
          </w:tcPr>
          <w:p>
            <w:pPr>
              <w:pStyle w:val="yTableNAm"/>
              <w:jc w:val="center"/>
            </w:pPr>
            <w:r>
              <w:rPr>
                <w:szCs w:val="22"/>
              </w:rPr>
              <w:t>42 509.98</w:t>
            </w:r>
          </w:p>
        </w:tc>
      </w:tr>
      <w:tr>
        <w:trPr>
          <w:cantSplit/>
          <w:jc w:val="center"/>
        </w:trPr>
        <w:tc>
          <w:tcPr>
            <w:tcW w:w="2292" w:type="dxa"/>
          </w:tcPr>
          <w:p>
            <w:pPr>
              <w:pStyle w:val="yTableNAm"/>
              <w:jc w:val="center"/>
            </w:pPr>
            <w:r>
              <w:t>300</w:t>
            </w:r>
          </w:p>
        </w:tc>
        <w:tc>
          <w:tcPr>
            <w:tcW w:w="2292" w:type="dxa"/>
            <w:vAlign w:val="bottom"/>
          </w:tcPr>
          <w:p>
            <w:pPr>
              <w:pStyle w:val="yTableNAm"/>
              <w:jc w:val="center"/>
            </w:pPr>
            <w:r>
              <w:rPr>
                <w:szCs w:val="22"/>
              </w:rPr>
              <w:t>61 214.39</w:t>
            </w:r>
          </w:p>
        </w:tc>
      </w:tr>
      <w:tr>
        <w:trPr>
          <w:cantSplit/>
          <w:jc w:val="center"/>
        </w:trPr>
        <w:tc>
          <w:tcPr>
            <w:tcW w:w="2292" w:type="dxa"/>
            <w:tcBorders>
              <w:bottom w:val="single" w:sz="4" w:space="0" w:color="auto"/>
            </w:tcBorders>
          </w:tcPr>
          <w:p>
            <w:pPr>
              <w:pStyle w:val="yTableNAm"/>
              <w:jc w:val="center"/>
            </w:pPr>
            <w:r>
              <w:t>350</w:t>
            </w:r>
          </w:p>
        </w:tc>
        <w:tc>
          <w:tcPr>
            <w:tcW w:w="2292" w:type="dxa"/>
            <w:tcBorders>
              <w:bottom w:val="single" w:sz="4" w:space="0" w:color="auto"/>
            </w:tcBorders>
            <w:vAlign w:val="bottom"/>
          </w:tcPr>
          <w:p>
            <w:pPr>
              <w:pStyle w:val="yTableNAm"/>
              <w:jc w:val="center"/>
            </w:pPr>
            <w:r>
              <w:rPr>
                <w:szCs w:val="22"/>
              </w:rPr>
              <w:t>83 319.62</w:t>
            </w:r>
          </w:p>
        </w:tc>
      </w:tr>
    </w:tbl>
    <w:p>
      <w:pPr>
        <w:pStyle w:val="yHeading4"/>
      </w:pPr>
      <w:bookmarkStart w:id="328" w:name="_Toc10034211"/>
      <w:bookmarkStart w:id="329" w:name="_Toc10034371"/>
      <w:bookmarkStart w:id="330" w:name="_Toc10107691"/>
      <w:bookmarkStart w:id="331" w:name="_Toc10107851"/>
      <w:bookmarkStart w:id="332" w:name="_Toc10121158"/>
      <w:bookmarkStart w:id="333" w:name="_Toc10124543"/>
      <w:bookmarkStart w:id="334" w:name="_Toc10193828"/>
      <w:bookmarkStart w:id="335" w:name="_Toc10203615"/>
      <w:bookmarkStart w:id="336" w:name="_Toc10203771"/>
      <w:bookmarkStart w:id="337" w:name="_Toc10534925"/>
      <w:bookmarkStart w:id="338" w:name="_Toc10535798"/>
      <w:bookmarkStart w:id="339" w:name="_Toc10642209"/>
      <w:bookmarkStart w:id="340" w:name="_Toc11835696"/>
      <w:bookmarkStart w:id="341" w:name="_Toc12273773"/>
      <w:bookmarkStart w:id="342" w:name="_Toc12277601"/>
      <w:r>
        <w:t>Subdivision 2 — Service charges that apply for land</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yFootnoteheading"/>
        <w:spacing w:after="120"/>
      </w:pPr>
      <w:r>
        <w:tab/>
        <w:t>[Heading inserted: Gazette 14 Jun 2019 p. 1936.]</w:t>
      </w:r>
    </w:p>
    <w:p>
      <w:pPr>
        <w:pStyle w:val="yHeading5"/>
      </w:pPr>
      <w:bookmarkStart w:id="343" w:name="_Toc10193829"/>
      <w:bookmarkStart w:id="344" w:name="_Toc10642210"/>
      <w:bookmarkStart w:id="345" w:name="_Toc12277602"/>
      <w:r>
        <w:rPr>
          <w:rStyle w:val="CharSClsNo"/>
        </w:rPr>
        <w:t>3</w:t>
      </w:r>
      <w:r>
        <w:t>.</w:t>
      </w:r>
      <w:r>
        <w:tab/>
        <w:t>Residential</w:t>
      </w:r>
      <w:bookmarkEnd w:id="343"/>
      <w:bookmarkEnd w:id="344"/>
      <w:bookmarkEnd w:id="345"/>
    </w:p>
    <w:p>
      <w:pPr>
        <w:pStyle w:val="yMiscellaneousBody"/>
        <w:tabs>
          <w:tab w:val="right" w:leader="dot" w:pos="6804"/>
        </w:tabs>
        <w:ind w:left="851" w:hanging="284"/>
      </w:pPr>
      <w:r>
        <w:tab/>
        <w:t xml:space="preserve">For a residential property not covered </w:t>
      </w:r>
      <w:r>
        <w:br/>
        <w:t xml:space="preserve">by item 4, 5, 8, 9 or 10, the charge is </w:t>
      </w:r>
      <w:r>
        <w:tab/>
        <w:t>$264.35</w:t>
      </w:r>
    </w:p>
    <w:p>
      <w:pPr>
        <w:pStyle w:val="yHeading5"/>
      </w:pPr>
      <w:bookmarkStart w:id="346" w:name="_Toc10193830"/>
      <w:bookmarkStart w:id="347" w:name="_Toc10642211"/>
      <w:bookmarkStart w:id="348" w:name="_Toc12277603"/>
      <w:r>
        <w:rPr>
          <w:rStyle w:val="CharSClsNo"/>
        </w:rPr>
        <w:t>4</w:t>
      </w:r>
      <w:r>
        <w:t>.</w:t>
      </w:r>
      <w:r>
        <w:tab/>
        <w:t>Metropolitan concessional</w:t>
      </w:r>
      <w:bookmarkEnd w:id="346"/>
      <w:bookmarkEnd w:id="347"/>
      <w:bookmarkEnd w:id="348"/>
    </w:p>
    <w:p>
      <w:pPr>
        <w:pStyle w:val="yMiscellaneousBody"/>
        <w:tabs>
          <w:tab w:val="left" w:pos="284"/>
        </w:tabs>
        <w:ind w:left="851" w:hanging="851"/>
      </w:pPr>
      <w:r>
        <w:tab/>
        <w:t>(1)</w:t>
      </w:r>
      <w:r>
        <w:tab/>
        <w:t xml:space="preserve">For land in the metropolitan area that </w:t>
      </w:r>
      <w:r>
        <w:br/>
        <w:t xml:space="preserve">is classified as aged home, community purpose </w:t>
      </w:r>
      <w:r>
        <w:br/>
        <w:t xml:space="preserve">or charitable purposes, the charge, per water </w:t>
      </w:r>
      <w:r>
        <w:br/>
        <w:t xml:space="preserve">supply connection, is the charge set out in the </w:t>
      </w:r>
      <w:r>
        <w:br/>
        <w:t xml:space="preserve">Table in item 2, according to the relevant meter </w:t>
      </w:r>
      <w:r>
        <w:br/>
        <w:t>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349" w:name="_Toc10193831"/>
      <w:bookmarkStart w:id="350" w:name="_Toc10642212"/>
      <w:bookmarkStart w:id="351" w:name="_Toc12277604"/>
      <w:r>
        <w:rPr>
          <w:rStyle w:val="CharSClsNo"/>
        </w:rPr>
        <w:t>5</w:t>
      </w:r>
      <w:r>
        <w:t>.</w:t>
      </w:r>
      <w:r>
        <w:tab/>
        <w:t>Strata</w:t>
      </w:r>
      <w:r>
        <w:noBreakHyphen/>
        <w:t>titled or long</w:t>
      </w:r>
      <w:r>
        <w:noBreakHyphen/>
        <w:t>term residential caravan bays</w:t>
      </w:r>
      <w:bookmarkEnd w:id="349"/>
      <w:bookmarkEnd w:id="350"/>
      <w:bookmarkEnd w:id="351"/>
    </w:p>
    <w:p>
      <w:pPr>
        <w:pStyle w:val="yMiscellaneousBody"/>
        <w:tabs>
          <w:tab w:val="right" w:leader="dot" w:pos="6804"/>
        </w:tabs>
        <w:ind w:left="851" w:hanging="284"/>
      </w:pPr>
      <w:r>
        <w:tab/>
        <w:t>For a strata</w:t>
      </w:r>
      <w:r>
        <w:noBreakHyphen/>
        <w:t xml:space="preserve">titled caravan bay, a </w:t>
      </w:r>
      <w:r>
        <w:br/>
        <w:t>long</w:t>
      </w:r>
      <w:r>
        <w:noBreakHyphen/>
        <w:t xml:space="preserve">term residential caravan bay or </w:t>
      </w:r>
      <w:r>
        <w:br/>
        <w:t xml:space="preserve">a park home, the charge is </w:t>
      </w:r>
      <w:r>
        <w:tab/>
        <w:t>$191.20</w:t>
      </w:r>
    </w:p>
    <w:p>
      <w:pPr>
        <w:pStyle w:val="yHeading5"/>
      </w:pPr>
      <w:bookmarkStart w:id="352" w:name="_Toc10193832"/>
      <w:bookmarkStart w:id="353" w:name="_Toc10642213"/>
      <w:bookmarkStart w:id="354" w:name="_Toc12277605"/>
      <w:r>
        <w:rPr>
          <w:rStyle w:val="CharSClsNo"/>
        </w:rPr>
        <w:t>6</w:t>
      </w:r>
      <w:r>
        <w:t>.</w:t>
      </w:r>
      <w:r>
        <w:tab/>
        <w:t>Strata</w:t>
      </w:r>
      <w:r>
        <w:noBreakHyphen/>
        <w:t>titled storage units or parking bays</w:t>
      </w:r>
      <w:bookmarkEnd w:id="352"/>
      <w:bookmarkEnd w:id="353"/>
      <w:bookmarkEnd w:id="354"/>
    </w:p>
    <w:p>
      <w:pPr>
        <w:pStyle w:val="yMiscellaneousBody"/>
        <w:tabs>
          <w:tab w:val="right" w:leader="dot" w:pos="6804"/>
        </w:tabs>
        <w:ind w:left="851" w:hanging="284"/>
      </w:pPr>
      <w:r>
        <w:tab/>
        <w:t xml:space="preserve">For a lot that is used for storage </w:t>
      </w:r>
      <w:r>
        <w:br/>
        <w:t xml:space="preserve">purposes or as a parking bay, the charge is </w:t>
      </w:r>
      <w:r>
        <w:tab/>
        <w:t>$95.76</w:t>
      </w:r>
    </w:p>
    <w:p>
      <w:pPr>
        <w:pStyle w:val="yHeading5"/>
      </w:pPr>
      <w:bookmarkStart w:id="355" w:name="_Toc10193833"/>
      <w:bookmarkStart w:id="356" w:name="_Toc10642214"/>
      <w:bookmarkStart w:id="357" w:name="_Toc12277606"/>
      <w:r>
        <w:rPr>
          <w:rStyle w:val="CharSClsNo"/>
        </w:rPr>
        <w:t>7</w:t>
      </w:r>
      <w:r>
        <w:t>.</w:t>
      </w:r>
      <w:r>
        <w:tab/>
        <w:t>Non</w:t>
      </w:r>
      <w:r>
        <w:noBreakHyphen/>
        <w:t>residential strata</w:t>
      </w:r>
      <w:r>
        <w:noBreakHyphen/>
        <w:t>titled units that share a service</w:t>
      </w:r>
      <w:bookmarkEnd w:id="355"/>
      <w:bookmarkEnd w:id="356"/>
      <w:bookmarkEnd w:id="357"/>
    </w:p>
    <w:p>
      <w:pPr>
        <w:pStyle w:val="yMiscellaneousBody"/>
        <w:keepNext/>
        <w:ind w:left="851" w:hanging="284"/>
      </w:pPr>
      <w:r>
        <w:tab/>
        <w:t>For land that —</w:t>
      </w:r>
    </w:p>
    <w:p>
      <w:pPr>
        <w:pStyle w:val="yMiscellaneousBody"/>
        <w:tabs>
          <w:tab w:val="left" w:pos="992"/>
        </w:tabs>
        <w:ind w:left="1559" w:hanging="1559"/>
      </w:pPr>
      <w:r>
        <w:tab/>
        <w:t>(a)</w:t>
      </w:r>
      <w:r>
        <w:tab/>
        <w:t>is contained in a lot; and</w:t>
      </w:r>
    </w:p>
    <w:p>
      <w:pPr>
        <w:pStyle w:val="yMiscellaneousBody"/>
        <w:tabs>
          <w:tab w:val="left" w:pos="992"/>
        </w:tabs>
        <w:ind w:left="1559" w:hanging="1559"/>
      </w:pPr>
      <w:r>
        <w:tab/>
        <w:t>(b)</w:t>
      </w:r>
      <w:r>
        <w:tab/>
        <w:t>is classified as non</w:t>
      </w:r>
      <w:r>
        <w:noBreakHyphen/>
        <w:t>residential; and</w:t>
      </w:r>
    </w:p>
    <w:p>
      <w:pPr>
        <w:pStyle w:val="yMiscellaneousBody"/>
        <w:tabs>
          <w:tab w:val="left" w:pos="992"/>
        </w:tabs>
        <w:ind w:left="1559" w:hanging="1559"/>
      </w:pPr>
      <w:r>
        <w:tab/>
        <w:t>(c)</w:t>
      </w:r>
      <w:r>
        <w:tab/>
        <w:t>is not covered by item 5 or 6; and</w:t>
      </w:r>
    </w:p>
    <w:p>
      <w:pPr>
        <w:pStyle w:val="yMiscellaneousBody"/>
        <w:tabs>
          <w:tab w:val="left" w:pos="992"/>
        </w:tabs>
        <w:ind w:left="1559" w:hanging="1559"/>
      </w:pPr>
      <w:r>
        <w:tab/>
        <w:t>(d)</w:t>
      </w:r>
      <w:r>
        <w:tab/>
        <w:t xml:space="preserve">shares a water supply connection with </w:t>
      </w:r>
      <w:r>
        <w:br/>
        <w:t>other such land,</w:t>
      </w:r>
    </w:p>
    <w:p>
      <w:pPr>
        <w:pStyle w:val="yMiscellaneousBody"/>
        <w:tabs>
          <w:tab w:val="right" w:leader="dot" w:pos="6804"/>
        </w:tabs>
        <w:ind w:left="851" w:hanging="284"/>
      </w:pPr>
      <w:r>
        <w:tab/>
        <w:t xml:space="preserve">the charge is </w:t>
      </w:r>
      <w:r>
        <w:tab/>
        <w:t>$272.05</w:t>
      </w:r>
    </w:p>
    <w:p>
      <w:pPr>
        <w:pStyle w:val="yHeading5"/>
      </w:pPr>
      <w:bookmarkStart w:id="358" w:name="_Toc10193834"/>
      <w:bookmarkStart w:id="359" w:name="_Toc10642215"/>
      <w:bookmarkStart w:id="360" w:name="_Toc12277607"/>
      <w:r>
        <w:rPr>
          <w:rStyle w:val="CharSClsNo"/>
        </w:rPr>
        <w:t>8</w:t>
      </w:r>
      <w:r>
        <w:t>.</w:t>
      </w:r>
      <w:r>
        <w:tab/>
        <w:t>Community residential</w:t>
      </w:r>
      <w:bookmarkEnd w:id="358"/>
      <w:bookmarkEnd w:id="359"/>
      <w:bookmarkEnd w:id="360"/>
    </w:p>
    <w:p>
      <w:pPr>
        <w:pStyle w:val="yMiscellaneousBody"/>
        <w:tabs>
          <w:tab w:val="left" w:pos="284"/>
          <w:tab w:val="right" w:leader="dot" w:pos="6804"/>
        </w:tabs>
        <w:ind w:left="851" w:hanging="851"/>
      </w:pPr>
      <w:r>
        <w:tab/>
        <w:t>(1)</w:t>
      </w:r>
      <w:r>
        <w:tab/>
        <w:t>For land that is classified as community</w:t>
      </w:r>
      <w:r>
        <w:br/>
        <w:t xml:space="preserve">residential, the charge is, for each </w:t>
      </w:r>
      <w:r>
        <w:br/>
        <w:t xml:space="preserve">residential unit equivalent </w:t>
      </w:r>
      <w:r>
        <w:tab/>
        <w:t>$155.49</w:t>
      </w:r>
    </w:p>
    <w:p>
      <w:pPr>
        <w:pStyle w:val="yMiscellaneousBody"/>
        <w:tabs>
          <w:tab w:val="left" w:pos="284"/>
          <w:tab w:val="right" w:leader="dot" w:pos="6804"/>
        </w:tabs>
        <w:ind w:left="851" w:hanging="851"/>
      </w:pPr>
      <w:r>
        <w:tab/>
        <w:t>(2)</w:t>
      </w:r>
      <w:r>
        <w:tab/>
        <w:t xml:space="preserve">The Water Corporation must determine, by </w:t>
      </w:r>
      <w:r>
        <w:br/>
        <w:t xml:space="preserve">reference to the anticipated water supply </w:t>
      </w:r>
      <w:r>
        <w:br/>
        <w:t xml:space="preserve">requirements of the communal property, the </w:t>
      </w:r>
      <w:r>
        <w:br/>
        <w:t xml:space="preserve">number of residential unit equivalents to which </w:t>
      </w:r>
      <w:r>
        <w:br/>
        <w:t>the communal property equates.</w:t>
      </w:r>
    </w:p>
    <w:p>
      <w:pPr>
        <w:pStyle w:val="yHeading5"/>
      </w:pPr>
      <w:bookmarkStart w:id="361" w:name="_Toc10193835"/>
      <w:bookmarkStart w:id="362" w:name="_Toc10642216"/>
      <w:bookmarkStart w:id="363" w:name="_Toc12277608"/>
      <w:r>
        <w:rPr>
          <w:rStyle w:val="CharSClsNo"/>
        </w:rPr>
        <w:t>9</w:t>
      </w:r>
      <w:r>
        <w:t>.</w:t>
      </w:r>
      <w:r>
        <w:tab/>
        <w:t>Semi</w:t>
      </w:r>
      <w:r>
        <w:noBreakHyphen/>
        <w:t>rural residential</w:t>
      </w:r>
      <w:bookmarkEnd w:id="361"/>
      <w:bookmarkEnd w:id="362"/>
      <w:bookmarkEnd w:id="363"/>
    </w:p>
    <w:p>
      <w:pPr>
        <w:pStyle w:val="yMiscellaneousBody"/>
        <w:tabs>
          <w:tab w:val="right" w:leader="dot" w:pos="6804"/>
        </w:tabs>
        <w:ind w:left="851" w:hanging="284"/>
      </w:pPr>
      <w:r>
        <w:tab/>
        <w:t>For a semi</w:t>
      </w:r>
      <w:r>
        <w:noBreakHyphen/>
        <w:t xml:space="preserve">rural residential property </w:t>
      </w:r>
      <w:r>
        <w:br/>
        <w:t xml:space="preserve">not covered by item 4, the charge is </w:t>
      </w:r>
      <w:r>
        <w:tab/>
        <w:t>$264.35</w:t>
      </w:r>
    </w:p>
    <w:p>
      <w:pPr>
        <w:pStyle w:val="yHeading5"/>
      </w:pPr>
      <w:bookmarkStart w:id="364" w:name="_Toc10193836"/>
      <w:bookmarkStart w:id="365" w:name="_Toc10642217"/>
      <w:bookmarkStart w:id="366" w:name="_Toc12277609"/>
      <w:r>
        <w:rPr>
          <w:rStyle w:val="CharSClsNo"/>
        </w:rPr>
        <w:t>10</w:t>
      </w:r>
      <w:r>
        <w:t>.</w:t>
      </w:r>
      <w:r>
        <w:tab/>
        <w:t>Non</w:t>
      </w:r>
      <w:r>
        <w:noBreakHyphen/>
        <w:t>metropolitan concessional</w:t>
      </w:r>
      <w:bookmarkEnd w:id="364"/>
      <w:bookmarkEnd w:id="365"/>
      <w:bookmarkEnd w:id="366"/>
    </w:p>
    <w:p>
      <w:pPr>
        <w:pStyle w:val="yMiscellaneousBody"/>
        <w:tabs>
          <w:tab w:val="left" w:pos="284"/>
        </w:tabs>
        <w:ind w:left="851" w:hanging="851"/>
      </w:pPr>
      <w:r>
        <w:tab/>
        <w:t>(1)</w:t>
      </w:r>
      <w:r>
        <w:tab/>
        <w:t>For land in the non</w:t>
      </w:r>
      <w:r>
        <w:noBreakHyphen/>
        <w:t xml:space="preserve">metropolitan area </w:t>
      </w:r>
      <w:r>
        <w:br/>
        <w:t>that —</w:t>
      </w:r>
    </w:p>
    <w:p>
      <w:pPr>
        <w:pStyle w:val="yMiscellaneousBody"/>
        <w:tabs>
          <w:tab w:val="left" w:pos="992"/>
        </w:tabs>
        <w:ind w:left="1559" w:hanging="1559"/>
      </w:pPr>
      <w:r>
        <w:tab/>
        <w:t>(a)</w:t>
      </w:r>
      <w:r>
        <w:tab/>
        <w:t xml:space="preserve">is concessional land contained in a </w:t>
      </w:r>
      <w:r>
        <w:br/>
        <w:t>residential property; or</w:t>
      </w:r>
    </w:p>
    <w:p>
      <w:pPr>
        <w:pStyle w:val="yMiscellaneousBody"/>
        <w:tabs>
          <w:tab w:val="left" w:pos="992"/>
        </w:tabs>
        <w:ind w:left="1559" w:hanging="1559"/>
      </w:pPr>
      <w:r>
        <w:tab/>
        <w:t>(b)</w:t>
      </w:r>
      <w:r>
        <w:tab/>
        <w:t xml:space="preserve">is classified as charitable purposes, </w:t>
      </w:r>
      <w:r>
        <w:br/>
        <w:t xml:space="preserve">institutional public or local government </w:t>
      </w:r>
      <w:r>
        <w:br/>
        <w:t xml:space="preserve">and not contained in a residential </w:t>
      </w:r>
      <w:r>
        <w:br/>
        <w:t>property,</w:t>
      </w:r>
    </w:p>
    <w:p>
      <w:pPr>
        <w:pStyle w:val="yMiscellaneousBody"/>
        <w:ind w:left="851" w:hanging="284"/>
      </w:pPr>
      <w:r>
        <w:tab/>
        <w:t>the charge, per water supply connection, is the charge set out in the Table in item 2, according to the relevant meter 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367" w:name="_Toc10193837"/>
      <w:bookmarkStart w:id="368" w:name="_Toc10642218"/>
      <w:bookmarkStart w:id="369" w:name="_Toc12277610"/>
      <w:r>
        <w:rPr>
          <w:rStyle w:val="CharSClsNo"/>
        </w:rPr>
        <w:t>11</w:t>
      </w:r>
      <w:r>
        <w:t>.</w:t>
      </w:r>
      <w:r>
        <w:tab/>
        <w:t>Non</w:t>
      </w:r>
      <w:r>
        <w:noBreakHyphen/>
        <w:t>residential or commercial residential (except certain strata</w:t>
      </w:r>
      <w:r>
        <w:noBreakHyphen/>
        <w:t>titled units)</w:t>
      </w:r>
      <w:bookmarkEnd w:id="367"/>
      <w:bookmarkEnd w:id="368"/>
      <w:bookmarkEnd w:id="369"/>
    </w:p>
    <w:p>
      <w:pPr>
        <w:pStyle w:val="yMiscellaneousBody"/>
        <w:tabs>
          <w:tab w:val="left" w:pos="284"/>
        </w:tabs>
        <w:ind w:left="851" w:hanging="851"/>
      </w:pPr>
      <w:r>
        <w:tab/>
        <w:t>(1)</w:t>
      </w:r>
      <w:r>
        <w:tab/>
        <w:t>For land that —</w:t>
      </w:r>
    </w:p>
    <w:p>
      <w:pPr>
        <w:pStyle w:val="yMiscellaneousBody"/>
        <w:tabs>
          <w:tab w:val="left" w:pos="992"/>
        </w:tabs>
        <w:ind w:left="1559" w:hanging="1559"/>
      </w:pPr>
      <w:r>
        <w:tab/>
        <w:t>(a)</w:t>
      </w:r>
      <w:r>
        <w:tab/>
        <w:t>is classified as non</w:t>
      </w:r>
      <w:r>
        <w:noBreakHyphen/>
        <w:t xml:space="preserve">residential or </w:t>
      </w:r>
      <w:r>
        <w:br/>
        <w:t>commercial residential; and</w:t>
      </w:r>
    </w:p>
    <w:p>
      <w:pPr>
        <w:pStyle w:val="yMiscellaneousBody"/>
        <w:tabs>
          <w:tab w:val="left" w:pos="992"/>
        </w:tabs>
        <w:ind w:left="1559" w:hanging="1559"/>
      </w:pPr>
      <w:r>
        <w:tab/>
        <w:t>(b)</w:t>
      </w:r>
      <w:r>
        <w:tab/>
        <w:t xml:space="preserve">is not contained in a residential </w:t>
      </w:r>
      <w:r>
        <w:br/>
        <w:t>property; and</w:t>
      </w:r>
    </w:p>
    <w:p>
      <w:pPr>
        <w:pStyle w:val="yMiscellaneousBody"/>
        <w:tabs>
          <w:tab w:val="left" w:pos="992"/>
        </w:tabs>
        <w:ind w:left="1559" w:hanging="1559"/>
      </w:pPr>
      <w:r>
        <w:tab/>
        <w:t>(c)</w:t>
      </w:r>
      <w:r>
        <w:tab/>
        <w:t>is not covered by item 5, 6 or 7,</w:t>
      </w:r>
    </w:p>
    <w:p>
      <w:pPr>
        <w:pStyle w:val="yMiscellaneousBody"/>
        <w:ind w:left="851" w:hanging="284"/>
      </w:pPr>
      <w:r>
        <w:tab/>
        <w:t xml:space="preserve">the charge is the charge set out in the Table in </w:t>
      </w:r>
      <w:r>
        <w:br/>
        <w:t>item 2, according to the relevant meter size.</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MiscellaneousBody"/>
        <w:tabs>
          <w:tab w:val="left" w:pos="284"/>
        </w:tabs>
        <w:ind w:left="851" w:hanging="851"/>
      </w:pPr>
      <w:r>
        <w:tab/>
        <w:t>(3)</w:t>
      </w:r>
      <w:r>
        <w:tab/>
        <w:t>If land covered by sub</w:t>
      </w:r>
      <w:r>
        <w:noBreakHyphen/>
        <w:t xml:space="preserve">item (1) is connected to </w:t>
      </w:r>
      <w:r>
        <w:br/>
        <w:t xml:space="preserve">the water supply works of the Water </w:t>
      </w:r>
      <w:r>
        <w:br/>
        <w:t xml:space="preserve">Corporation but not metered, the charge is to be </w:t>
      </w:r>
      <w:r>
        <w:br/>
        <w:t xml:space="preserve">calculated as if the connection were metered </w:t>
      </w:r>
      <w:r>
        <w:br/>
        <w:t xml:space="preserve">through a meter of the same diameter as the </w:t>
      </w:r>
      <w:r>
        <w:br/>
        <w:t>pipe with which the connection is made.</w:t>
      </w:r>
    </w:p>
    <w:p>
      <w:pPr>
        <w:pStyle w:val="yMiscellaneousBody"/>
        <w:tabs>
          <w:tab w:val="left" w:pos="284"/>
        </w:tabs>
        <w:ind w:left="851" w:hanging="851"/>
      </w:pPr>
      <w:r>
        <w:tab/>
        <w:t>(4)</w:t>
      </w:r>
      <w:r>
        <w:tab/>
        <w:t>If land covered by sub</w:t>
      </w:r>
      <w:r>
        <w:noBreakHyphen/>
        <w:t xml:space="preserve">item (1) is not </w:t>
      </w:r>
      <w:r>
        <w:br/>
        <w:t xml:space="preserve">connected to the water supply works of the </w:t>
      </w:r>
      <w:r>
        <w:br/>
        <w:t xml:space="preserve">Water Corporation, the charge is to be </w:t>
      </w:r>
      <w:r>
        <w:br/>
        <w:t xml:space="preserve">calculated as if the land were connected and the </w:t>
      </w:r>
      <w:r>
        <w:br/>
        <w:t>connection metered through a 20 mm meter.</w:t>
      </w:r>
    </w:p>
    <w:p>
      <w:pPr>
        <w:pStyle w:val="yHeading5"/>
      </w:pPr>
      <w:bookmarkStart w:id="370" w:name="_Toc10193838"/>
      <w:bookmarkStart w:id="371" w:name="_Toc10642219"/>
      <w:bookmarkStart w:id="372" w:name="_Toc12277611"/>
      <w:r>
        <w:rPr>
          <w:rStyle w:val="CharSClsNo"/>
        </w:rPr>
        <w:t>12</w:t>
      </w:r>
      <w:r>
        <w:t>.</w:t>
      </w:r>
      <w:r>
        <w:tab/>
        <w:t>Additional connections</w:t>
      </w:r>
      <w:bookmarkEnd w:id="370"/>
      <w:bookmarkEnd w:id="371"/>
      <w:bookmarkEnd w:id="372"/>
    </w:p>
    <w:p>
      <w:pPr>
        <w:pStyle w:val="yMiscellaneousBody"/>
        <w:tabs>
          <w:tab w:val="left" w:pos="284"/>
        </w:tabs>
        <w:ind w:left="851" w:hanging="851"/>
      </w:pPr>
      <w:r>
        <w:tab/>
        <w:t>(1)</w:t>
      </w:r>
      <w:r>
        <w:tab/>
        <w:t xml:space="preserve">For land supplied water through more </w:t>
      </w:r>
      <w:r>
        <w:br/>
        <w:t xml:space="preserve">than one water supply connection, the charge, </w:t>
      </w:r>
      <w:r>
        <w:br/>
        <w:t>for each additional connection, is —</w:t>
      </w:r>
    </w:p>
    <w:p>
      <w:pPr>
        <w:pStyle w:val="yMiscellaneousBody"/>
        <w:tabs>
          <w:tab w:val="left" w:pos="992"/>
        </w:tabs>
        <w:ind w:left="1559" w:hanging="1559"/>
      </w:pPr>
      <w:r>
        <w:tab/>
        <w:t>(a)</w:t>
      </w:r>
      <w:r>
        <w:tab/>
        <w:t xml:space="preserve">for land that is classified as </w:t>
      </w:r>
      <w:r>
        <w:br/>
        <w:t>non</w:t>
      </w:r>
      <w:r>
        <w:noBreakHyphen/>
        <w:t xml:space="preserve">residential or commercial </w:t>
      </w:r>
      <w:r>
        <w:br/>
        <w:t xml:space="preserve">residential, the charge set out in the </w:t>
      </w:r>
      <w:r>
        <w:br/>
        <w:t xml:space="preserve">Table in item 2, according to the </w:t>
      </w:r>
      <w:r>
        <w:br/>
        <w:t>relevant meter size; and</w:t>
      </w:r>
    </w:p>
    <w:p>
      <w:pPr>
        <w:pStyle w:val="yMiscellaneousBody"/>
        <w:tabs>
          <w:tab w:val="left" w:pos="992"/>
          <w:tab w:val="right" w:leader="dot" w:pos="6804"/>
        </w:tabs>
        <w:ind w:left="1559" w:hanging="1559"/>
      </w:pPr>
      <w:r>
        <w:tab/>
        <w:t>(b)</w:t>
      </w:r>
      <w:r>
        <w:tab/>
        <w:t xml:space="preserve">for land to which paragraph (a) does not </w:t>
      </w:r>
      <w:r>
        <w:br/>
        <w:t xml:space="preserve">apply </w:t>
      </w:r>
      <w:r>
        <w:tab/>
        <w:t>$264.35</w:t>
      </w:r>
    </w:p>
    <w:p>
      <w:pPr>
        <w:pStyle w:val="yMiscellaneousBody"/>
        <w:tabs>
          <w:tab w:val="left" w:pos="284"/>
        </w:tabs>
        <w:ind w:left="851" w:hanging="851"/>
      </w:pPr>
      <w:r>
        <w:tab/>
        <w:t>(2)</w:t>
      </w:r>
      <w:r>
        <w:tab/>
        <w:t>Sub</w:t>
      </w:r>
      <w:r>
        <w:noBreakHyphen/>
        <w:t>item (1) does not apply to —</w:t>
      </w:r>
    </w:p>
    <w:p>
      <w:pPr>
        <w:pStyle w:val="yMiscellaneousBody"/>
        <w:tabs>
          <w:tab w:val="left" w:pos="992"/>
        </w:tabs>
        <w:ind w:left="1559" w:hanging="1559"/>
      </w:pPr>
      <w:r>
        <w:tab/>
        <w:t>(a)</w:t>
      </w:r>
      <w:r>
        <w:tab/>
        <w:t>land covered by item 4 or 10; and</w:t>
      </w:r>
    </w:p>
    <w:p>
      <w:pPr>
        <w:pStyle w:val="yMiscellaneousBody"/>
        <w:tabs>
          <w:tab w:val="left" w:pos="992"/>
        </w:tabs>
        <w:ind w:left="1559" w:hanging="1559"/>
      </w:pPr>
      <w:r>
        <w:tab/>
        <w:t>(b)</w:t>
      </w:r>
      <w:r>
        <w:tab/>
        <w:t>a garden service connection; and</w:t>
      </w:r>
    </w:p>
    <w:p>
      <w:pPr>
        <w:pStyle w:val="yMiscellaneousBody"/>
        <w:tabs>
          <w:tab w:val="left" w:pos="992"/>
        </w:tabs>
        <w:ind w:left="1559" w:hanging="1559"/>
      </w:pPr>
      <w:r>
        <w:tab/>
        <w:t>(c)</w:t>
      </w:r>
      <w:r>
        <w:tab/>
        <w:t>a connection covered by item 13 or 21.</w:t>
      </w:r>
    </w:p>
    <w:p>
      <w:pPr>
        <w:pStyle w:val="yMiscellaneousBody"/>
        <w:tabs>
          <w:tab w:val="left" w:pos="284"/>
        </w:tabs>
        <w:ind w:left="851" w:hanging="851"/>
      </w:pPr>
      <w:r>
        <w:tab/>
        <w:t>(3)</w:t>
      </w:r>
      <w:r>
        <w:tab/>
        <w:t>The charge under sub</w:t>
      </w:r>
      <w:r>
        <w:noBreakHyphen/>
        <w:t xml:space="preserve">item (1) is in addition to </w:t>
      </w:r>
      <w:r>
        <w:br/>
        <w:t xml:space="preserve">any other charge applicable to the land under </w:t>
      </w:r>
      <w:r>
        <w:br/>
        <w:t>this Schedule.</w:t>
      </w:r>
    </w:p>
    <w:p>
      <w:pPr>
        <w:pStyle w:val="yMiscellaneousBody"/>
        <w:tabs>
          <w:tab w:val="left" w:pos="284"/>
        </w:tabs>
        <w:ind w:left="851" w:hanging="851"/>
      </w:pPr>
      <w:r>
        <w:tab/>
        <w:t>(4)</w:t>
      </w:r>
      <w:r>
        <w:tab/>
        <w:t>If a connection to which sub</w:t>
      </w:r>
      <w:r>
        <w:noBreakHyphen/>
        <w:t xml:space="preserve">item (1)(a) applies </w:t>
      </w:r>
      <w:r>
        <w:br/>
        <w:t xml:space="preserve">is not metered, the charge is to be calculated as </w:t>
      </w:r>
      <w:r>
        <w:br/>
        <w:t xml:space="preserve">if the connection were metered through a meter </w:t>
      </w:r>
      <w:r>
        <w:br/>
        <w:t xml:space="preserve">of a size equal to the diameter of the pipe </w:t>
      </w:r>
      <w:r>
        <w:br/>
        <w:t>making the connection.</w:t>
      </w:r>
    </w:p>
    <w:p>
      <w:pPr>
        <w:pStyle w:val="yHeading5"/>
      </w:pPr>
      <w:bookmarkStart w:id="373" w:name="_Toc10193839"/>
      <w:bookmarkStart w:id="374" w:name="_Toc10642220"/>
      <w:bookmarkStart w:id="375" w:name="_Toc12277612"/>
      <w:r>
        <w:rPr>
          <w:rStyle w:val="CharSClsNo"/>
        </w:rPr>
        <w:t>13</w:t>
      </w:r>
      <w:r>
        <w:t>.</w:t>
      </w:r>
      <w:r>
        <w:tab/>
        <w:t>Farmland</w:t>
      </w:r>
      <w:bookmarkEnd w:id="373"/>
      <w:bookmarkEnd w:id="374"/>
      <w:bookmarkEnd w:id="375"/>
    </w:p>
    <w:p>
      <w:pPr>
        <w:pStyle w:val="yMiscellaneousBody"/>
        <w:tabs>
          <w:tab w:val="right" w:leader="dot" w:pos="6804"/>
        </w:tabs>
        <w:ind w:left="851" w:hanging="284"/>
      </w:pPr>
      <w:r>
        <w:tab/>
        <w:t xml:space="preserve">For land that is classified as farmland, </w:t>
      </w:r>
      <w:r>
        <w:br/>
        <w:t xml:space="preserve">the charge per connection is </w:t>
      </w:r>
      <w:r>
        <w:tab/>
        <w:t>$272.05</w:t>
      </w:r>
    </w:p>
    <w:p>
      <w:pPr>
        <w:pStyle w:val="yHeading5"/>
      </w:pPr>
      <w:bookmarkStart w:id="376" w:name="_Toc10193840"/>
      <w:bookmarkStart w:id="377" w:name="_Toc10642221"/>
      <w:bookmarkStart w:id="378" w:name="_Toc12277613"/>
      <w:r>
        <w:rPr>
          <w:rStyle w:val="CharSClsNo"/>
        </w:rPr>
        <w:t>14</w:t>
      </w:r>
      <w:r>
        <w:t>.</w:t>
      </w:r>
      <w:r>
        <w:tab/>
        <w:t>Vacant land</w:t>
      </w:r>
      <w:bookmarkEnd w:id="376"/>
      <w:bookmarkEnd w:id="377"/>
      <w:bookmarkEnd w:id="378"/>
    </w:p>
    <w:p>
      <w:pPr>
        <w:pStyle w:val="yMiscellaneousBody"/>
        <w:tabs>
          <w:tab w:val="right" w:leader="dot" w:pos="6804"/>
        </w:tabs>
        <w:ind w:left="851" w:hanging="284"/>
      </w:pPr>
      <w:r>
        <w:tab/>
        <w:t xml:space="preserve">For land that is classified as vacant </w:t>
      </w:r>
      <w:r>
        <w:br/>
        <w:t xml:space="preserve">land, the charge is </w:t>
      </w:r>
      <w:r>
        <w:tab/>
        <w:t>$264.35</w:t>
      </w:r>
    </w:p>
    <w:p>
      <w:pPr>
        <w:pStyle w:val="yHeading5"/>
      </w:pPr>
      <w:bookmarkStart w:id="379" w:name="_Toc10193841"/>
      <w:bookmarkStart w:id="380" w:name="_Toc10642222"/>
      <w:bookmarkStart w:id="381" w:name="_Toc12277614"/>
      <w:r>
        <w:rPr>
          <w:rStyle w:val="CharSClsNo"/>
        </w:rPr>
        <w:t>15</w:t>
      </w:r>
      <w:r>
        <w:t>.</w:t>
      </w:r>
      <w:r>
        <w:tab/>
        <w:t>Garden service connections</w:t>
      </w:r>
      <w:bookmarkEnd w:id="379"/>
      <w:bookmarkEnd w:id="380"/>
      <w:bookmarkEnd w:id="381"/>
    </w:p>
    <w:p>
      <w:pPr>
        <w:pStyle w:val="yMiscellaneousBody"/>
        <w:tabs>
          <w:tab w:val="left" w:pos="284"/>
        </w:tabs>
        <w:ind w:left="851" w:hanging="851"/>
      </w:pPr>
      <w:r>
        <w:tab/>
        <w:t>(1)</w:t>
      </w:r>
      <w:r>
        <w:tab/>
        <w:t xml:space="preserve">For a garden service connection for water supplied to land — </w:t>
      </w:r>
    </w:p>
    <w:p>
      <w:pPr>
        <w:pStyle w:val="yMiscellaneousBody"/>
        <w:tabs>
          <w:tab w:val="left" w:pos="992"/>
        </w:tabs>
        <w:ind w:left="1559" w:hanging="1559"/>
      </w:pPr>
      <w:r>
        <w:tab/>
        <w:t>(a)</w:t>
      </w:r>
      <w:r>
        <w:tab/>
        <w:t xml:space="preserve">in the suburb of Butler in the metropolitan area — </w:t>
      </w:r>
    </w:p>
    <w:p>
      <w:pPr>
        <w:pStyle w:val="yMiscellaneousBody"/>
        <w:tabs>
          <w:tab w:val="left" w:pos="1843"/>
          <w:tab w:val="right" w:leader="dot" w:pos="6804"/>
        </w:tabs>
        <w:ind w:left="2410" w:hanging="1843"/>
      </w:pPr>
      <w:r>
        <w:tab/>
        <w:t>(i)</w:t>
      </w:r>
      <w:r>
        <w:tab/>
        <w:t xml:space="preserve">for land with an area of less </w:t>
      </w:r>
      <w:r>
        <w:br/>
        <w:t>than 400 m</w:t>
      </w:r>
      <w:r>
        <w:rPr>
          <w:vertAlign w:val="superscript"/>
        </w:rPr>
        <w:t>2</w:t>
      </w:r>
      <w:r>
        <w:t xml:space="preserve">, the charge is </w:t>
      </w:r>
      <w:r>
        <w:tab/>
        <w:t>$82.34</w:t>
      </w:r>
    </w:p>
    <w:p>
      <w:pPr>
        <w:pStyle w:val="yMiscellaneousBody"/>
        <w:tabs>
          <w:tab w:val="left" w:pos="1843"/>
          <w:tab w:val="right" w:leader="dot" w:pos="6804"/>
        </w:tabs>
        <w:ind w:left="2410" w:hanging="1843"/>
      </w:pPr>
      <w:r>
        <w:tab/>
        <w:t>(ii)</w:t>
      </w:r>
      <w:r>
        <w:tab/>
        <w:t xml:space="preserve">for land with an area equal to or </w:t>
      </w:r>
      <w:r>
        <w:br/>
        <w:t>greater than 400 m</w:t>
      </w:r>
      <w:r>
        <w:rPr>
          <w:vertAlign w:val="superscript"/>
        </w:rPr>
        <w:t>2</w:t>
      </w:r>
      <w:r>
        <w:t xml:space="preserve">, the charge is </w:t>
      </w:r>
      <w:r>
        <w:tab/>
        <w:t>$164.69</w:t>
      </w:r>
    </w:p>
    <w:p>
      <w:pPr>
        <w:pStyle w:val="yMiscellaneousBody"/>
        <w:tabs>
          <w:tab w:val="left" w:pos="992"/>
        </w:tabs>
        <w:ind w:left="1559" w:hanging="1559"/>
      </w:pPr>
      <w:r>
        <w:rPr>
          <w:szCs w:val="22"/>
        </w:rPr>
        <w:tab/>
      </w:r>
      <w:r>
        <w:rPr>
          <w:szCs w:val="22"/>
        </w:rPr>
        <w:tab/>
      </w:r>
      <w:r>
        <w:t>and</w:t>
      </w:r>
    </w:p>
    <w:p>
      <w:pPr>
        <w:pStyle w:val="yMiscellaneousBody"/>
        <w:tabs>
          <w:tab w:val="left" w:pos="992"/>
          <w:tab w:val="right" w:leader="dot" w:pos="6804"/>
        </w:tabs>
        <w:ind w:left="1559" w:hanging="1559"/>
      </w:pPr>
      <w:r>
        <w:tab/>
        <w:t>(b)</w:t>
      </w:r>
      <w:r>
        <w:tab/>
        <w:t xml:space="preserve">in the suburb of Mulataga in the town </w:t>
      </w:r>
      <w:r>
        <w:br/>
        <w:t xml:space="preserve">of Karratha, the charge is </w:t>
      </w:r>
      <w:r>
        <w:tab/>
        <w:t>$53.59</w:t>
      </w:r>
    </w:p>
    <w:p>
      <w:pPr>
        <w:pStyle w:val="yMiscellaneousBody"/>
        <w:tabs>
          <w:tab w:val="left" w:pos="284"/>
        </w:tabs>
        <w:ind w:left="851" w:hanging="851"/>
      </w:pPr>
      <w:r>
        <w:tab/>
        <w:t>(2)</w:t>
      </w:r>
      <w:r>
        <w:tab/>
        <w:t>The charge under sub</w:t>
      </w:r>
      <w:r>
        <w:noBreakHyphen/>
        <w:t>item (1) is in addition to any other charge applicable to the land under this Schedule.</w:t>
      </w:r>
    </w:p>
    <w:p>
      <w:pPr>
        <w:pStyle w:val="yHeading5"/>
      </w:pPr>
      <w:bookmarkStart w:id="382" w:name="_Toc10193842"/>
      <w:bookmarkStart w:id="383" w:name="_Toc10642223"/>
      <w:bookmarkStart w:id="384" w:name="_Toc12277615"/>
      <w:r>
        <w:rPr>
          <w:rStyle w:val="CharSClsNo"/>
        </w:rPr>
        <w:t>16</w:t>
      </w:r>
      <w:r>
        <w:t>.</w:t>
      </w:r>
      <w:r>
        <w:tab/>
        <w:t>Government trading organisations and non</w:t>
      </w:r>
      <w:r>
        <w:noBreakHyphen/>
        <w:t>commercial government property</w:t>
      </w:r>
      <w:bookmarkEnd w:id="382"/>
      <w:bookmarkEnd w:id="383"/>
      <w:bookmarkEnd w:id="384"/>
    </w:p>
    <w:p>
      <w:pPr>
        <w:pStyle w:val="yMiscellaneousBody"/>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in item 4 or 10 would, but for this item, apply.</w:t>
      </w:r>
    </w:p>
    <w:p>
      <w:pPr>
        <w:pStyle w:val="yMiscellaneousBody"/>
        <w:tabs>
          <w:tab w:val="left" w:pos="284"/>
        </w:tabs>
        <w:ind w:left="851" w:hanging="851"/>
      </w:pPr>
      <w:r>
        <w:tab/>
        <w:t>(2)</w:t>
      </w:r>
      <w:r>
        <w:tab/>
        <w:t>This item does not apply to public land.</w:t>
      </w:r>
    </w:p>
    <w:p>
      <w:pPr>
        <w:pStyle w:val="yMiscellaneousBody"/>
        <w:tabs>
          <w:tab w:val="left" w:pos="284"/>
        </w:tabs>
        <w:ind w:left="851" w:hanging="851"/>
      </w:pPr>
      <w:r>
        <w:tab/>
        <w:t>(3)</w:t>
      </w:r>
      <w:r>
        <w:tab/>
        <w:t xml:space="preserve">For land to which this item applies — </w:t>
      </w:r>
    </w:p>
    <w:p>
      <w:pPr>
        <w:pStyle w:val="yMiscellaneousBody"/>
        <w:tabs>
          <w:tab w:val="left" w:pos="992"/>
        </w:tabs>
        <w:ind w:left="1559" w:hanging="1559"/>
      </w:pPr>
      <w:r>
        <w:tab/>
        <w:t>(a)</w:t>
      </w:r>
      <w:r>
        <w:tab/>
        <w:t>the charge referred to in sub</w:t>
      </w:r>
      <w:r>
        <w:noBreakHyphen/>
        <w:t xml:space="preserve">item (1) </w:t>
      </w:r>
      <w:r>
        <w:br/>
        <w:t xml:space="preserve">that would otherwise apply, does not; </w:t>
      </w:r>
      <w:r>
        <w:br/>
        <w:t>and</w:t>
      </w:r>
    </w:p>
    <w:p>
      <w:pPr>
        <w:pStyle w:val="yMiscellaneousBody"/>
        <w:tabs>
          <w:tab w:val="left" w:pos="992"/>
        </w:tabs>
        <w:ind w:left="1559" w:hanging="1559"/>
      </w:pPr>
      <w:r>
        <w:tab/>
        <w:t>(b)</w:t>
      </w:r>
      <w:r>
        <w:tab/>
        <w:t xml:space="preserve">the charge, per water supply </w:t>
      </w:r>
      <w:r>
        <w:br/>
        <w:t xml:space="preserve">connection, is the charge set out in the </w:t>
      </w:r>
      <w:r>
        <w:br/>
        <w:t xml:space="preserve">Table in item 2 according to the </w:t>
      </w:r>
      <w:r>
        <w:br/>
        <w:t>relevant meter size.</w:t>
      </w:r>
    </w:p>
    <w:p>
      <w:pPr>
        <w:pStyle w:val="yMiscellaneousBody"/>
        <w:tabs>
          <w:tab w:val="left" w:pos="284"/>
        </w:tabs>
        <w:ind w:left="851" w:hanging="851"/>
      </w:pPr>
      <w:r>
        <w:tab/>
        <w:t>(4)</w:t>
      </w:r>
      <w:r>
        <w:tab/>
        <w:t>If a connection to which sub</w:t>
      </w:r>
      <w:r>
        <w:noBreakHyphen/>
        <w:t xml:space="preserve">item (3)(b) applies </w:t>
      </w:r>
      <w:r>
        <w:br/>
        <w:t xml:space="preserve">is not metered, the charge is to be calculated as </w:t>
      </w:r>
      <w:r>
        <w:br/>
        <w:t xml:space="preserve">if the connection were metered through a </w:t>
      </w:r>
      <w:r>
        <w:br/>
        <w:t>20 mm meter.</w:t>
      </w:r>
    </w:p>
    <w:p>
      <w:pPr>
        <w:pStyle w:val="yHeading5"/>
      </w:pPr>
      <w:bookmarkStart w:id="385" w:name="_Toc10193843"/>
      <w:bookmarkStart w:id="386" w:name="_Toc10642224"/>
      <w:bookmarkStart w:id="387" w:name="_Toc12277616"/>
      <w:r>
        <w:rPr>
          <w:rStyle w:val="CharSClsNo"/>
        </w:rPr>
        <w:t>17</w:t>
      </w:r>
      <w:r>
        <w:t>.</w:t>
      </w:r>
      <w:r>
        <w:tab/>
        <w:t>Government trading organisations and non</w:t>
      </w:r>
      <w:r>
        <w:noBreakHyphen/>
        <w:t>commercial government property: on</w:t>
      </w:r>
      <w:r>
        <w:noBreakHyphen/>
        <w:t>supply to lessees or ships</w:t>
      </w:r>
      <w:bookmarkEnd w:id="385"/>
      <w:bookmarkEnd w:id="386"/>
      <w:bookmarkEnd w:id="387"/>
    </w:p>
    <w:p>
      <w:pPr>
        <w:pStyle w:val="yMiscellaneousBody"/>
        <w:keepNext/>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w:t>
      </w:r>
      <w:r>
        <w:br/>
        <w:t>if —</w:t>
      </w:r>
    </w:p>
    <w:p>
      <w:pPr>
        <w:pStyle w:val="yMiscellaneousBody"/>
        <w:tabs>
          <w:tab w:val="left" w:pos="992"/>
        </w:tabs>
        <w:ind w:left="1559" w:hanging="1559"/>
      </w:pPr>
      <w:r>
        <w:tab/>
        <w:t>(a)</w:t>
      </w:r>
      <w:r>
        <w:tab/>
        <w:t xml:space="preserve">the land is connected to the water </w:t>
      </w:r>
      <w:r>
        <w:br/>
        <w:t xml:space="preserve">supply works of the Water Corporation; </w:t>
      </w:r>
      <w:r>
        <w:br/>
        <w:t>and</w:t>
      </w:r>
    </w:p>
    <w:p>
      <w:pPr>
        <w:pStyle w:val="yMiscellaneousBody"/>
        <w:tabs>
          <w:tab w:val="left" w:pos="992"/>
        </w:tabs>
        <w:ind w:left="1559" w:hanging="1559"/>
      </w:pPr>
      <w:r>
        <w:tab/>
        <w:t>(b)</w:t>
      </w:r>
      <w:r>
        <w:tab/>
        <w:t xml:space="preserve">a meter is connected to the property </w:t>
      </w:r>
      <w:r>
        <w:br/>
        <w:t xml:space="preserve">water supply connection with which the </w:t>
      </w:r>
      <w:r>
        <w:br/>
        <w:t xml:space="preserve">Water Corporation supplies water to the </w:t>
      </w:r>
      <w:r>
        <w:br/>
        <w:t>land; and</w:t>
      </w:r>
    </w:p>
    <w:p>
      <w:pPr>
        <w:pStyle w:val="yMiscellaneousBody"/>
        <w:tabs>
          <w:tab w:val="left" w:pos="992"/>
        </w:tabs>
        <w:ind w:left="1559" w:hanging="1559"/>
      </w:pPr>
      <w:r>
        <w:tab/>
        <w:t>(c)</w:t>
      </w:r>
      <w:r>
        <w:tab/>
        <w:t xml:space="preserve">at least some of the water supplied </w:t>
      </w:r>
      <w:r>
        <w:br/>
        <w:t xml:space="preserve">through the meter referred to in </w:t>
      </w:r>
      <w:r>
        <w:br/>
        <w:t xml:space="preserve">paragraph (b) is supplied, through a </w:t>
      </w:r>
      <w:r>
        <w:br/>
        <w:t xml:space="preserve">meter, to one or more lessees of any of </w:t>
      </w:r>
      <w:r>
        <w:br/>
        <w:t>the land or to ships in port.</w:t>
      </w:r>
    </w:p>
    <w:p>
      <w:pPr>
        <w:pStyle w:val="yMiscellaneousBody"/>
        <w:tabs>
          <w:tab w:val="left" w:pos="284"/>
        </w:tabs>
        <w:ind w:left="851" w:hanging="851"/>
      </w:pPr>
      <w:r>
        <w:tab/>
        <w:t>(2)</w:t>
      </w:r>
      <w:r>
        <w:tab/>
        <w:t xml:space="preserve">For land to which this item applies, </w:t>
      </w:r>
      <w:r>
        <w:br/>
        <w:t xml:space="preserve">the charge for the supply of water referred to in </w:t>
      </w:r>
      <w:r>
        <w:br/>
        <w:t>sub</w:t>
      </w:r>
      <w:r>
        <w:noBreakHyphen/>
        <w:t xml:space="preserve">item (1)(b) is reduced by the charge set out </w:t>
      </w:r>
      <w:r>
        <w:br/>
        <w:t xml:space="preserve">in the Table in item 2 for a meter of the size </w:t>
      </w:r>
      <w:r>
        <w:br/>
        <w:t xml:space="preserve">that would be required to supply, in aggregate, </w:t>
      </w:r>
      <w:r>
        <w:br/>
        <w:t>water as described in sub</w:t>
      </w:r>
      <w:r>
        <w:noBreakHyphen/>
        <w:t>item (1)(c).</w:t>
      </w:r>
    </w:p>
    <w:p>
      <w:pPr>
        <w:pStyle w:val="yMiscellaneousBody"/>
        <w:tabs>
          <w:tab w:val="left" w:pos="284"/>
        </w:tabs>
        <w:ind w:left="851" w:hanging="851"/>
      </w:pPr>
      <w:r>
        <w:tab/>
        <w:t>(3)</w:t>
      </w:r>
      <w:r>
        <w:tab/>
        <w:t xml:space="preserve">This item does not apply if the meter referred to </w:t>
      </w:r>
      <w:r>
        <w:br/>
        <w:t>in sub</w:t>
      </w:r>
      <w:r>
        <w:noBreakHyphen/>
        <w:t xml:space="preserve">item (1)(b) would be the same size </w:t>
      </w:r>
      <w:r>
        <w:br/>
        <w:t xml:space="preserve">whether or not the organisation or authority </w:t>
      </w:r>
      <w:r>
        <w:br/>
        <w:t>supplied water as described in sub</w:t>
      </w:r>
      <w:r>
        <w:noBreakHyphen/>
        <w:t>item (1)(c).</w:t>
      </w:r>
    </w:p>
    <w:p>
      <w:pPr>
        <w:pStyle w:val="yHeading4"/>
      </w:pPr>
      <w:bookmarkStart w:id="388" w:name="_Toc10034227"/>
      <w:bookmarkStart w:id="389" w:name="_Toc10034387"/>
      <w:bookmarkStart w:id="390" w:name="_Toc10107707"/>
      <w:bookmarkStart w:id="391" w:name="_Toc10107867"/>
      <w:bookmarkStart w:id="392" w:name="_Toc10121174"/>
      <w:bookmarkStart w:id="393" w:name="_Toc10124559"/>
      <w:bookmarkStart w:id="394" w:name="_Toc10193844"/>
      <w:bookmarkStart w:id="395" w:name="_Toc10203631"/>
      <w:bookmarkStart w:id="396" w:name="_Toc10203787"/>
      <w:bookmarkStart w:id="397" w:name="_Toc10534941"/>
      <w:bookmarkStart w:id="398" w:name="_Toc10535814"/>
      <w:bookmarkStart w:id="399" w:name="_Toc10642225"/>
      <w:bookmarkStart w:id="400" w:name="_Toc11835712"/>
      <w:bookmarkStart w:id="401" w:name="_Toc12273789"/>
      <w:bookmarkStart w:id="402" w:name="_Toc12277617"/>
      <w:r>
        <w:t>Subdivision 3 — Other service charges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yFootnoteheading"/>
        <w:spacing w:after="120"/>
      </w:pPr>
      <w:bookmarkStart w:id="403" w:name="_Toc10193845"/>
      <w:bookmarkStart w:id="404" w:name="_Toc10642226"/>
      <w:r>
        <w:tab/>
        <w:t>[Heading inserted: Gazette 14 Jun 2019 p. 1941.]</w:t>
      </w:r>
    </w:p>
    <w:p>
      <w:pPr>
        <w:pStyle w:val="yHeading5"/>
      </w:pPr>
      <w:bookmarkStart w:id="405" w:name="_Toc12277618"/>
      <w:r>
        <w:rPr>
          <w:rStyle w:val="CharSClsNo"/>
        </w:rPr>
        <w:t>18</w:t>
      </w:r>
      <w:r>
        <w:t>.</w:t>
      </w:r>
      <w:r>
        <w:tab/>
        <w:t>Stock</w:t>
      </w:r>
      <w:bookmarkEnd w:id="403"/>
      <w:bookmarkEnd w:id="404"/>
      <w:bookmarkEnd w:id="405"/>
    </w:p>
    <w:p>
      <w:pPr>
        <w:pStyle w:val="yMiscellaneousBody"/>
        <w:tabs>
          <w:tab w:val="right" w:leader="dot" w:pos="6804"/>
        </w:tabs>
        <w:ind w:left="851" w:hanging="284"/>
      </w:pPr>
      <w:r>
        <w:tab/>
        <w:t xml:space="preserve">For each water supply connection provided for </w:t>
      </w:r>
      <w:r>
        <w:br/>
        <w:t xml:space="preserve">the purpose of watering stock on land that is </w:t>
      </w:r>
      <w:r>
        <w:br/>
        <w:t xml:space="preserve">not covered by item 13, the charge is </w:t>
      </w:r>
      <w:r>
        <w:tab/>
        <w:t>$272.05</w:t>
      </w:r>
    </w:p>
    <w:p>
      <w:pPr>
        <w:pStyle w:val="yHeading5"/>
      </w:pPr>
      <w:bookmarkStart w:id="406" w:name="_Toc10193846"/>
      <w:bookmarkStart w:id="407" w:name="_Toc10642227"/>
      <w:bookmarkStart w:id="408" w:name="_Toc12277619"/>
      <w:r>
        <w:rPr>
          <w:rStyle w:val="CharSClsNo"/>
        </w:rPr>
        <w:t>19</w:t>
      </w:r>
      <w:r>
        <w:t>.</w:t>
      </w:r>
      <w:r>
        <w:tab/>
        <w:t>Shipping</w:t>
      </w:r>
      <w:bookmarkEnd w:id="406"/>
      <w:bookmarkEnd w:id="407"/>
      <w:bookmarkEnd w:id="408"/>
    </w:p>
    <w:p>
      <w:pPr>
        <w:pStyle w:val="yMiscellaneousBody"/>
        <w:ind w:left="851" w:hanging="284"/>
      </w:pPr>
      <w:r>
        <w:tab/>
        <w:t xml:space="preserve">For each water supply connection provided for </w:t>
      </w:r>
      <w:r>
        <w:br/>
        <w:t xml:space="preserve">the purpose of water being taken on board any </w:t>
      </w:r>
      <w:r>
        <w:br/>
        <w:t xml:space="preserve">ship in a port, the charge is the charge set out in </w:t>
      </w:r>
      <w:r>
        <w:br/>
        <w:t xml:space="preserve">the Table in item 2 according to the relevant </w:t>
      </w:r>
      <w:r>
        <w:br/>
        <w:t>meter size.</w:t>
      </w:r>
    </w:p>
    <w:p>
      <w:pPr>
        <w:pStyle w:val="yHeading5"/>
      </w:pPr>
      <w:bookmarkStart w:id="409" w:name="_Toc10193847"/>
      <w:bookmarkStart w:id="410" w:name="_Toc10642228"/>
      <w:bookmarkStart w:id="411" w:name="_Toc12277620"/>
      <w:r>
        <w:rPr>
          <w:rStyle w:val="CharSClsNo"/>
        </w:rPr>
        <w:t>20</w:t>
      </w:r>
      <w:r>
        <w:t>.</w:t>
      </w:r>
      <w:r>
        <w:tab/>
        <w:t>Local government standpipes</w:t>
      </w:r>
      <w:bookmarkEnd w:id="409"/>
      <w:bookmarkEnd w:id="410"/>
      <w:bookmarkEnd w:id="411"/>
    </w:p>
    <w:p>
      <w:pPr>
        <w:pStyle w:val="yMiscellaneousBody"/>
        <w:tabs>
          <w:tab w:val="right" w:leader="dot" w:pos="6804"/>
        </w:tabs>
        <w:ind w:left="851" w:hanging="284"/>
      </w:pPr>
      <w:r>
        <w:tab/>
        <w:t xml:space="preserve">For each local government standpipe, the charge is </w:t>
      </w:r>
      <w:r>
        <w:tab/>
        <w:t>$272.05</w:t>
      </w:r>
    </w:p>
    <w:p>
      <w:pPr>
        <w:pStyle w:val="yHeading5"/>
      </w:pPr>
      <w:bookmarkStart w:id="412" w:name="_Toc10193848"/>
      <w:bookmarkStart w:id="413" w:name="_Toc10642229"/>
      <w:bookmarkStart w:id="414" w:name="_Toc12277621"/>
      <w:r>
        <w:rPr>
          <w:rStyle w:val="CharSClsNo"/>
        </w:rPr>
        <w:t>21</w:t>
      </w:r>
      <w:r>
        <w:t>.</w:t>
      </w:r>
      <w:r>
        <w:tab/>
        <w:t>Fire service connections</w:t>
      </w:r>
      <w:bookmarkEnd w:id="412"/>
      <w:bookmarkEnd w:id="413"/>
      <w:bookmarkEnd w:id="414"/>
    </w:p>
    <w:p>
      <w:pPr>
        <w:pStyle w:val="yMiscellaneousBody"/>
        <w:tabs>
          <w:tab w:val="right" w:leader="dot" w:pos="6804"/>
        </w:tabs>
        <w:ind w:left="851" w:hanging="284"/>
      </w:pPr>
      <w:r>
        <w:tab/>
        <w:t xml:space="preserve">For a fire service connection, the </w:t>
      </w:r>
      <w:r>
        <w:br/>
        <w:t xml:space="preserve">charge is </w:t>
      </w:r>
      <w:r>
        <w:tab/>
        <w:t>$272.05</w:t>
      </w:r>
    </w:p>
    <w:p>
      <w:pPr>
        <w:pStyle w:val="yFootnotesection"/>
      </w:pPr>
      <w:bookmarkStart w:id="415" w:name="_Toc10034232"/>
      <w:bookmarkStart w:id="416" w:name="_Toc10034392"/>
      <w:bookmarkStart w:id="417" w:name="_Toc10107712"/>
      <w:bookmarkStart w:id="418" w:name="_Toc10107872"/>
      <w:bookmarkStart w:id="419" w:name="_Toc10121179"/>
      <w:bookmarkStart w:id="420" w:name="_Toc10124564"/>
      <w:bookmarkStart w:id="421" w:name="_Toc10193849"/>
      <w:bookmarkStart w:id="422" w:name="_Toc10203636"/>
      <w:bookmarkStart w:id="423" w:name="_Toc10203792"/>
      <w:bookmarkStart w:id="424" w:name="_Toc10534946"/>
      <w:bookmarkStart w:id="425" w:name="_Toc10535819"/>
      <w:bookmarkStart w:id="426" w:name="_Toc10642230"/>
      <w:r>
        <w:tab/>
        <w:t>[Division 1 inserted: Gazette 14 Jun 2019 p. 1935</w:t>
      </w:r>
      <w:r>
        <w:noBreakHyphen/>
        <w:t>42.]</w:t>
      </w:r>
    </w:p>
    <w:p>
      <w:pPr>
        <w:pStyle w:val="yHeading3"/>
        <w:rPr>
          <w:rStyle w:val="CharSDivText"/>
        </w:rPr>
      </w:pPr>
      <w:bookmarkStart w:id="427" w:name="_Toc11835717"/>
      <w:bookmarkStart w:id="428" w:name="_Toc12273794"/>
      <w:bookmarkStart w:id="429" w:name="_Toc12277622"/>
      <w:r>
        <w:rPr>
          <w:rStyle w:val="CharSDivNo"/>
        </w:rPr>
        <w:t>Division 2</w:t>
      </w:r>
      <w:r>
        <w:t> — </w:t>
      </w:r>
      <w:r>
        <w:rPr>
          <w:rStyle w:val="CharSDivText"/>
        </w:rPr>
        <w:t>Consumption charges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yFootnoteheading"/>
        <w:spacing w:after="120"/>
      </w:pPr>
      <w:bookmarkStart w:id="430" w:name="_Toc10034233"/>
      <w:bookmarkStart w:id="431" w:name="_Toc10034393"/>
      <w:bookmarkStart w:id="432" w:name="_Toc10107713"/>
      <w:bookmarkStart w:id="433" w:name="_Toc10107873"/>
      <w:bookmarkStart w:id="434" w:name="_Toc10121180"/>
      <w:bookmarkStart w:id="435" w:name="_Toc10124565"/>
      <w:bookmarkStart w:id="436" w:name="_Toc10193850"/>
      <w:bookmarkStart w:id="437" w:name="_Toc10203637"/>
      <w:bookmarkStart w:id="438" w:name="_Toc10203793"/>
      <w:bookmarkStart w:id="439" w:name="_Toc10534947"/>
      <w:bookmarkStart w:id="440" w:name="_Toc10535820"/>
      <w:bookmarkStart w:id="441" w:name="_Toc10642231"/>
      <w:r>
        <w:tab/>
        <w:t>[Heading inserted: Gazette 14 Jun 2019 p. 1942.]</w:t>
      </w:r>
    </w:p>
    <w:p>
      <w:pPr>
        <w:pStyle w:val="yHeading4"/>
      </w:pPr>
      <w:bookmarkStart w:id="442" w:name="_Toc11835718"/>
      <w:bookmarkStart w:id="443" w:name="_Toc12273795"/>
      <w:bookmarkStart w:id="444" w:name="_Toc12277623"/>
      <w:r>
        <w:t>Subdivision 1 — Preliminary</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yFootnoteheading"/>
        <w:spacing w:after="120"/>
      </w:pPr>
      <w:bookmarkStart w:id="445" w:name="_Toc10193851"/>
      <w:bookmarkStart w:id="446" w:name="_Toc10642232"/>
      <w:r>
        <w:tab/>
        <w:t>[Heading inserted: Gazette 14 Jun 2019 p. 1942.]</w:t>
      </w:r>
    </w:p>
    <w:p>
      <w:pPr>
        <w:pStyle w:val="yHeading5"/>
      </w:pPr>
      <w:bookmarkStart w:id="447" w:name="_Toc12277624"/>
      <w:r>
        <w:rPr>
          <w:rStyle w:val="CharSClsNo"/>
        </w:rPr>
        <w:t>22</w:t>
      </w:r>
      <w:r>
        <w:t>.</w:t>
      </w:r>
      <w:r>
        <w:tab/>
        <w:t>Consumption charges for 2019/20 year and subsequent years</w:t>
      </w:r>
      <w:bookmarkEnd w:id="445"/>
      <w:bookmarkEnd w:id="446"/>
      <w:bookmarkEnd w:id="447"/>
    </w:p>
    <w:p>
      <w:pPr>
        <w:pStyle w:val="yMiscellaneousBody"/>
        <w:tabs>
          <w:tab w:val="left" w:pos="284"/>
        </w:tabs>
        <w:ind w:left="851" w:hanging="851"/>
      </w:pPr>
      <w:r>
        <w:tab/>
        <w:t>(1)</w:t>
      </w:r>
      <w:r>
        <w:tab/>
        <w:t>The charges set out in this Division apply for water supplied in the 2019/20 financial year and each subsequent year.</w:t>
      </w:r>
    </w:p>
    <w:p>
      <w:pPr>
        <w:pStyle w:val="yMiscellaneousBody"/>
        <w:tabs>
          <w:tab w:val="left" w:pos="284"/>
        </w:tabs>
        <w:ind w:left="851" w:hanging="851"/>
      </w:pPr>
      <w:r>
        <w:tab/>
        <w:t>(2)</w:t>
      </w:r>
      <w:r>
        <w:tab/>
        <w:t>Volumetric ranges in an item of this Division have effect by reference to the volume of water supplied in the current consumption year.</w:t>
      </w:r>
    </w:p>
    <w:p>
      <w:pPr>
        <w:pStyle w:val="yHeading5"/>
      </w:pPr>
      <w:bookmarkStart w:id="448" w:name="_Toc10193852"/>
      <w:bookmarkStart w:id="449" w:name="_Toc10642233"/>
      <w:bookmarkStart w:id="450" w:name="_Toc12277625"/>
      <w:r>
        <w:rPr>
          <w:rStyle w:val="CharSClsNo"/>
        </w:rPr>
        <w:t>23</w:t>
      </w:r>
      <w:r>
        <w:t>.</w:t>
      </w:r>
      <w:r>
        <w:tab/>
        <w:t>Residential or non</w:t>
      </w:r>
      <w:r>
        <w:noBreakHyphen/>
        <w:t>residential class of town or area</w:t>
      </w:r>
      <w:bookmarkEnd w:id="448"/>
      <w:bookmarkEnd w:id="449"/>
      <w:bookmarkEnd w:id="450"/>
    </w:p>
    <w:p>
      <w:pPr>
        <w:pStyle w:val="yMiscellaneousBody"/>
        <w:ind w:left="851" w:hanging="284"/>
      </w:pP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451" w:name="_Toc10193853"/>
      <w:bookmarkStart w:id="452" w:name="_Toc10642234"/>
      <w:bookmarkStart w:id="453" w:name="_Toc12277626"/>
      <w:r>
        <w:rPr>
          <w:rStyle w:val="CharSClsNo"/>
        </w:rPr>
        <w:t>24</w:t>
      </w:r>
      <w:r>
        <w:t>.</w:t>
      </w:r>
      <w:r>
        <w:tab/>
        <w:t>Table of class</w:t>
      </w:r>
      <w:r>
        <w:noBreakHyphen/>
        <w:t>based charges</w:t>
      </w:r>
      <w:bookmarkEnd w:id="451"/>
      <w:bookmarkEnd w:id="452"/>
      <w:bookmarkEnd w:id="453"/>
    </w:p>
    <w:p>
      <w:pPr>
        <w:pStyle w:val="yMiscellaneousBody"/>
        <w:ind w:left="851" w:hanging="284"/>
      </w:pP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1701" w:type="dxa"/>
            <w:tcBorders>
              <w:top w:val="single" w:sz="4" w:space="0" w:color="auto"/>
              <w:bottom w:val="single" w:sz="4" w:space="0" w:color="auto"/>
            </w:tcBorders>
            <w:vAlign w:val="center"/>
          </w:tcPr>
          <w:p>
            <w:pPr>
              <w:pStyle w:val="yTableNAm"/>
              <w:jc w:val="center"/>
              <w:rPr>
                <w:b/>
              </w:rPr>
            </w:pPr>
            <w:r>
              <w:rPr>
                <w:b/>
              </w:rPr>
              <w:t>Class</w:t>
            </w:r>
          </w:p>
        </w:tc>
        <w:tc>
          <w:tcPr>
            <w:tcW w:w="1701" w:type="dxa"/>
            <w:tcBorders>
              <w:top w:val="single" w:sz="4" w:space="0" w:color="auto"/>
              <w:bottom w:val="single" w:sz="4" w:space="0" w:color="auto"/>
            </w:tcBorders>
          </w:tcPr>
          <w:p>
            <w:pPr>
              <w:pStyle w:val="yTableNAm"/>
              <w:jc w:val="center"/>
              <w:rPr>
                <w:b/>
              </w:rPr>
            </w:pPr>
            <w:r>
              <w:rPr>
                <w:b/>
              </w:rPr>
              <w:t>Charge (cents)</w:t>
            </w:r>
          </w:p>
        </w:tc>
      </w:tr>
      <w:tr>
        <w:tc>
          <w:tcPr>
            <w:tcW w:w="1701" w:type="dxa"/>
            <w:tcBorders>
              <w:top w:val="single" w:sz="4" w:space="0" w:color="auto"/>
            </w:tcBorders>
            <w:vAlign w:val="center"/>
          </w:tcPr>
          <w:p>
            <w:pPr>
              <w:pStyle w:val="yTableNAm"/>
              <w:jc w:val="center"/>
            </w:pPr>
            <w:r>
              <w:t>1</w:t>
            </w:r>
          </w:p>
        </w:tc>
        <w:tc>
          <w:tcPr>
            <w:tcW w:w="1701" w:type="dxa"/>
            <w:tcBorders>
              <w:top w:val="single" w:sz="4" w:space="0" w:color="auto"/>
            </w:tcBorders>
            <w:vAlign w:val="bottom"/>
          </w:tcPr>
          <w:p>
            <w:pPr>
              <w:pStyle w:val="yTableNAm"/>
              <w:jc w:val="center"/>
            </w:pPr>
            <w:r>
              <w:rPr>
                <w:szCs w:val="22"/>
              </w:rPr>
              <w:t>259.7</w:t>
            </w:r>
          </w:p>
        </w:tc>
      </w:tr>
      <w:tr>
        <w:tc>
          <w:tcPr>
            <w:tcW w:w="1701" w:type="dxa"/>
            <w:vAlign w:val="center"/>
          </w:tcPr>
          <w:p>
            <w:pPr>
              <w:pStyle w:val="yTableNAm"/>
              <w:jc w:val="center"/>
            </w:pPr>
            <w:r>
              <w:t>2</w:t>
            </w:r>
          </w:p>
        </w:tc>
        <w:tc>
          <w:tcPr>
            <w:tcW w:w="1701" w:type="dxa"/>
            <w:vAlign w:val="bottom"/>
          </w:tcPr>
          <w:p>
            <w:pPr>
              <w:pStyle w:val="yTableNAm"/>
              <w:jc w:val="center"/>
            </w:pPr>
            <w:r>
              <w:rPr>
                <w:szCs w:val="22"/>
              </w:rPr>
              <w:t>283.0</w:t>
            </w:r>
          </w:p>
        </w:tc>
      </w:tr>
      <w:tr>
        <w:tc>
          <w:tcPr>
            <w:tcW w:w="1701" w:type="dxa"/>
            <w:vAlign w:val="center"/>
          </w:tcPr>
          <w:p>
            <w:pPr>
              <w:pStyle w:val="yTableNAm"/>
              <w:jc w:val="center"/>
            </w:pPr>
            <w:r>
              <w:t>3</w:t>
            </w:r>
          </w:p>
        </w:tc>
        <w:tc>
          <w:tcPr>
            <w:tcW w:w="1701" w:type="dxa"/>
            <w:vAlign w:val="bottom"/>
          </w:tcPr>
          <w:p>
            <w:pPr>
              <w:pStyle w:val="yTableNAm"/>
              <w:jc w:val="center"/>
            </w:pPr>
            <w:r>
              <w:rPr>
                <w:szCs w:val="22"/>
              </w:rPr>
              <w:t>307.8</w:t>
            </w:r>
          </w:p>
        </w:tc>
      </w:tr>
      <w:tr>
        <w:tc>
          <w:tcPr>
            <w:tcW w:w="1701" w:type="dxa"/>
            <w:vAlign w:val="center"/>
          </w:tcPr>
          <w:p>
            <w:pPr>
              <w:pStyle w:val="yTableNAm"/>
              <w:jc w:val="center"/>
            </w:pPr>
            <w:r>
              <w:t>4</w:t>
            </w:r>
          </w:p>
        </w:tc>
        <w:tc>
          <w:tcPr>
            <w:tcW w:w="1701" w:type="dxa"/>
            <w:vAlign w:val="bottom"/>
          </w:tcPr>
          <w:p>
            <w:pPr>
              <w:pStyle w:val="yTableNAm"/>
              <w:jc w:val="center"/>
            </w:pPr>
            <w:r>
              <w:rPr>
                <w:szCs w:val="22"/>
              </w:rPr>
              <w:t>335.4</w:t>
            </w:r>
          </w:p>
        </w:tc>
      </w:tr>
      <w:tr>
        <w:tc>
          <w:tcPr>
            <w:tcW w:w="1701" w:type="dxa"/>
            <w:vAlign w:val="center"/>
          </w:tcPr>
          <w:p>
            <w:pPr>
              <w:pStyle w:val="yTableNAm"/>
              <w:jc w:val="center"/>
            </w:pPr>
            <w:r>
              <w:t>5</w:t>
            </w:r>
          </w:p>
        </w:tc>
        <w:tc>
          <w:tcPr>
            <w:tcW w:w="1701" w:type="dxa"/>
            <w:vAlign w:val="bottom"/>
          </w:tcPr>
          <w:p>
            <w:pPr>
              <w:pStyle w:val="yTableNAm"/>
              <w:jc w:val="center"/>
            </w:pPr>
            <w:r>
              <w:rPr>
                <w:szCs w:val="22"/>
              </w:rPr>
              <w:t>365.3</w:t>
            </w:r>
          </w:p>
        </w:tc>
      </w:tr>
      <w:tr>
        <w:tc>
          <w:tcPr>
            <w:tcW w:w="1701" w:type="dxa"/>
            <w:vAlign w:val="center"/>
          </w:tcPr>
          <w:p>
            <w:pPr>
              <w:pStyle w:val="yTableNAm"/>
              <w:jc w:val="center"/>
            </w:pPr>
            <w:r>
              <w:t>6</w:t>
            </w:r>
          </w:p>
        </w:tc>
        <w:tc>
          <w:tcPr>
            <w:tcW w:w="1701" w:type="dxa"/>
            <w:vAlign w:val="bottom"/>
          </w:tcPr>
          <w:p>
            <w:pPr>
              <w:pStyle w:val="yTableNAm"/>
              <w:jc w:val="center"/>
            </w:pPr>
            <w:r>
              <w:rPr>
                <w:szCs w:val="22"/>
              </w:rPr>
              <w:t>397.7</w:t>
            </w:r>
          </w:p>
        </w:tc>
      </w:tr>
      <w:tr>
        <w:tc>
          <w:tcPr>
            <w:tcW w:w="1701" w:type="dxa"/>
            <w:vAlign w:val="center"/>
          </w:tcPr>
          <w:p>
            <w:pPr>
              <w:pStyle w:val="yTableNAm"/>
              <w:jc w:val="center"/>
            </w:pPr>
            <w:r>
              <w:t>7</w:t>
            </w:r>
          </w:p>
        </w:tc>
        <w:tc>
          <w:tcPr>
            <w:tcW w:w="1701" w:type="dxa"/>
            <w:vAlign w:val="bottom"/>
          </w:tcPr>
          <w:p>
            <w:pPr>
              <w:pStyle w:val="yTableNAm"/>
              <w:jc w:val="center"/>
            </w:pPr>
            <w:r>
              <w:rPr>
                <w:szCs w:val="22"/>
              </w:rPr>
              <w:t>433.2</w:t>
            </w:r>
          </w:p>
        </w:tc>
      </w:tr>
      <w:tr>
        <w:tc>
          <w:tcPr>
            <w:tcW w:w="1701" w:type="dxa"/>
            <w:vAlign w:val="center"/>
          </w:tcPr>
          <w:p>
            <w:pPr>
              <w:pStyle w:val="yTableNAm"/>
              <w:jc w:val="center"/>
            </w:pPr>
            <w:r>
              <w:t>8</w:t>
            </w:r>
          </w:p>
        </w:tc>
        <w:tc>
          <w:tcPr>
            <w:tcW w:w="1701" w:type="dxa"/>
            <w:vAlign w:val="bottom"/>
          </w:tcPr>
          <w:p>
            <w:pPr>
              <w:pStyle w:val="yTableNAm"/>
              <w:jc w:val="center"/>
            </w:pPr>
            <w:r>
              <w:rPr>
                <w:szCs w:val="22"/>
              </w:rPr>
              <w:t>471.6</w:t>
            </w:r>
          </w:p>
        </w:tc>
      </w:tr>
      <w:tr>
        <w:tc>
          <w:tcPr>
            <w:tcW w:w="1701" w:type="dxa"/>
            <w:vAlign w:val="center"/>
          </w:tcPr>
          <w:p>
            <w:pPr>
              <w:pStyle w:val="yTableNAm"/>
              <w:jc w:val="center"/>
            </w:pPr>
            <w:r>
              <w:t>9</w:t>
            </w:r>
          </w:p>
        </w:tc>
        <w:tc>
          <w:tcPr>
            <w:tcW w:w="1701" w:type="dxa"/>
            <w:vAlign w:val="bottom"/>
          </w:tcPr>
          <w:p>
            <w:pPr>
              <w:pStyle w:val="yTableNAm"/>
              <w:jc w:val="center"/>
            </w:pPr>
            <w:r>
              <w:rPr>
                <w:szCs w:val="22"/>
              </w:rPr>
              <w:t>513.6</w:t>
            </w:r>
          </w:p>
        </w:tc>
      </w:tr>
      <w:tr>
        <w:tc>
          <w:tcPr>
            <w:tcW w:w="1701" w:type="dxa"/>
            <w:vAlign w:val="center"/>
          </w:tcPr>
          <w:p>
            <w:pPr>
              <w:pStyle w:val="yTableNAm"/>
              <w:jc w:val="center"/>
            </w:pPr>
            <w:r>
              <w:t>10</w:t>
            </w:r>
          </w:p>
        </w:tc>
        <w:tc>
          <w:tcPr>
            <w:tcW w:w="1701" w:type="dxa"/>
            <w:vAlign w:val="bottom"/>
          </w:tcPr>
          <w:p>
            <w:pPr>
              <w:pStyle w:val="yTableNAm"/>
              <w:jc w:val="center"/>
            </w:pPr>
            <w:r>
              <w:rPr>
                <w:szCs w:val="22"/>
              </w:rPr>
              <w:t>559.3</w:t>
            </w:r>
          </w:p>
        </w:tc>
      </w:tr>
      <w:tr>
        <w:tc>
          <w:tcPr>
            <w:tcW w:w="1701" w:type="dxa"/>
            <w:vAlign w:val="center"/>
          </w:tcPr>
          <w:p>
            <w:pPr>
              <w:pStyle w:val="yTableNAm"/>
              <w:jc w:val="center"/>
            </w:pPr>
            <w:r>
              <w:t>11</w:t>
            </w:r>
          </w:p>
        </w:tc>
        <w:tc>
          <w:tcPr>
            <w:tcW w:w="1701" w:type="dxa"/>
            <w:vAlign w:val="bottom"/>
          </w:tcPr>
          <w:p>
            <w:pPr>
              <w:pStyle w:val="yTableNAm"/>
              <w:jc w:val="center"/>
            </w:pPr>
            <w:r>
              <w:rPr>
                <w:szCs w:val="22"/>
              </w:rPr>
              <w:t>608.9</w:t>
            </w:r>
          </w:p>
        </w:tc>
      </w:tr>
      <w:tr>
        <w:tc>
          <w:tcPr>
            <w:tcW w:w="1701" w:type="dxa"/>
            <w:vAlign w:val="center"/>
          </w:tcPr>
          <w:p>
            <w:pPr>
              <w:pStyle w:val="yTableNAm"/>
              <w:jc w:val="center"/>
            </w:pPr>
            <w:r>
              <w:t>12</w:t>
            </w:r>
          </w:p>
        </w:tc>
        <w:tc>
          <w:tcPr>
            <w:tcW w:w="1701" w:type="dxa"/>
            <w:vAlign w:val="bottom"/>
          </w:tcPr>
          <w:p>
            <w:pPr>
              <w:pStyle w:val="yTableNAm"/>
              <w:jc w:val="center"/>
            </w:pPr>
            <w:r>
              <w:rPr>
                <w:szCs w:val="22"/>
              </w:rPr>
              <w:t>663.1</w:t>
            </w:r>
          </w:p>
        </w:tc>
      </w:tr>
      <w:tr>
        <w:tc>
          <w:tcPr>
            <w:tcW w:w="1701" w:type="dxa"/>
            <w:vAlign w:val="center"/>
          </w:tcPr>
          <w:p>
            <w:pPr>
              <w:pStyle w:val="yTableNAm"/>
              <w:jc w:val="center"/>
            </w:pPr>
            <w:r>
              <w:t>13</w:t>
            </w:r>
          </w:p>
        </w:tc>
        <w:tc>
          <w:tcPr>
            <w:tcW w:w="1701" w:type="dxa"/>
            <w:vAlign w:val="bottom"/>
          </w:tcPr>
          <w:p>
            <w:pPr>
              <w:pStyle w:val="yTableNAm"/>
              <w:jc w:val="center"/>
            </w:pPr>
            <w:r>
              <w:rPr>
                <w:szCs w:val="22"/>
              </w:rPr>
              <w:t>722.1</w:t>
            </w:r>
          </w:p>
        </w:tc>
      </w:tr>
      <w:tr>
        <w:tc>
          <w:tcPr>
            <w:tcW w:w="1701" w:type="dxa"/>
            <w:vAlign w:val="center"/>
          </w:tcPr>
          <w:p>
            <w:pPr>
              <w:pStyle w:val="yTableNAm"/>
              <w:jc w:val="center"/>
            </w:pPr>
            <w:r>
              <w:t>14</w:t>
            </w:r>
          </w:p>
        </w:tc>
        <w:tc>
          <w:tcPr>
            <w:tcW w:w="1701" w:type="dxa"/>
            <w:vAlign w:val="bottom"/>
          </w:tcPr>
          <w:p>
            <w:pPr>
              <w:pStyle w:val="yTableNAm"/>
              <w:jc w:val="center"/>
            </w:pPr>
            <w:r>
              <w:rPr>
                <w:szCs w:val="22"/>
              </w:rPr>
              <w:t>786.4</w:t>
            </w:r>
          </w:p>
        </w:tc>
      </w:tr>
      <w:tr>
        <w:tc>
          <w:tcPr>
            <w:tcW w:w="1701" w:type="dxa"/>
            <w:tcBorders>
              <w:bottom w:val="single" w:sz="4" w:space="0" w:color="auto"/>
            </w:tcBorders>
            <w:vAlign w:val="center"/>
          </w:tcPr>
          <w:p>
            <w:pPr>
              <w:pStyle w:val="yTableNAm"/>
              <w:jc w:val="center"/>
            </w:pPr>
            <w:r>
              <w:t>15</w:t>
            </w:r>
          </w:p>
        </w:tc>
        <w:tc>
          <w:tcPr>
            <w:tcW w:w="1701" w:type="dxa"/>
            <w:tcBorders>
              <w:bottom w:val="single" w:sz="4" w:space="0" w:color="auto"/>
            </w:tcBorders>
            <w:vAlign w:val="bottom"/>
          </w:tcPr>
          <w:p>
            <w:pPr>
              <w:pStyle w:val="yTableNAm"/>
              <w:jc w:val="center"/>
            </w:pPr>
            <w:r>
              <w:rPr>
                <w:szCs w:val="22"/>
              </w:rPr>
              <w:t>856.2</w:t>
            </w:r>
          </w:p>
        </w:tc>
      </w:tr>
    </w:tbl>
    <w:p>
      <w:pPr>
        <w:pStyle w:val="yHeading4"/>
      </w:pPr>
      <w:bookmarkStart w:id="454" w:name="_Toc10034237"/>
      <w:bookmarkStart w:id="455" w:name="_Toc10034397"/>
      <w:bookmarkStart w:id="456" w:name="_Toc10107717"/>
      <w:bookmarkStart w:id="457" w:name="_Toc10107877"/>
      <w:bookmarkStart w:id="458" w:name="_Toc10121184"/>
      <w:bookmarkStart w:id="459" w:name="_Toc10124569"/>
      <w:bookmarkStart w:id="460" w:name="_Toc10193854"/>
      <w:bookmarkStart w:id="461" w:name="_Toc10203641"/>
      <w:bookmarkStart w:id="462" w:name="_Toc10203797"/>
      <w:bookmarkStart w:id="463" w:name="_Toc10534951"/>
      <w:bookmarkStart w:id="464" w:name="_Toc10535824"/>
      <w:bookmarkStart w:id="465" w:name="_Toc10642235"/>
      <w:bookmarkStart w:id="466" w:name="_Toc11835722"/>
      <w:bookmarkStart w:id="467" w:name="_Toc12273799"/>
      <w:bookmarkStart w:id="468" w:name="_Toc12277627"/>
      <w:r>
        <w:t>Subdivision 2 — Consumption charges that apply to land</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yFootnoteheading"/>
        <w:spacing w:after="120"/>
      </w:pPr>
      <w:bookmarkStart w:id="469" w:name="_Toc10193855"/>
      <w:bookmarkStart w:id="470" w:name="_Toc10642236"/>
      <w:r>
        <w:tab/>
        <w:t>[Heading inserted: Gazette 14 Jun 2019 p. 1943.]</w:t>
      </w:r>
    </w:p>
    <w:p>
      <w:pPr>
        <w:pStyle w:val="yHeading5"/>
      </w:pPr>
      <w:bookmarkStart w:id="471" w:name="_Toc12277628"/>
      <w:r>
        <w:rPr>
          <w:rStyle w:val="CharSClsNo"/>
        </w:rPr>
        <w:t>25</w:t>
      </w:r>
      <w:r>
        <w:t>.</w:t>
      </w:r>
      <w:r>
        <w:tab/>
        <w:t>Metropolitan residential and semi</w:t>
      </w:r>
      <w:r>
        <w:noBreakHyphen/>
        <w:t>rural residential</w:t>
      </w:r>
      <w:bookmarkEnd w:id="469"/>
      <w:bookmarkEnd w:id="470"/>
      <w:bookmarkEnd w:id="471"/>
    </w:p>
    <w:p>
      <w:pPr>
        <w:pStyle w:val="yMiscellaneousBody"/>
        <w:tabs>
          <w:tab w:val="left" w:pos="284"/>
        </w:tabs>
        <w:ind w:left="851" w:hanging="851"/>
      </w:pPr>
      <w:r>
        <w:tab/>
        <w:t>(1)</w:t>
      </w:r>
      <w:r>
        <w:tab/>
        <w:t xml:space="preserve">For each kilolitre of water supplied to land in </w:t>
      </w:r>
      <w:r>
        <w:br/>
        <w:t xml:space="preserve">the metropolitan area that is — </w:t>
      </w:r>
    </w:p>
    <w:p>
      <w:pPr>
        <w:pStyle w:val="yMiscellaneousBody"/>
        <w:tabs>
          <w:tab w:val="left" w:pos="992"/>
        </w:tabs>
        <w:ind w:left="1559" w:hanging="1559"/>
      </w:pPr>
      <w:r>
        <w:tab/>
        <w:t>(a)</w:t>
      </w:r>
      <w:r>
        <w:tab/>
        <w:t>a residential property; or</w:t>
      </w:r>
    </w:p>
    <w:p>
      <w:pPr>
        <w:pStyle w:val="yMiscellaneousBody"/>
        <w:tabs>
          <w:tab w:val="left" w:pos="992"/>
        </w:tabs>
        <w:ind w:left="1559" w:hanging="1559"/>
      </w:pPr>
      <w:r>
        <w:tab/>
        <w:t>(b)</w:t>
      </w:r>
      <w:r>
        <w:tab/>
        <w:t xml:space="preserve">classified as vacant land but held for </w:t>
      </w:r>
      <w:r>
        <w:br/>
        <w:t>residential purposes; or</w:t>
      </w:r>
    </w:p>
    <w:p>
      <w:pPr>
        <w:pStyle w:val="yMiscellaneousBody"/>
        <w:keepNext/>
        <w:tabs>
          <w:tab w:val="left" w:pos="992"/>
        </w:tabs>
        <w:ind w:left="1559" w:hanging="1559"/>
      </w:pPr>
      <w:r>
        <w:tab/>
        <w:t>(c)</w:t>
      </w:r>
      <w:r>
        <w:tab/>
        <w:t>a semi</w:t>
      </w:r>
      <w:r>
        <w:noBreakHyphen/>
        <w:t>rural residential property,</w:t>
      </w:r>
    </w:p>
    <w:p>
      <w:pPr>
        <w:pStyle w:val="yMiscellaneousBody"/>
        <w:keepNext/>
        <w:ind w:left="851" w:hanging="284"/>
      </w:pPr>
      <w:r>
        <w:tab/>
        <w:t xml:space="preserve">the charge is — </w:t>
      </w:r>
    </w:p>
    <w:p>
      <w:pPr>
        <w:pStyle w:val="yMiscellaneousBody"/>
        <w:tabs>
          <w:tab w:val="left" w:pos="1134"/>
          <w:tab w:val="right" w:leader="dot" w:pos="6804"/>
        </w:tabs>
      </w:pPr>
      <w:r>
        <w:tab/>
        <w:t xml:space="preserve">up to 150 kL </w:t>
      </w:r>
      <w:r>
        <w:tab/>
        <w:t>182.7 cents</w:t>
      </w:r>
    </w:p>
    <w:p>
      <w:pPr>
        <w:pStyle w:val="yMiscellaneousBody"/>
        <w:tabs>
          <w:tab w:val="left" w:pos="1134"/>
          <w:tab w:val="right" w:leader="dot" w:pos="6804"/>
        </w:tabs>
      </w:pPr>
      <w:r>
        <w:tab/>
        <w:t xml:space="preserve">over 150 but not over 500 kL </w:t>
      </w:r>
      <w:r>
        <w:tab/>
        <w:t>243.4 cents</w:t>
      </w:r>
    </w:p>
    <w:p>
      <w:pPr>
        <w:pStyle w:val="yMiscellaneousBody"/>
        <w:tabs>
          <w:tab w:val="left" w:pos="1134"/>
          <w:tab w:val="right" w:leader="dot" w:pos="6804"/>
        </w:tabs>
      </w:pPr>
      <w:r>
        <w:tab/>
        <w:t xml:space="preserve">over 500 kL </w:t>
      </w:r>
      <w:r>
        <w:tab/>
        <w:t>455.3 cents</w:t>
      </w:r>
    </w:p>
    <w:p>
      <w:pPr>
        <w:pStyle w:val="yMiscellaneousBody"/>
        <w:tabs>
          <w:tab w:val="left" w:pos="284"/>
        </w:tabs>
        <w:ind w:left="851" w:hanging="851"/>
      </w:pPr>
      <w:r>
        <w:tab/>
        <w:t>(2)</w:t>
      </w:r>
      <w:r>
        <w:tab/>
        <w:t>The charge under sub</w:t>
      </w:r>
      <w:r>
        <w:noBreakHyphen/>
        <w:t xml:space="preserve">item (1) does not apply </w:t>
      </w:r>
      <w:r>
        <w:br/>
        <w:t xml:space="preserve">to the supply of water for which a more specific </w:t>
      </w:r>
      <w:r>
        <w:br/>
        <w:t xml:space="preserve">charge is provided in this Subdivision or the </w:t>
      </w:r>
      <w:r>
        <w:br/>
        <w:t>supply of water through a garden service connection.</w:t>
      </w:r>
    </w:p>
    <w:p>
      <w:pPr>
        <w:pStyle w:val="yHeading5"/>
      </w:pPr>
      <w:bookmarkStart w:id="472" w:name="_Toc10193856"/>
      <w:bookmarkStart w:id="473" w:name="_Toc10642237"/>
      <w:bookmarkStart w:id="474" w:name="_Toc12277629"/>
      <w:r>
        <w:rPr>
          <w:rStyle w:val="CharSClsNo"/>
        </w:rPr>
        <w:t>26</w:t>
      </w:r>
      <w:r>
        <w:t>.</w:t>
      </w:r>
      <w:r>
        <w:tab/>
        <w:t>Metropolitan non</w:t>
      </w:r>
      <w:r>
        <w:noBreakHyphen/>
        <w:t>residential</w:t>
      </w:r>
      <w:bookmarkEnd w:id="472"/>
      <w:bookmarkEnd w:id="473"/>
      <w:bookmarkEnd w:id="474"/>
    </w:p>
    <w:p>
      <w:pPr>
        <w:pStyle w:val="yMiscellaneousBody"/>
        <w:tabs>
          <w:tab w:val="left" w:pos="284"/>
        </w:tabs>
        <w:ind w:left="851" w:hanging="851"/>
      </w:pPr>
      <w:r>
        <w:tab/>
        <w:t>(1)</w:t>
      </w:r>
      <w:r>
        <w:tab/>
        <w:t xml:space="preserve">For each kilolitre of water supplied to land in </w:t>
      </w:r>
      <w:r>
        <w:br/>
        <w:t xml:space="preserve">the metropolitan area that is neither classified </w:t>
      </w:r>
      <w:r>
        <w:br/>
        <w:t xml:space="preserve">as residential nor classified as vacant land but </w:t>
      </w:r>
      <w:r>
        <w:br/>
        <w:t>held for residential purposes, the charge is —</w:t>
      </w:r>
    </w:p>
    <w:p>
      <w:pPr>
        <w:pStyle w:val="yMiscellaneousBody"/>
        <w:tabs>
          <w:tab w:val="left" w:pos="992"/>
        </w:tabs>
        <w:ind w:left="1559" w:hanging="1559"/>
      </w:pPr>
      <w:r>
        <w:tab/>
        <w:t>(a)</w:t>
      </w:r>
      <w:r>
        <w:tab/>
        <w:t>if the land is classified as commercial residential —</w:t>
      </w:r>
    </w:p>
    <w:p>
      <w:pPr>
        <w:pStyle w:val="yMiscellaneousBody"/>
        <w:tabs>
          <w:tab w:val="right" w:leader="dot" w:pos="6804"/>
        </w:tabs>
        <w:ind w:left="1701" w:hanging="1701"/>
      </w:pPr>
      <w:r>
        <w:tab/>
        <w:t xml:space="preserve">up to 150 kL </w:t>
      </w:r>
      <w:r>
        <w:tab/>
        <w:t>182.7 cents</w:t>
      </w:r>
    </w:p>
    <w:p>
      <w:pPr>
        <w:pStyle w:val="yMiscellaneousBody"/>
        <w:tabs>
          <w:tab w:val="right" w:leader="dot" w:pos="6804"/>
        </w:tabs>
        <w:ind w:left="1701" w:hanging="1701"/>
      </w:pPr>
      <w:r>
        <w:tab/>
        <w:t xml:space="preserve">over 150 kL </w:t>
      </w:r>
      <w:r>
        <w:tab/>
        <w:t>251.8 cents</w:t>
      </w:r>
    </w:p>
    <w:p>
      <w:pPr>
        <w:pStyle w:val="yMiscellaneousBody"/>
        <w:tabs>
          <w:tab w:val="left" w:pos="992"/>
          <w:tab w:val="right" w:leader="dot" w:pos="6804"/>
        </w:tabs>
        <w:ind w:left="1559" w:hanging="1559"/>
      </w:pPr>
      <w:r>
        <w:tab/>
        <w:t>(b)</w:t>
      </w:r>
      <w:r>
        <w:tab/>
        <w:t xml:space="preserve">if paragraph (a) does not apply </w:t>
      </w:r>
      <w:r>
        <w:tab/>
        <w:t>251.8 cents</w:t>
      </w:r>
    </w:p>
    <w:p>
      <w:pPr>
        <w:pStyle w:val="yMiscellaneousBody"/>
        <w:tabs>
          <w:tab w:val="left" w:pos="28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475" w:name="_Toc10193857"/>
      <w:bookmarkStart w:id="476" w:name="_Toc10642238"/>
      <w:bookmarkStart w:id="477" w:name="_Toc12277630"/>
      <w:r>
        <w:rPr>
          <w:rStyle w:val="CharSClsNo"/>
        </w:rPr>
        <w:t>27</w:t>
      </w:r>
      <w:r>
        <w:t>.</w:t>
      </w:r>
      <w:r>
        <w:tab/>
        <w:t>Metropolitan non</w:t>
      </w:r>
      <w:r>
        <w:noBreakHyphen/>
        <w:t>residential concessional</w:t>
      </w:r>
      <w:bookmarkEnd w:id="475"/>
      <w:bookmarkEnd w:id="476"/>
      <w:bookmarkEnd w:id="477"/>
    </w:p>
    <w:p>
      <w:pPr>
        <w:pStyle w:val="yMiscellaneousBody"/>
        <w:tabs>
          <w:tab w:val="left" w:pos="284"/>
          <w:tab w:val="right" w:leader="dot" w:pos="6804"/>
        </w:tabs>
        <w:ind w:left="851" w:hanging="851"/>
      </w:pPr>
      <w:r>
        <w:tab/>
        <w:t>(1)</w:t>
      </w:r>
      <w:r>
        <w:tab/>
        <w:t xml:space="preserve">For each kilolitre of water supplied to </w:t>
      </w:r>
      <w:r>
        <w:br/>
        <w:t xml:space="preserve">concessional land that is in the metropolitan </w:t>
      </w:r>
      <w:r>
        <w:br/>
        <w:t xml:space="preserve">area and is not classified as residential, the </w:t>
      </w:r>
      <w:r>
        <w:br/>
        <w:t xml:space="preserve">charge is </w:t>
      </w:r>
      <w:r>
        <w:tab/>
        <w:t>251.8 cents</w:t>
      </w:r>
    </w:p>
    <w:p>
      <w:pPr>
        <w:pStyle w:val="yMiscellaneousBody"/>
        <w:tabs>
          <w:tab w:val="left" w:pos="284"/>
        </w:tabs>
        <w:ind w:left="851" w:hanging="851"/>
      </w:pPr>
      <w:r>
        <w:tab/>
        <w:t>(2)</w:t>
      </w:r>
      <w:r>
        <w:tab/>
        <w:t>Sub</w:t>
      </w:r>
      <w:r>
        <w:noBreakHyphen/>
        <w:t xml:space="preserve">item (1) does not apply if the supply of </w:t>
      </w:r>
      <w:r>
        <w:br/>
        <w:t>water is covered by item 38.</w:t>
      </w:r>
    </w:p>
    <w:p>
      <w:pPr>
        <w:pStyle w:val="yHeading5"/>
      </w:pPr>
      <w:bookmarkStart w:id="478" w:name="_Toc10193858"/>
      <w:bookmarkStart w:id="479" w:name="_Toc10642239"/>
      <w:bookmarkStart w:id="480" w:name="_Toc12277631"/>
      <w:r>
        <w:rPr>
          <w:rStyle w:val="CharSClsNo"/>
        </w:rPr>
        <w:t>28</w:t>
      </w:r>
      <w:r>
        <w:t>.</w:t>
      </w:r>
      <w:r>
        <w:tab/>
        <w:t>Community residential</w:t>
      </w:r>
      <w:bookmarkEnd w:id="478"/>
      <w:bookmarkEnd w:id="479"/>
      <w:bookmarkEnd w:id="480"/>
    </w:p>
    <w:p>
      <w:pPr>
        <w:pStyle w:val="yMiscellaneousBody"/>
        <w:tabs>
          <w:tab w:val="left" w:pos="284"/>
        </w:tabs>
        <w:ind w:left="851" w:hanging="851"/>
      </w:pPr>
      <w:r>
        <w:tab/>
        <w:t>(1)</w:t>
      </w:r>
      <w:r>
        <w:tab/>
        <w:t xml:space="preserve">This item has effect in relation to land as if the </w:t>
      </w:r>
      <w:r>
        <w:br/>
        <w:t xml:space="preserve">volumetric ranges were increased by the </w:t>
      </w:r>
      <w:r>
        <w:br/>
        <w:t xml:space="preserve">number of residential unit equivalents </w:t>
      </w:r>
      <w:r>
        <w:br/>
        <w:t xml:space="preserve">determined for the land for the purposes of </w:t>
      </w:r>
      <w:r>
        <w:br/>
        <w:t xml:space="preserve">item 8, that is, as if the boundary volumes for </w:t>
      </w:r>
      <w:r>
        <w:br/>
        <w:t xml:space="preserve">the volumetric ranges were multiplied by the </w:t>
      </w:r>
      <w:r>
        <w:br/>
        <w:t>number of residential unit equivalents.</w:t>
      </w:r>
    </w:p>
    <w:p>
      <w:pPr>
        <w:pStyle w:val="yMiscellaneousBody"/>
        <w:tabs>
          <w:tab w:val="left" w:pos="284"/>
        </w:tabs>
        <w:ind w:left="851" w:hanging="851"/>
      </w:pPr>
      <w:r>
        <w:tab/>
        <w:t>(2)</w:t>
      </w:r>
      <w:r>
        <w:tab/>
        <w:t xml:space="preserve">For each kilolitre of water supplied to land in </w:t>
      </w:r>
      <w:r>
        <w:br/>
        <w:t xml:space="preserve">the metropolitan area that is classified as </w:t>
      </w:r>
      <w:r>
        <w:br/>
        <w:t>community residential, the charge is —</w:t>
      </w:r>
    </w:p>
    <w:p>
      <w:pPr>
        <w:pStyle w:val="yMiscellaneousBody"/>
        <w:tabs>
          <w:tab w:val="left" w:pos="1134"/>
          <w:tab w:val="right" w:leader="dot" w:pos="6804"/>
        </w:tabs>
      </w:pPr>
      <w:r>
        <w:tab/>
        <w:t xml:space="preserve">up to 150 kL </w:t>
      </w:r>
      <w:r>
        <w:tab/>
        <w:t>91.4 cents</w:t>
      </w:r>
    </w:p>
    <w:p>
      <w:pPr>
        <w:pStyle w:val="yMiscellaneousBody"/>
        <w:tabs>
          <w:tab w:val="left" w:pos="1134"/>
          <w:tab w:val="right" w:leader="dot" w:pos="6804"/>
        </w:tabs>
      </w:pPr>
      <w:r>
        <w:tab/>
        <w:t xml:space="preserve">over 150 kL but not over 500 kL </w:t>
      </w:r>
      <w:r>
        <w:tab/>
        <w:t>243.4 cents</w:t>
      </w:r>
    </w:p>
    <w:p>
      <w:pPr>
        <w:pStyle w:val="yMiscellaneousBody"/>
        <w:tabs>
          <w:tab w:val="left" w:pos="1134"/>
          <w:tab w:val="right" w:leader="dot" w:pos="6804"/>
        </w:tabs>
      </w:pPr>
      <w:r>
        <w:tab/>
        <w:t xml:space="preserve">over 500 kL </w:t>
      </w:r>
      <w:r>
        <w:tab/>
        <w:t>455.3 cents</w:t>
      </w:r>
    </w:p>
    <w:p>
      <w:pPr>
        <w:pStyle w:val="yMiscellaneousBody"/>
        <w:tabs>
          <w:tab w:val="left" w:pos="284"/>
        </w:tabs>
        <w:spacing w:after="120"/>
        <w:ind w:left="851" w:hanging="851"/>
      </w:pPr>
      <w:r>
        <w:tab/>
        <w:t>(3)</w:t>
      </w:r>
      <w:r>
        <w:tab/>
        <w:t xml:space="preserve">For each kilolitre of water supplied to land in </w:t>
      </w:r>
      <w:r>
        <w:br/>
        <w:t>the non</w:t>
      </w:r>
      <w:r>
        <w:noBreakHyphen/>
        <w:t xml:space="preserve">metropolitan area that is classified as </w:t>
      </w:r>
      <w:r>
        <w:br/>
        <w:t xml:space="preserve">community residential, the charge, according to </w:t>
      </w:r>
      <w:r>
        <w:br/>
        <w:t xml:space="preserve">the residential class of the town or area in </w:t>
      </w:r>
      <w:r>
        <w:br/>
        <w:t>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903" w:type="dxa"/>
            <w:tcBorders>
              <w:top w:val="single" w:sz="4" w:space="0" w:color="auto"/>
              <w:bottom w:val="single" w:sz="4" w:space="0" w:color="auto"/>
            </w:tcBorders>
          </w:tcPr>
          <w:p>
            <w:pPr>
              <w:pStyle w:val="yTableNAm"/>
              <w:jc w:val="center"/>
              <w:rPr>
                <w:b/>
              </w:rPr>
            </w:pPr>
            <w:r>
              <w:rPr>
                <w:b/>
              </w:rPr>
              <w:t>Class 1 (cents)</w:t>
            </w:r>
          </w:p>
        </w:tc>
        <w:tc>
          <w:tcPr>
            <w:tcW w:w="992" w:type="dxa"/>
            <w:tcBorders>
              <w:top w:val="single" w:sz="4" w:space="0" w:color="auto"/>
              <w:bottom w:val="single" w:sz="4" w:space="0" w:color="auto"/>
            </w:tcBorders>
          </w:tcPr>
          <w:p>
            <w:pPr>
              <w:pStyle w:val="yTableNAm"/>
              <w:jc w:val="center"/>
              <w:rPr>
                <w:b/>
              </w:rPr>
            </w:pPr>
            <w:r>
              <w:rPr>
                <w:b/>
              </w:rPr>
              <w:t>Class 2 (cents)</w:t>
            </w:r>
          </w:p>
        </w:tc>
        <w:tc>
          <w:tcPr>
            <w:tcW w:w="993" w:type="dxa"/>
            <w:tcBorders>
              <w:top w:val="single" w:sz="4" w:space="0" w:color="auto"/>
              <w:bottom w:val="single" w:sz="4" w:space="0" w:color="auto"/>
            </w:tcBorders>
          </w:tcPr>
          <w:p>
            <w:pPr>
              <w:pStyle w:val="yTableNAm"/>
              <w:jc w:val="center"/>
              <w:rPr>
                <w:b/>
              </w:rPr>
            </w:pPr>
            <w:r>
              <w:rPr>
                <w:b/>
              </w:rPr>
              <w:t>Class 3 (cents)</w:t>
            </w:r>
          </w:p>
        </w:tc>
        <w:tc>
          <w:tcPr>
            <w:tcW w:w="992" w:type="dxa"/>
            <w:tcBorders>
              <w:top w:val="single" w:sz="4" w:space="0" w:color="auto"/>
              <w:bottom w:val="single" w:sz="4" w:space="0" w:color="auto"/>
            </w:tcBorders>
          </w:tcPr>
          <w:p>
            <w:pPr>
              <w:pStyle w:val="yTableNAm"/>
              <w:jc w:val="center"/>
              <w:rPr>
                <w:b/>
              </w:rPr>
            </w:pPr>
            <w:r>
              <w:rPr>
                <w:b/>
              </w:rPr>
              <w:t>Class 4 (cents)</w:t>
            </w:r>
          </w:p>
        </w:tc>
        <w:tc>
          <w:tcPr>
            <w:tcW w:w="851" w:type="dxa"/>
            <w:tcBorders>
              <w:top w:val="single" w:sz="4" w:space="0" w:color="auto"/>
              <w:bottom w:val="single" w:sz="4" w:space="0" w:color="auto"/>
            </w:tcBorders>
          </w:tcPr>
          <w:p>
            <w:pPr>
              <w:pStyle w:val="yTableNAm"/>
              <w:jc w:val="center"/>
              <w:rPr>
                <w:b/>
              </w:rPr>
            </w:pPr>
            <w:r>
              <w:rPr>
                <w:b/>
              </w:rPr>
              <w:t>Class 5 (cents)</w:t>
            </w:r>
          </w:p>
        </w:tc>
      </w:tr>
      <w:tr>
        <w:trPr>
          <w:cantSplit/>
        </w:trPr>
        <w:tc>
          <w:tcPr>
            <w:tcW w:w="1417" w:type="dxa"/>
          </w:tcPr>
          <w:p>
            <w:pPr>
              <w:pStyle w:val="yTableNAm"/>
            </w:pPr>
            <w:r>
              <w:t>Up to 150</w:t>
            </w:r>
          </w:p>
        </w:tc>
        <w:tc>
          <w:tcPr>
            <w:tcW w:w="903" w:type="dxa"/>
            <w:vAlign w:val="bottom"/>
          </w:tcPr>
          <w:p>
            <w:pPr>
              <w:pStyle w:val="yTableNAm"/>
              <w:jc w:val="center"/>
            </w:pPr>
            <w:r>
              <w:t>69.8</w:t>
            </w:r>
          </w:p>
        </w:tc>
        <w:tc>
          <w:tcPr>
            <w:tcW w:w="992" w:type="dxa"/>
            <w:vAlign w:val="bottom"/>
          </w:tcPr>
          <w:p>
            <w:pPr>
              <w:pStyle w:val="yTableNAm"/>
              <w:jc w:val="center"/>
            </w:pPr>
            <w:r>
              <w:t>91.4</w:t>
            </w:r>
          </w:p>
        </w:tc>
        <w:tc>
          <w:tcPr>
            <w:tcW w:w="993" w:type="dxa"/>
            <w:vAlign w:val="bottom"/>
          </w:tcPr>
          <w:p>
            <w:pPr>
              <w:pStyle w:val="yTableNAm"/>
              <w:jc w:val="center"/>
            </w:pPr>
            <w:r>
              <w:t>91.4</w:t>
            </w:r>
          </w:p>
        </w:tc>
        <w:tc>
          <w:tcPr>
            <w:tcW w:w="992" w:type="dxa"/>
            <w:vAlign w:val="bottom"/>
          </w:tcPr>
          <w:p>
            <w:pPr>
              <w:pStyle w:val="yTableNAm"/>
              <w:jc w:val="center"/>
            </w:pPr>
            <w:r>
              <w:t>91.4</w:t>
            </w:r>
          </w:p>
        </w:tc>
        <w:tc>
          <w:tcPr>
            <w:tcW w:w="851" w:type="dxa"/>
            <w:vAlign w:val="bottom"/>
          </w:tcPr>
          <w:p>
            <w:pPr>
              <w:pStyle w:val="yTableNAm"/>
              <w:jc w:val="center"/>
            </w:pPr>
            <w:r>
              <w:t>91.4</w:t>
            </w:r>
          </w:p>
        </w:tc>
      </w:tr>
      <w:tr>
        <w:trPr>
          <w:cantSplit/>
        </w:trPr>
        <w:tc>
          <w:tcPr>
            <w:tcW w:w="1417" w:type="dxa"/>
          </w:tcPr>
          <w:p>
            <w:pPr>
              <w:pStyle w:val="yTableNAm"/>
            </w:pPr>
            <w:r>
              <w:t>Over 150 but not over 300</w:t>
            </w:r>
          </w:p>
        </w:tc>
        <w:tc>
          <w:tcPr>
            <w:tcW w:w="903" w:type="dxa"/>
            <w:vAlign w:val="bottom"/>
          </w:tcPr>
          <w:p>
            <w:pPr>
              <w:pStyle w:val="yTableNAm"/>
              <w:jc w:val="center"/>
            </w:pPr>
            <w:r>
              <w:t>92.9</w:t>
            </w:r>
          </w:p>
        </w:tc>
        <w:tc>
          <w:tcPr>
            <w:tcW w:w="992" w:type="dxa"/>
            <w:vAlign w:val="bottom"/>
          </w:tcPr>
          <w:p>
            <w:pPr>
              <w:pStyle w:val="yTableNAm"/>
              <w:jc w:val="center"/>
            </w:pPr>
            <w:r>
              <w:t>121.7</w:t>
            </w:r>
          </w:p>
        </w:tc>
        <w:tc>
          <w:tcPr>
            <w:tcW w:w="993" w:type="dxa"/>
            <w:vAlign w:val="bottom"/>
          </w:tcPr>
          <w:p>
            <w:pPr>
              <w:pStyle w:val="yTableNAm"/>
              <w:jc w:val="center"/>
            </w:pPr>
            <w:r>
              <w:t>121.7</w:t>
            </w:r>
          </w:p>
        </w:tc>
        <w:tc>
          <w:tcPr>
            <w:tcW w:w="992" w:type="dxa"/>
            <w:vAlign w:val="bottom"/>
          </w:tcPr>
          <w:p>
            <w:pPr>
              <w:pStyle w:val="yTableNAm"/>
              <w:jc w:val="center"/>
            </w:pPr>
            <w:r>
              <w:t>121.7</w:t>
            </w:r>
          </w:p>
        </w:tc>
        <w:tc>
          <w:tcPr>
            <w:tcW w:w="851" w:type="dxa"/>
            <w:vAlign w:val="bottom"/>
          </w:tcPr>
          <w:p>
            <w:pPr>
              <w:pStyle w:val="yTableNAm"/>
              <w:jc w:val="center"/>
            </w:pPr>
            <w:r>
              <w:t>121.7</w:t>
            </w:r>
          </w:p>
        </w:tc>
      </w:tr>
      <w:tr>
        <w:trPr>
          <w:cantSplit/>
        </w:trPr>
        <w:tc>
          <w:tcPr>
            <w:tcW w:w="1417" w:type="dxa"/>
          </w:tcPr>
          <w:p>
            <w:pPr>
              <w:pStyle w:val="yTableNAm"/>
            </w:pPr>
            <w:r>
              <w:t>Over 300 but not over 400</w:t>
            </w:r>
          </w:p>
        </w:tc>
        <w:tc>
          <w:tcPr>
            <w:tcW w:w="903" w:type="dxa"/>
            <w:vAlign w:val="bottom"/>
          </w:tcPr>
          <w:p>
            <w:pPr>
              <w:pStyle w:val="yTableNAm"/>
              <w:jc w:val="center"/>
            </w:pPr>
            <w:r>
              <w:t>106.6</w:t>
            </w:r>
          </w:p>
        </w:tc>
        <w:tc>
          <w:tcPr>
            <w:tcW w:w="992" w:type="dxa"/>
            <w:vAlign w:val="bottom"/>
          </w:tcPr>
          <w:p>
            <w:pPr>
              <w:pStyle w:val="yTableNAm"/>
              <w:jc w:val="center"/>
            </w:pPr>
            <w:r>
              <w:t>146.6</w:t>
            </w:r>
          </w:p>
        </w:tc>
        <w:tc>
          <w:tcPr>
            <w:tcW w:w="993" w:type="dxa"/>
            <w:vAlign w:val="bottom"/>
          </w:tcPr>
          <w:p>
            <w:pPr>
              <w:pStyle w:val="yTableNAm"/>
              <w:jc w:val="center"/>
            </w:pPr>
            <w:r>
              <w:t>195.3</w:t>
            </w:r>
          </w:p>
        </w:tc>
        <w:tc>
          <w:tcPr>
            <w:tcW w:w="992" w:type="dxa"/>
            <w:vAlign w:val="bottom"/>
          </w:tcPr>
          <w:p>
            <w:pPr>
              <w:pStyle w:val="yTableNAm"/>
              <w:jc w:val="center"/>
            </w:pPr>
            <w:r>
              <w:t>229.6</w:t>
            </w:r>
          </w:p>
        </w:tc>
        <w:tc>
          <w:tcPr>
            <w:tcW w:w="851" w:type="dxa"/>
            <w:vAlign w:val="bottom"/>
          </w:tcPr>
          <w:p>
            <w:pPr>
              <w:pStyle w:val="yTableNAm"/>
              <w:jc w:val="center"/>
            </w:pPr>
            <w:r>
              <w:t>270.1</w:t>
            </w:r>
          </w:p>
        </w:tc>
      </w:tr>
      <w:tr>
        <w:trPr>
          <w:cantSplit/>
        </w:trPr>
        <w:tc>
          <w:tcPr>
            <w:tcW w:w="1417" w:type="dxa"/>
          </w:tcPr>
          <w:p>
            <w:pPr>
              <w:pStyle w:val="yTableNAm"/>
            </w:pPr>
            <w:r>
              <w:t>Over 400 but not over 550</w:t>
            </w:r>
          </w:p>
        </w:tc>
        <w:tc>
          <w:tcPr>
            <w:tcW w:w="903" w:type="dxa"/>
            <w:vAlign w:val="bottom"/>
          </w:tcPr>
          <w:p>
            <w:pPr>
              <w:pStyle w:val="yTableNAm"/>
              <w:jc w:val="center"/>
            </w:pPr>
            <w:r>
              <w:t>213.1</w:t>
            </w:r>
          </w:p>
        </w:tc>
        <w:tc>
          <w:tcPr>
            <w:tcW w:w="992" w:type="dxa"/>
            <w:vAlign w:val="bottom"/>
          </w:tcPr>
          <w:p>
            <w:pPr>
              <w:pStyle w:val="yTableNAm"/>
              <w:jc w:val="center"/>
            </w:pPr>
            <w:r>
              <w:t>293.2</w:t>
            </w:r>
          </w:p>
        </w:tc>
        <w:tc>
          <w:tcPr>
            <w:tcW w:w="993" w:type="dxa"/>
            <w:vAlign w:val="bottom"/>
          </w:tcPr>
          <w:p>
            <w:pPr>
              <w:pStyle w:val="yTableNAm"/>
              <w:jc w:val="center"/>
            </w:pPr>
            <w:r>
              <w:t>390.6</w:t>
            </w:r>
          </w:p>
        </w:tc>
        <w:tc>
          <w:tcPr>
            <w:tcW w:w="992" w:type="dxa"/>
            <w:vAlign w:val="bottom"/>
          </w:tcPr>
          <w:p>
            <w:pPr>
              <w:pStyle w:val="yTableNAm"/>
              <w:jc w:val="center"/>
            </w:pPr>
            <w:r>
              <w:t>459.2</w:t>
            </w:r>
          </w:p>
        </w:tc>
        <w:tc>
          <w:tcPr>
            <w:tcW w:w="851" w:type="dxa"/>
            <w:vAlign w:val="bottom"/>
          </w:tcPr>
          <w:p>
            <w:pPr>
              <w:pStyle w:val="yTableNAm"/>
              <w:jc w:val="center"/>
            </w:pPr>
            <w:r>
              <w:t>540.2</w:t>
            </w:r>
          </w:p>
        </w:tc>
      </w:tr>
      <w:tr>
        <w:trPr>
          <w:cantSplit/>
        </w:trPr>
        <w:tc>
          <w:tcPr>
            <w:tcW w:w="1417" w:type="dxa"/>
            <w:tcBorders>
              <w:bottom w:val="single" w:sz="4" w:space="0" w:color="auto"/>
            </w:tcBorders>
          </w:tcPr>
          <w:p>
            <w:pPr>
              <w:pStyle w:val="yTableNAm"/>
            </w:pPr>
            <w:r>
              <w:t>Over 550</w:t>
            </w:r>
          </w:p>
        </w:tc>
        <w:tc>
          <w:tcPr>
            <w:tcW w:w="903" w:type="dxa"/>
            <w:tcBorders>
              <w:bottom w:val="single" w:sz="4" w:space="0" w:color="auto"/>
            </w:tcBorders>
            <w:vAlign w:val="bottom"/>
          </w:tcPr>
          <w:p>
            <w:pPr>
              <w:pStyle w:val="yTableNAm"/>
              <w:jc w:val="center"/>
            </w:pPr>
            <w:r>
              <w:t>248.8</w:t>
            </w:r>
          </w:p>
        </w:tc>
        <w:tc>
          <w:tcPr>
            <w:tcW w:w="992" w:type="dxa"/>
            <w:tcBorders>
              <w:bottom w:val="single" w:sz="4" w:space="0" w:color="auto"/>
            </w:tcBorders>
            <w:vAlign w:val="bottom"/>
          </w:tcPr>
          <w:p>
            <w:pPr>
              <w:pStyle w:val="yTableNAm"/>
              <w:jc w:val="center"/>
            </w:pPr>
            <w:r>
              <w:t>374.0</w:t>
            </w:r>
          </w:p>
        </w:tc>
        <w:tc>
          <w:tcPr>
            <w:tcW w:w="993" w:type="dxa"/>
            <w:tcBorders>
              <w:bottom w:val="single" w:sz="4" w:space="0" w:color="auto"/>
            </w:tcBorders>
            <w:vAlign w:val="bottom"/>
          </w:tcPr>
          <w:p>
            <w:pPr>
              <w:pStyle w:val="yTableNAm"/>
              <w:jc w:val="center"/>
            </w:pPr>
            <w:r>
              <w:t>497.9</w:t>
            </w:r>
          </w:p>
        </w:tc>
        <w:tc>
          <w:tcPr>
            <w:tcW w:w="992" w:type="dxa"/>
            <w:tcBorders>
              <w:bottom w:val="single" w:sz="4" w:space="0" w:color="auto"/>
            </w:tcBorders>
            <w:vAlign w:val="bottom"/>
          </w:tcPr>
          <w:p>
            <w:pPr>
              <w:pStyle w:val="yTableNAm"/>
              <w:jc w:val="center"/>
            </w:pPr>
            <w:r>
              <w:t>688.7</w:t>
            </w:r>
          </w:p>
        </w:tc>
        <w:tc>
          <w:tcPr>
            <w:tcW w:w="851" w:type="dxa"/>
            <w:tcBorders>
              <w:bottom w:val="single" w:sz="4" w:space="0" w:color="auto"/>
            </w:tcBorders>
            <w:vAlign w:val="bottom"/>
          </w:tcPr>
          <w:p>
            <w:pPr>
              <w:pStyle w:val="yTableNAm"/>
              <w:jc w:val="center"/>
            </w:pPr>
            <w:r>
              <w:t>928.9</w:t>
            </w:r>
          </w:p>
        </w:tc>
      </w:tr>
    </w:tbl>
    <w:p>
      <w:pPr>
        <w:pStyle w:val="yMiscellaneousBody"/>
        <w:keepNext/>
        <w:tabs>
          <w:tab w:val="left" w:pos="284"/>
        </w:tabs>
        <w:ind w:left="851" w:hanging="851"/>
      </w:pPr>
      <w:r>
        <w:tab/>
        <w:t>(4)</w:t>
      </w:r>
      <w:r>
        <w:tab/>
        <w:t>Sub</w:t>
      </w:r>
      <w:r>
        <w:noBreakHyphen/>
        <w:t xml:space="preserve">item (3) applies unless the land is </w:t>
      </w:r>
      <w:r>
        <w:br/>
        <w:t>located —</w:t>
      </w:r>
    </w:p>
    <w:p>
      <w:pPr>
        <w:pStyle w:val="yMiscellaneousBody"/>
        <w:tabs>
          <w:tab w:val="left" w:pos="992"/>
        </w:tabs>
        <w:ind w:left="1559" w:hanging="1559"/>
      </w:pPr>
      <w:r>
        <w:tab/>
        <w:t>(a)</w:t>
      </w:r>
      <w:r>
        <w:tab/>
        <w:t xml:space="preserve">in the town of Cue, Laverton, Leonora, </w:t>
      </w:r>
      <w:r>
        <w:br/>
        <w:t xml:space="preserve">Meekatharra, Menzies, Mount Magnet, </w:t>
      </w:r>
      <w:r>
        <w:br/>
        <w:t xml:space="preserve">Mullewa, Sandstone, Wiluna or </w:t>
      </w:r>
      <w:r>
        <w:br/>
        <w:t>Yalgoo; or</w:t>
      </w:r>
    </w:p>
    <w:p>
      <w:pPr>
        <w:pStyle w:val="yMiscellaneousBody"/>
        <w:tabs>
          <w:tab w:val="left" w:pos="992"/>
        </w:tabs>
        <w:ind w:left="1559" w:hanging="1559"/>
      </w:pPr>
      <w:r>
        <w:tab/>
        <w:t>(b)</w:t>
      </w:r>
      <w:r>
        <w:tab/>
        <w:t>north of 26°S Latitude,</w:t>
      </w:r>
    </w:p>
    <w:p>
      <w:pPr>
        <w:pStyle w:val="yMiscellaneousBody"/>
        <w:spacing w:after="120"/>
        <w:ind w:left="851" w:hanging="284"/>
      </w:pP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97"/>
        <w:gridCol w:w="986"/>
        <w:gridCol w:w="987"/>
        <w:gridCol w:w="987"/>
        <w:gridCol w:w="989"/>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897" w:type="dxa"/>
            <w:tcBorders>
              <w:top w:val="single" w:sz="4" w:space="0" w:color="auto"/>
              <w:bottom w:val="single" w:sz="4" w:space="0" w:color="auto"/>
            </w:tcBorders>
          </w:tcPr>
          <w:p>
            <w:pPr>
              <w:pStyle w:val="yTableNAm"/>
              <w:jc w:val="center"/>
              <w:rPr>
                <w:b/>
              </w:rPr>
            </w:pPr>
            <w:r>
              <w:rPr>
                <w:b/>
              </w:rPr>
              <w:t>Class 1 (cents)</w:t>
            </w:r>
          </w:p>
        </w:tc>
        <w:tc>
          <w:tcPr>
            <w:tcW w:w="986" w:type="dxa"/>
            <w:tcBorders>
              <w:top w:val="single" w:sz="4" w:space="0" w:color="auto"/>
              <w:bottom w:val="single" w:sz="4" w:space="0" w:color="auto"/>
            </w:tcBorders>
          </w:tcPr>
          <w:p>
            <w:pPr>
              <w:pStyle w:val="yTableNAm"/>
              <w:jc w:val="center"/>
              <w:rPr>
                <w:b/>
              </w:rPr>
            </w:pPr>
            <w:r>
              <w:rPr>
                <w:b/>
              </w:rPr>
              <w:t>Class 2 (cents)</w:t>
            </w:r>
          </w:p>
        </w:tc>
        <w:tc>
          <w:tcPr>
            <w:tcW w:w="987" w:type="dxa"/>
            <w:tcBorders>
              <w:top w:val="single" w:sz="4" w:space="0" w:color="auto"/>
              <w:bottom w:val="single" w:sz="4" w:space="0" w:color="auto"/>
            </w:tcBorders>
          </w:tcPr>
          <w:p>
            <w:pPr>
              <w:pStyle w:val="yTableNAm"/>
              <w:jc w:val="center"/>
              <w:rPr>
                <w:b/>
              </w:rPr>
            </w:pPr>
            <w:r>
              <w:rPr>
                <w:b/>
              </w:rPr>
              <w:t>Class 3 (cents)</w:t>
            </w:r>
          </w:p>
        </w:tc>
        <w:tc>
          <w:tcPr>
            <w:tcW w:w="987" w:type="dxa"/>
            <w:tcBorders>
              <w:top w:val="single" w:sz="4" w:space="0" w:color="auto"/>
              <w:bottom w:val="single" w:sz="4" w:space="0" w:color="auto"/>
            </w:tcBorders>
          </w:tcPr>
          <w:p>
            <w:pPr>
              <w:pStyle w:val="yTableNAm"/>
              <w:jc w:val="center"/>
              <w:rPr>
                <w:b/>
              </w:rPr>
            </w:pPr>
            <w:r>
              <w:rPr>
                <w:b/>
              </w:rPr>
              <w:t>Class 4 (cents)</w:t>
            </w:r>
          </w:p>
        </w:tc>
        <w:tc>
          <w:tcPr>
            <w:tcW w:w="989" w:type="dxa"/>
            <w:tcBorders>
              <w:top w:val="single" w:sz="4" w:space="0" w:color="auto"/>
              <w:bottom w:val="single" w:sz="4" w:space="0" w:color="auto"/>
            </w:tcBorders>
          </w:tcPr>
          <w:p>
            <w:pPr>
              <w:pStyle w:val="yTableNAm"/>
              <w:jc w:val="center"/>
              <w:rPr>
                <w:b/>
              </w:rPr>
            </w:pPr>
            <w:r>
              <w:rPr>
                <w:b/>
              </w:rPr>
              <w:t>Class 5 (cents)</w:t>
            </w:r>
          </w:p>
        </w:tc>
      </w:tr>
      <w:tr>
        <w:trPr>
          <w:cantSplit/>
        </w:trPr>
        <w:tc>
          <w:tcPr>
            <w:tcW w:w="1417" w:type="dxa"/>
          </w:tcPr>
          <w:p>
            <w:pPr>
              <w:pStyle w:val="yTableNAm"/>
            </w:pPr>
            <w:r>
              <w:t>Up to 350</w:t>
            </w:r>
          </w:p>
        </w:tc>
        <w:tc>
          <w:tcPr>
            <w:tcW w:w="897" w:type="dxa"/>
            <w:vAlign w:val="bottom"/>
          </w:tcPr>
          <w:p>
            <w:pPr>
              <w:pStyle w:val="yTableNAm"/>
              <w:jc w:val="center"/>
            </w:pPr>
            <w:r>
              <w:rPr>
                <w:szCs w:val="22"/>
              </w:rPr>
              <w:t>69.8</w:t>
            </w:r>
          </w:p>
        </w:tc>
        <w:tc>
          <w:tcPr>
            <w:tcW w:w="986" w:type="dxa"/>
            <w:vAlign w:val="bottom"/>
          </w:tcPr>
          <w:p>
            <w:pPr>
              <w:pStyle w:val="yTableNAm"/>
              <w:jc w:val="center"/>
            </w:pPr>
            <w:r>
              <w:rPr>
                <w:szCs w:val="22"/>
              </w:rPr>
              <w:t>91.4</w:t>
            </w:r>
          </w:p>
        </w:tc>
        <w:tc>
          <w:tcPr>
            <w:tcW w:w="987" w:type="dxa"/>
            <w:vAlign w:val="bottom"/>
          </w:tcPr>
          <w:p>
            <w:pPr>
              <w:pStyle w:val="yTableNAm"/>
              <w:jc w:val="center"/>
            </w:pPr>
            <w:r>
              <w:rPr>
                <w:szCs w:val="22"/>
              </w:rPr>
              <w:t>91.4</w:t>
            </w:r>
          </w:p>
        </w:tc>
        <w:tc>
          <w:tcPr>
            <w:tcW w:w="987" w:type="dxa"/>
            <w:vAlign w:val="bottom"/>
          </w:tcPr>
          <w:p>
            <w:pPr>
              <w:pStyle w:val="yTableNAm"/>
              <w:jc w:val="center"/>
            </w:pPr>
            <w:r>
              <w:rPr>
                <w:szCs w:val="22"/>
              </w:rPr>
              <w:t>91.4</w:t>
            </w:r>
          </w:p>
        </w:tc>
        <w:tc>
          <w:tcPr>
            <w:tcW w:w="989" w:type="dxa"/>
            <w:vAlign w:val="bottom"/>
          </w:tcPr>
          <w:p>
            <w:pPr>
              <w:pStyle w:val="yTableNAm"/>
              <w:jc w:val="center"/>
            </w:pPr>
            <w:r>
              <w:rPr>
                <w:szCs w:val="22"/>
              </w:rPr>
              <w:t>91.4</w:t>
            </w:r>
          </w:p>
        </w:tc>
      </w:tr>
      <w:tr>
        <w:trPr>
          <w:cantSplit/>
        </w:trPr>
        <w:tc>
          <w:tcPr>
            <w:tcW w:w="1417" w:type="dxa"/>
          </w:tcPr>
          <w:p>
            <w:pPr>
              <w:pStyle w:val="yTableNAm"/>
            </w:pPr>
            <w:r>
              <w:t>Over 350 but not over 500</w:t>
            </w:r>
          </w:p>
        </w:tc>
        <w:tc>
          <w:tcPr>
            <w:tcW w:w="897" w:type="dxa"/>
            <w:vAlign w:val="bottom"/>
          </w:tcPr>
          <w:p>
            <w:pPr>
              <w:pStyle w:val="yTableNAm"/>
              <w:jc w:val="center"/>
            </w:pPr>
            <w:r>
              <w:rPr>
                <w:szCs w:val="22"/>
              </w:rPr>
              <w:t>92.9</w:t>
            </w:r>
          </w:p>
        </w:tc>
        <w:tc>
          <w:tcPr>
            <w:tcW w:w="986" w:type="dxa"/>
            <w:vAlign w:val="bottom"/>
          </w:tcPr>
          <w:p>
            <w:pPr>
              <w:pStyle w:val="yTableNAm"/>
              <w:jc w:val="center"/>
            </w:pPr>
            <w:r>
              <w:rPr>
                <w:szCs w:val="22"/>
              </w:rPr>
              <w:t>121.7</w:t>
            </w:r>
          </w:p>
        </w:tc>
        <w:tc>
          <w:tcPr>
            <w:tcW w:w="987" w:type="dxa"/>
            <w:vAlign w:val="bottom"/>
          </w:tcPr>
          <w:p>
            <w:pPr>
              <w:pStyle w:val="yTableNAm"/>
              <w:jc w:val="center"/>
            </w:pPr>
            <w:r>
              <w:rPr>
                <w:szCs w:val="22"/>
              </w:rPr>
              <w:t>121.7</w:t>
            </w:r>
          </w:p>
        </w:tc>
        <w:tc>
          <w:tcPr>
            <w:tcW w:w="987" w:type="dxa"/>
            <w:vAlign w:val="bottom"/>
          </w:tcPr>
          <w:p>
            <w:pPr>
              <w:pStyle w:val="yTableNAm"/>
              <w:jc w:val="center"/>
            </w:pPr>
            <w:r>
              <w:rPr>
                <w:szCs w:val="22"/>
              </w:rPr>
              <w:t>121.7</w:t>
            </w:r>
          </w:p>
        </w:tc>
        <w:tc>
          <w:tcPr>
            <w:tcW w:w="989" w:type="dxa"/>
            <w:vAlign w:val="bottom"/>
          </w:tcPr>
          <w:p>
            <w:pPr>
              <w:pStyle w:val="yTableNAm"/>
              <w:jc w:val="center"/>
            </w:pPr>
            <w:r>
              <w:rPr>
                <w:szCs w:val="22"/>
              </w:rPr>
              <w:t>121.7</w:t>
            </w:r>
          </w:p>
        </w:tc>
      </w:tr>
      <w:tr>
        <w:trPr>
          <w:cantSplit/>
        </w:trPr>
        <w:tc>
          <w:tcPr>
            <w:tcW w:w="1417" w:type="dxa"/>
          </w:tcPr>
          <w:p>
            <w:pPr>
              <w:pStyle w:val="yTableNAm"/>
            </w:pPr>
            <w:r>
              <w:t>Over 500 but not over 600</w:t>
            </w:r>
          </w:p>
        </w:tc>
        <w:tc>
          <w:tcPr>
            <w:tcW w:w="897" w:type="dxa"/>
            <w:vAlign w:val="bottom"/>
          </w:tcPr>
          <w:p>
            <w:pPr>
              <w:pStyle w:val="yTableNAm"/>
              <w:jc w:val="center"/>
            </w:pPr>
            <w:r>
              <w:rPr>
                <w:szCs w:val="22"/>
              </w:rPr>
              <w:t>106.6</w:t>
            </w:r>
          </w:p>
        </w:tc>
        <w:tc>
          <w:tcPr>
            <w:tcW w:w="986" w:type="dxa"/>
            <w:vAlign w:val="bottom"/>
          </w:tcPr>
          <w:p>
            <w:pPr>
              <w:pStyle w:val="yTableNAm"/>
              <w:jc w:val="center"/>
            </w:pPr>
            <w:r>
              <w:rPr>
                <w:szCs w:val="22"/>
              </w:rPr>
              <w:t>146.6</w:t>
            </w:r>
          </w:p>
        </w:tc>
        <w:tc>
          <w:tcPr>
            <w:tcW w:w="987" w:type="dxa"/>
            <w:vAlign w:val="bottom"/>
          </w:tcPr>
          <w:p>
            <w:pPr>
              <w:pStyle w:val="yTableNAm"/>
              <w:jc w:val="center"/>
            </w:pPr>
            <w:r>
              <w:rPr>
                <w:szCs w:val="22"/>
              </w:rPr>
              <w:t>195.3</w:t>
            </w:r>
          </w:p>
        </w:tc>
        <w:tc>
          <w:tcPr>
            <w:tcW w:w="987" w:type="dxa"/>
            <w:vAlign w:val="bottom"/>
          </w:tcPr>
          <w:p>
            <w:pPr>
              <w:pStyle w:val="yTableNAm"/>
              <w:jc w:val="center"/>
            </w:pPr>
            <w:r>
              <w:rPr>
                <w:szCs w:val="22"/>
              </w:rPr>
              <w:t>229.6</w:t>
            </w:r>
          </w:p>
        </w:tc>
        <w:tc>
          <w:tcPr>
            <w:tcW w:w="989" w:type="dxa"/>
            <w:vAlign w:val="bottom"/>
          </w:tcPr>
          <w:p>
            <w:pPr>
              <w:pStyle w:val="yTableNAm"/>
              <w:jc w:val="center"/>
            </w:pPr>
            <w:r>
              <w:rPr>
                <w:szCs w:val="22"/>
              </w:rPr>
              <w:t>270.1</w:t>
            </w:r>
          </w:p>
        </w:tc>
      </w:tr>
      <w:tr>
        <w:trPr>
          <w:cantSplit/>
        </w:trPr>
        <w:tc>
          <w:tcPr>
            <w:tcW w:w="1417" w:type="dxa"/>
          </w:tcPr>
          <w:p>
            <w:pPr>
              <w:pStyle w:val="yTableNAm"/>
            </w:pPr>
            <w:r>
              <w:t>Over 600 but not over 750</w:t>
            </w:r>
          </w:p>
        </w:tc>
        <w:tc>
          <w:tcPr>
            <w:tcW w:w="897" w:type="dxa"/>
            <w:vAlign w:val="bottom"/>
          </w:tcPr>
          <w:p>
            <w:pPr>
              <w:pStyle w:val="yTableNAm"/>
              <w:jc w:val="center"/>
            </w:pPr>
            <w:r>
              <w:rPr>
                <w:szCs w:val="22"/>
              </w:rPr>
              <w:t>213.1</w:t>
            </w:r>
          </w:p>
        </w:tc>
        <w:tc>
          <w:tcPr>
            <w:tcW w:w="986" w:type="dxa"/>
            <w:vAlign w:val="bottom"/>
          </w:tcPr>
          <w:p>
            <w:pPr>
              <w:pStyle w:val="yTableNAm"/>
              <w:jc w:val="center"/>
            </w:pPr>
            <w:r>
              <w:rPr>
                <w:szCs w:val="22"/>
              </w:rPr>
              <w:t>293.2</w:t>
            </w:r>
          </w:p>
        </w:tc>
        <w:tc>
          <w:tcPr>
            <w:tcW w:w="987" w:type="dxa"/>
            <w:vAlign w:val="bottom"/>
          </w:tcPr>
          <w:p>
            <w:pPr>
              <w:pStyle w:val="yTableNAm"/>
              <w:jc w:val="center"/>
            </w:pPr>
            <w:r>
              <w:rPr>
                <w:szCs w:val="22"/>
              </w:rPr>
              <w:t>390.6</w:t>
            </w:r>
          </w:p>
        </w:tc>
        <w:tc>
          <w:tcPr>
            <w:tcW w:w="987" w:type="dxa"/>
            <w:vAlign w:val="bottom"/>
          </w:tcPr>
          <w:p>
            <w:pPr>
              <w:pStyle w:val="yTableNAm"/>
              <w:jc w:val="center"/>
            </w:pPr>
            <w:r>
              <w:rPr>
                <w:szCs w:val="22"/>
              </w:rPr>
              <w:t>459.2</w:t>
            </w:r>
          </w:p>
        </w:tc>
        <w:tc>
          <w:tcPr>
            <w:tcW w:w="989" w:type="dxa"/>
            <w:vAlign w:val="bottom"/>
          </w:tcPr>
          <w:p>
            <w:pPr>
              <w:pStyle w:val="yTableNAm"/>
              <w:jc w:val="center"/>
            </w:pPr>
            <w:r>
              <w:rPr>
                <w:szCs w:val="22"/>
              </w:rPr>
              <w:t>540.2</w:t>
            </w:r>
          </w:p>
        </w:tc>
      </w:tr>
      <w:tr>
        <w:trPr>
          <w:cantSplit/>
        </w:trPr>
        <w:tc>
          <w:tcPr>
            <w:tcW w:w="1417" w:type="dxa"/>
            <w:tcBorders>
              <w:bottom w:val="single" w:sz="4" w:space="0" w:color="auto"/>
            </w:tcBorders>
          </w:tcPr>
          <w:p>
            <w:pPr>
              <w:pStyle w:val="yTableNAm"/>
            </w:pPr>
            <w:r>
              <w:t>Over 750</w:t>
            </w:r>
          </w:p>
        </w:tc>
        <w:tc>
          <w:tcPr>
            <w:tcW w:w="897" w:type="dxa"/>
            <w:tcBorders>
              <w:bottom w:val="single" w:sz="4" w:space="0" w:color="auto"/>
            </w:tcBorders>
            <w:vAlign w:val="bottom"/>
          </w:tcPr>
          <w:p>
            <w:pPr>
              <w:pStyle w:val="yTableNAm"/>
              <w:jc w:val="center"/>
            </w:pPr>
            <w:r>
              <w:rPr>
                <w:szCs w:val="22"/>
              </w:rPr>
              <w:t>248.8</w:t>
            </w:r>
          </w:p>
        </w:tc>
        <w:tc>
          <w:tcPr>
            <w:tcW w:w="986" w:type="dxa"/>
            <w:tcBorders>
              <w:bottom w:val="single" w:sz="4" w:space="0" w:color="auto"/>
            </w:tcBorders>
            <w:vAlign w:val="bottom"/>
          </w:tcPr>
          <w:p>
            <w:pPr>
              <w:pStyle w:val="yTableNAm"/>
              <w:jc w:val="center"/>
            </w:pPr>
            <w:r>
              <w:rPr>
                <w:szCs w:val="22"/>
              </w:rPr>
              <w:t>374.0</w:t>
            </w:r>
          </w:p>
        </w:tc>
        <w:tc>
          <w:tcPr>
            <w:tcW w:w="987" w:type="dxa"/>
            <w:tcBorders>
              <w:bottom w:val="single" w:sz="4" w:space="0" w:color="auto"/>
            </w:tcBorders>
            <w:vAlign w:val="bottom"/>
          </w:tcPr>
          <w:p>
            <w:pPr>
              <w:pStyle w:val="yTableNAm"/>
              <w:jc w:val="center"/>
            </w:pPr>
            <w:r>
              <w:rPr>
                <w:szCs w:val="22"/>
              </w:rPr>
              <w:t>497.9</w:t>
            </w:r>
          </w:p>
        </w:tc>
        <w:tc>
          <w:tcPr>
            <w:tcW w:w="987" w:type="dxa"/>
            <w:tcBorders>
              <w:bottom w:val="single" w:sz="4" w:space="0" w:color="auto"/>
            </w:tcBorders>
            <w:vAlign w:val="bottom"/>
          </w:tcPr>
          <w:p>
            <w:pPr>
              <w:pStyle w:val="yTableNAm"/>
              <w:jc w:val="center"/>
            </w:pPr>
            <w:r>
              <w:rPr>
                <w:szCs w:val="22"/>
              </w:rPr>
              <w:t>688.7</w:t>
            </w:r>
          </w:p>
        </w:tc>
        <w:tc>
          <w:tcPr>
            <w:tcW w:w="989" w:type="dxa"/>
            <w:tcBorders>
              <w:bottom w:val="single" w:sz="4" w:space="0" w:color="auto"/>
            </w:tcBorders>
            <w:vAlign w:val="bottom"/>
          </w:tcPr>
          <w:p>
            <w:pPr>
              <w:pStyle w:val="yTableNAm"/>
              <w:jc w:val="center"/>
            </w:pPr>
            <w:r>
              <w:rPr>
                <w:szCs w:val="22"/>
              </w:rPr>
              <w:t>928.9</w:t>
            </w:r>
          </w:p>
        </w:tc>
      </w:tr>
    </w:tbl>
    <w:p>
      <w:pPr>
        <w:pStyle w:val="yHeading5"/>
      </w:pPr>
      <w:bookmarkStart w:id="481" w:name="_Toc10193859"/>
      <w:bookmarkStart w:id="482" w:name="_Toc10642240"/>
      <w:bookmarkStart w:id="483" w:name="_Toc12277632"/>
      <w:r>
        <w:rPr>
          <w:rStyle w:val="CharSClsNo"/>
        </w:rPr>
        <w:t>29</w:t>
      </w:r>
      <w:r>
        <w:t>.</w:t>
      </w:r>
      <w:r>
        <w:tab/>
        <w:t>Non</w:t>
      </w:r>
      <w:r>
        <w:noBreakHyphen/>
        <w:t>metropolitan residential</w:t>
      </w:r>
      <w:bookmarkEnd w:id="481"/>
      <w:bookmarkEnd w:id="482"/>
      <w:bookmarkEnd w:id="483"/>
    </w:p>
    <w:p>
      <w:pPr>
        <w:pStyle w:val="yMiscellaneousBody"/>
        <w:tabs>
          <w:tab w:val="left" w:pos="284"/>
        </w:tabs>
        <w:ind w:left="851" w:hanging="851"/>
      </w:pPr>
      <w:r>
        <w:tab/>
        <w:t>(1)</w:t>
      </w:r>
      <w:r>
        <w:tab/>
        <w:t xml:space="preserve">For each kilolitre of water supplied to land in </w:t>
      </w:r>
      <w:r>
        <w:br/>
        <w:t>the non</w:t>
      </w:r>
      <w:r>
        <w:noBreakHyphen/>
        <w:t xml:space="preserve">metropolitan area that is — </w:t>
      </w:r>
    </w:p>
    <w:p>
      <w:pPr>
        <w:pStyle w:val="yMiscellaneousBody"/>
        <w:tabs>
          <w:tab w:val="left" w:pos="992"/>
        </w:tabs>
        <w:ind w:left="1559" w:hanging="1559"/>
      </w:pPr>
      <w:r>
        <w:tab/>
        <w:t>(a)</w:t>
      </w:r>
      <w:r>
        <w:tab/>
        <w:t>a residential property; or</w:t>
      </w:r>
    </w:p>
    <w:p>
      <w:pPr>
        <w:pStyle w:val="yMiscellaneousBody"/>
        <w:tabs>
          <w:tab w:val="left" w:pos="992"/>
        </w:tabs>
        <w:ind w:left="1559" w:hanging="1559"/>
      </w:pPr>
      <w:r>
        <w:tab/>
        <w:t>(b)</w:t>
      </w:r>
      <w:r>
        <w:tab/>
        <w:t xml:space="preserve">classified as vacant land but held for </w:t>
      </w:r>
      <w:r>
        <w:br/>
        <w:t>residential purposes,</w:t>
      </w:r>
    </w:p>
    <w:p>
      <w:pPr>
        <w:pStyle w:val="yMiscellaneousBody"/>
        <w:keepNext/>
        <w:spacing w:after="120"/>
        <w:ind w:left="851" w:hanging="284"/>
      </w:pPr>
      <w:r>
        <w:tab/>
        <w:t xml:space="preserve">the charge, according to the residential class of </w:t>
      </w:r>
      <w:r>
        <w:br/>
        <w:t xml:space="preserve">the town or area in which the land is located, </w:t>
      </w:r>
      <w:r>
        <w:br/>
        <w:t xml:space="preserve">is — </w:t>
      </w:r>
    </w:p>
    <w:tbl>
      <w:tblPr>
        <w:tblW w:w="0" w:type="auto"/>
        <w:tblInd w:w="879" w:type="dxa"/>
        <w:tblCellMar>
          <w:left w:w="28" w:type="dxa"/>
          <w:right w:w="28" w:type="dxa"/>
        </w:tblCellMar>
        <w:tblLook w:val="0000" w:firstRow="0" w:lastRow="0" w:firstColumn="0" w:lastColumn="0" w:noHBand="0" w:noVBand="0"/>
      </w:tblPr>
      <w:tblGrid>
        <w:gridCol w:w="1417"/>
        <w:gridCol w:w="897"/>
        <w:gridCol w:w="987"/>
        <w:gridCol w:w="987"/>
        <w:gridCol w:w="987"/>
        <w:gridCol w:w="989"/>
      </w:tblGrid>
      <w:tr>
        <w:trPr>
          <w:cantSplit/>
          <w:tblHeader/>
        </w:trPr>
        <w:tc>
          <w:tcPr>
            <w:tcW w:w="1417" w:type="dxa"/>
            <w:tcBorders>
              <w:top w:val="single" w:sz="4" w:space="0" w:color="auto"/>
              <w:bottom w:val="single" w:sz="4" w:space="0" w:color="auto"/>
            </w:tcBorders>
          </w:tcPr>
          <w:p>
            <w:pPr>
              <w:pStyle w:val="yTableNAm"/>
              <w:keepNext/>
              <w:rPr>
                <w:b/>
              </w:rPr>
            </w:pPr>
            <w:r>
              <w:rPr>
                <w:b/>
              </w:rPr>
              <w:br w:type="page"/>
              <w:t>Consumption (kL)</w:t>
            </w:r>
          </w:p>
        </w:tc>
        <w:tc>
          <w:tcPr>
            <w:tcW w:w="897" w:type="dxa"/>
            <w:tcBorders>
              <w:top w:val="single" w:sz="4" w:space="0" w:color="auto"/>
              <w:bottom w:val="single" w:sz="4" w:space="0" w:color="auto"/>
            </w:tcBorders>
          </w:tcPr>
          <w:p>
            <w:pPr>
              <w:pStyle w:val="yTableNAm"/>
              <w:keepNext/>
              <w:jc w:val="center"/>
              <w:rPr>
                <w:b/>
              </w:rPr>
            </w:pPr>
            <w:r>
              <w:rPr>
                <w:b/>
              </w:rPr>
              <w:t>Class 1 (cents)</w:t>
            </w:r>
          </w:p>
        </w:tc>
        <w:tc>
          <w:tcPr>
            <w:tcW w:w="987" w:type="dxa"/>
            <w:tcBorders>
              <w:top w:val="single" w:sz="4" w:space="0" w:color="auto"/>
              <w:bottom w:val="single" w:sz="4" w:space="0" w:color="auto"/>
            </w:tcBorders>
          </w:tcPr>
          <w:p>
            <w:pPr>
              <w:pStyle w:val="yTableNAm"/>
              <w:keepNext/>
              <w:jc w:val="center"/>
              <w:rPr>
                <w:b/>
              </w:rPr>
            </w:pPr>
            <w:r>
              <w:rPr>
                <w:b/>
              </w:rPr>
              <w:t>Class 2 (cents)</w:t>
            </w:r>
          </w:p>
        </w:tc>
        <w:tc>
          <w:tcPr>
            <w:tcW w:w="987" w:type="dxa"/>
            <w:tcBorders>
              <w:top w:val="single" w:sz="4" w:space="0" w:color="auto"/>
              <w:bottom w:val="single" w:sz="4" w:space="0" w:color="auto"/>
            </w:tcBorders>
          </w:tcPr>
          <w:p>
            <w:pPr>
              <w:pStyle w:val="yTableNAm"/>
              <w:keepNext/>
              <w:jc w:val="center"/>
              <w:rPr>
                <w:b/>
              </w:rPr>
            </w:pPr>
            <w:r>
              <w:rPr>
                <w:b/>
              </w:rPr>
              <w:t>Class 3 (cents)</w:t>
            </w:r>
          </w:p>
        </w:tc>
        <w:tc>
          <w:tcPr>
            <w:tcW w:w="987" w:type="dxa"/>
            <w:tcBorders>
              <w:top w:val="single" w:sz="4" w:space="0" w:color="auto"/>
              <w:bottom w:val="single" w:sz="4" w:space="0" w:color="auto"/>
            </w:tcBorders>
          </w:tcPr>
          <w:p>
            <w:pPr>
              <w:pStyle w:val="yTableNAm"/>
              <w:keepNext/>
              <w:jc w:val="center"/>
              <w:rPr>
                <w:b/>
              </w:rPr>
            </w:pPr>
            <w:r>
              <w:rPr>
                <w:b/>
              </w:rPr>
              <w:t>Class 4 (cents)</w:t>
            </w:r>
          </w:p>
        </w:tc>
        <w:tc>
          <w:tcPr>
            <w:tcW w:w="989" w:type="dxa"/>
            <w:tcBorders>
              <w:top w:val="single" w:sz="4" w:space="0" w:color="auto"/>
              <w:bottom w:val="single" w:sz="4" w:space="0" w:color="auto"/>
            </w:tcBorders>
          </w:tcPr>
          <w:p>
            <w:pPr>
              <w:pStyle w:val="yTableNAm"/>
              <w:keepNext/>
              <w:jc w:val="center"/>
              <w:rPr>
                <w:b/>
              </w:rPr>
            </w:pPr>
            <w:r>
              <w:rPr>
                <w:b/>
              </w:rPr>
              <w:t>Class 5 (cents)</w:t>
            </w:r>
          </w:p>
        </w:tc>
      </w:tr>
      <w:tr>
        <w:trPr>
          <w:cantSplit/>
        </w:trPr>
        <w:tc>
          <w:tcPr>
            <w:tcW w:w="1417" w:type="dxa"/>
          </w:tcPr>
          <w:p>
            <w:pPr>
              <w:pStyle w:val="yTableNAm"/>
            </w:pPr>
            <w:r>
              <w:t>Up to 150</w:t>
            </w:r>
          </w:p>
        </w:tc>
        <w:tc>
          <w:tcPr>
            <w:tcW w:w="897" w:type="dxa"/>
            <w:vAlign w:val="bottom"/>
          </w:tcPr>
          <w:p>
            <w:pPr>
              <w:pStyle w:val="yTableNAm"/>
              <w:jc w:val="center"/>
            </w:pPr>
            <w:r>
              <w:rPr>
                <w:szCs w:val="22"/>
              </w:rPr>
              <w:t>139.5</w:t>
            </w:r>
          </w:p>
        </w:tc>
        <w:tc>
          <w:tcPr>
            <w:tcW w:w="987" w:type="dxa"/>
            <w:vAlign w:val="bottom"/>
          </w:tcPr>
          <w:p>
            <w:pPr>
              <w:pStyle w:val="yTableNAm"/>
              <w:jc w:val="center"/>
            </w:pPr>
            <w:r>
              <w:rPr>
                <w:szCs w:val="22"/>
              </w:rPr>
              <w:t>182.7</w:t>
            </w:r>
          </w:p>
        </w:tc>
        <w:tc>
          <w:tcPr>
            <w:tcW w:w="987" w:type="dxa"/>
            <w:vAlign w:val="bottom"/>
          </w:tcPr>
          <w:p>
            <w:pPr>
              <w:pStyle w:val="yTableNAm"/>
              <w:jc w:val="center"/>
            </w:pPr>
            <w:r>
              <w:rPr>
                <w:szCs w:val="22"/>
              </w:rPr>
              <w:t>182.7</w:t>
            </w:r>
          </w:p>
        </w:tc>
        <w:tc>
          <w:tcPr>
            <w:tcW w:w="987" w:type="dxa"/>
            <w:vAlign w:val="bottom"/>
          </w:tcPr>
          <w:p>
            <w:pPr>
              <w:pStyle w:val="yTableNAm"/>
              <w:jc w:val="center"/>
            </w:pPr>
            <w:r>
              <w:rPr>
                <w:szCs w:val="22"/>
              </w:rPr>
              <w:t>182.7</w:t>
            </w:r>
          </w:p>
        </w:tc>
        <w:tc>
          <w:tcPr>
            <w:tcW w:w="989" w:type="dxa"/>
            <w:vAlign w:val="bottom"/>
          </w:tcPr>
          <w:p>
            <w:pPr>
              <w:pStyle w:val="yTableNAm"/>
              <w:jc w:val="center"/>
            </w:pPr>
            <w:r>
              <w:rPr>
                <w:szCs w:val="22"/>
              </w:rPr>
              <w:t>182.7</w:t>
            </w:r>
          </w:p>
        </w:tc>
      </w:tr>
      <w:tr>
        <w:trPr>
          <w:cantSplit/>
        </w:trPr>
        <w:tc>
          <w:tcPr>
            <w:tcW w:w="1417" w:type="dxa"/>
          </w:tcPr>
          <w:p>
            <w:pPr>
              <w:pStyle w:val="yTableNAm"/>
            </w:pPr>
            <w:r>
              <w:t>Over 150 but not over 300</w:t>
            </w:r>
          </w:p>
        </w:tc>
        <w:tc>
          <w:tcPr>
            <w:tcW w:w="897" w:type="dxa"/>
            <w:vAlign w:val="bottom"/>
          </w:tcPr>
          <w:p>
            <w:pPr>
              <w:pStyle w:val="yTableNAm"/>
              <w:jc w:val="center"/>
            </w:pPr>
            <w:r>
              <w:rPr>
                <w:szCs w:val="22"/>
              </w:rPr>
              <w:t>185.7</w:t>
            </w:r>
          </w:p>
        </w:tc>
        <w:tc>
          <w:tcPr>
            <w:tcW w:w="987" w:type="dxa"/>
            <w:vAlign w:val="bottom"/>
          </w:tcPr>
          <w:p>
            <w:pPr>
              <w:pStyle w:val="yTableNAm"/>
              <w:jc w:val="center"/>
            </w:pPr>
            <w:r>
              <w:rPr>
                <w:szCs w:val="22"/>
              </w:rPr>
              <w:t>243.4</w:t>
            </w:r>
          </w:p>
        </w:tc>
        <w:tc>
          <w:tcPr>
            <w:tcW w:w="987" w:type="dxa"/>
            <w:vAlign w:val="bottom"/>
          </w:tcPr>
          <w:p>
            <w:pPr>
              <w:pStyle w:val="yTableNAm"/>
              <w:jc w:val="center"/>
            </w:pPr>
            <w:r>
              <w:rPr>
                <w:szCs w:val="22"/>
              </w:rPr>
              <w:t>243.4</w:t>
            </w:r>
          </w:p>
        </w:tc>
        <w:tc>
          <w:tcPr>
            <w:tcW w:w="987" w:type="dxa"/>
            <w:vAlign w:val="bottom"/>
          </w:tcPr>
          <w:p>
            <w:pPr>
              <w:pStyle w:val="yTableNAm"/>
              <w:jc w:val="center"/>
            </w:pPr>
            <w:r>
              <w:rPr>
                <w:szCs w:val="22"/>
              </w:rPr>
              <w:t>243.4</w:t>
            </w:r>
          </w:p>
        </w:tc>
        <w:tc>
          <w:tcPr>
            <w:tcW w:w="989" w:type="dxa"/>
            <w:vAlign w:val="bottom"/>
          </w:tcPr>
          <w:p>
            <w:pPr>
              <w:pStyle w:val="yTableNAm"/>
              <w:jc w:val="center"/>
            </w:pPr>
            <w:r>
              <w:rPr>
                <w:szCs w:val="22"/>
              </w:rPr>
              <w:t>243.4</w:t>
            </w:r>
          </w:p>
        </w:tc>
      </w:tr>
      <w:tr>
        <w:trPr>
          <w:cantSplit/>
        </w:trPr>
        <w:tc>
          <w:tcPr>
            <w:tcW w:w="1417" w:type="dxa"/>
          </w:tcPr>
          <w:p>
            <w:pPr>
              <w:pStyle w:val="yTableNAm"/>
            </w:pPr>
            <w:r>
              <w:t>Over 300 but not over 550</w:t>
            </w:r>
          </w:p>
        </w:tc>
        <w:tc>
          <w:tcPr>
            <w:tcW w:w="897" w:type="dxa"/>
            <w:vAlign w:val="bottom"/>
          </w:tcPr>
          <w:p>
            <w:pPr>
              <w:pStyle w:val="yTableNAm"/>
              <w:jc w:val="center"/>
            </w:pPr>
            <w:r>
              <w:rPr>
                <w:szCs w:val="22"/>
              </w:rPr>
              <w:t>213.1</w:t>
            </w:r>
          </w:p>
        </w:tc>
        <w:tc>
          <w:tcPr>
            <w:tcW w:w="987" w:type="dxa"/>
            <w:vAlign w:val="bottom"/>
          </w:tcPr>
          <w:p>
            <w:pPr>
              <w:pStyle w:val="yTableNAm"/>
              <w:jc w:val="center"/>
            </w:pPr>
            <w:r>
              <w:rPr>
                <w:szCs w:val="22"/>
              </w:rPr>
              <w:t>293.2</w:t>
            </w:r>
          </w:p>
        </w:tc>
        <w:tc>
          <w:tcPr>
            <w:tcW w:w="987" w:type="dxa"/>
            <w:vAlign w:val="bottom"/>
          </w:tcPr>
          <w:p>
            <w:pPr>
              <w:pStyle w:val="yTableNAm"/>
              <w:jc w:val="center"/>
            </w:pPr>
            <w:r>
              <w:rPr>
                <w:szCs w:val="22"/>
              </w:rPr>
              <w:t>390.6</w:t>
            </w:r>
          </w:p>
        </w:tc>
        <w:tc>
          <w:tcPr>
            <w:tcW w:w="987" w:type="dxa"/>
            <w:vAlign w:val="bottom"/>
          </w:tcPr>
          <w:p>
            <w:pPr>
              <w:pStyle w:val="yTableNAm"/>
              <w:jc w:val="center"/>
            </w:pPr>
            <w:r>
              <w:rPr>
                <w:szCs w:val="22"/>
              </w:rPr>
              <w:t>459.2</w:t>
            </w:r>
          </w:p>
        </w:tc>
        <w:tc>
          <w:tcPr>
            <w:tcW w:w="989" w:type="dxa"/>
            <w:vAlign w:val="bottom"/>
          </w:tcPr>
          <w:p>
            <w:pPr>
              <w:pStyle w:val="yTableNAm"/>
              <w:jc w:val="center"/>
            </w:pPr>
            <w:r>
              <w:rPr>
                <w:szCs w:val="22"/>
              </w:rPr>
              <w:t>540.2</w:t>
            </w:r>
          </w:p>
        </w:tc>
      </w:tr>
      <w:tr>
        <w:trPr>
          <w:cantSplit/>
        </w:trPr>
        <w:tc>
          <w:tcPr>
            <w:tcW w:w="1417" w:type="dxa"/>
            <w:tcBorders>
              <w:bottom w:val="single" w:sz="4" w:space="0" w:color="auto"/>
            </w:tcBorders>
          </w:tcPr>
          <w:p>
            <w:pPr>
              <w:pStyle w:val="yTableNAm"/>
            </w:pPr>
            <w:r>
              <w:t>Over 550</w:t>
            </w:r>
          </w:p>
        </w:tc>
        <w:tc>
          <w:tcPr>
            <w:tcW w:w="897" w:type="dxa"/>
            <w:tcBorders>
              <w:bottom w:val="single" w:sz="4" w:space="0" w:color="auto"/>
            </w:tcBorders>
            <w:vAlign w:val="bottom"/>
          </w:tcPr>
          <w:p>
            <w:pPr>
              <w:pStyle w:val="yTableNAm"/>
              <w:jc w:val="center"/>
            </w:pPr>
            <w:r>
              <w:rPr>
                <w:szCs w:val="22"/>
              </w:rPr>
              <w:t>248.8</w:t>
            </w:r>
          </w:p>
        </w:tc>
        <w:tc>
          <w:tcPr>
            <w:tcW w:w="987" w:type="dxa"/>
            <w:tcBorders>
              <w:bottom w:val="single" w:sz="4" w:space="0" w:color="auto"/>
            </w:tcBorders>
            <w:vAlign w:val="bottom"/>
          </w:tcPr>
          <w:p>
            <w:pPr>
              <w:pStyle w:val="yTableNAm"/>
              <w:jc w:val="center"/>
            </w:pPr>
            <w:r>
              <w:rPr>
                <w:szCs w:val="22"/>
              </w:rPr>
              <w:t>374.0</w:t>
            </w:r>
          </w:p>
        </w:tc>
        <w:tc>
          <w:tcPr>
            <w:tcW w:w="987" w:type="dxa"/>
            <w:tcBorders>
              <w:bottom w:val="single" w:sz="4" w:space="0" w:color="auto"/>
            </w:tcBorders>
            <w:vAlign w:val="bottom"/>
          </w:tcPr>
          <w:p>
            <w:pPr>
              <w:pStyle w:val="yTableNAm"/>
              <w:jc w:val="center"/>
            </w:pPr>
            <w:r>
              <w:rPr>
                <w:szCs w:val="22"/>
              </w:rPr>
              <w:t>497.9</w:t>
            </w:r>
          </w:p>
        </w:tc>
        <w:tc>
          <w:tcPr>
            <w:tcW w:w="987" w:type="dxa"/>
            <w:tcBorders>
              <w:bottom w:val="single" w:sz="4" w:space="0" w:color="auto"/>
            </w:tcBorders>
            <w:vAlign w:val="bottom"/>
          </w:tcPr>
          <w:p>
            <w:pPr>
              <w:pStyle w:val="yTableNAm"/>
              <w:jc w:val="center"/>
            </w:pPr>
            <w:r>
              <w:rPr>
                <w:szCs w:val="22"/>
              </w:rPr>
              <w:t>688.7</w:t>
            </w:r>
          </w:p>
        </w:tc>
        <w:tc>
          <w:tcPr>
            <w:tcW w:w="989" w:type="dxa"/>
            <w:tcBorders>
              <w:bottom w:val="single" w:sz="4" w:space="0" w:color="auto"/>
            </w:tcBorders>
            <w:vAlign w:val="bottom"/>
          </w:tcPr>
          <w:p>
            <w:pPr>
              <w:pStyle w:val="yTableNAm"/>
              <w:jc w:val="center"/>
            </w:pPr>
            <w:r>
              <w:rPr>
                <w:szCs w:val="22"/>
              </w:rPr>
              <w:t>928.9</w:t>
            </w:r>
          </w:p>
        </w:tc>
      </w:tr>
    </w:tbl>
    <w:p>
      <w:pPr>
        <w:pStyle w:val="yMiscellaneousBody"/>
        <w:tabs>
          <w:tab w:val="left" w:pos="284"/>
        </w:tabs>
        <w:ind w:left="851" w:hanging="851"/>
      </w:pPr>
      <w:r>
        <w:tab/>
        <w:t>(2)</w:t>
      </w:r>
      <w:r>
        <w:tab/>
        <w:t>Sub</w:t>
      </w:r>
      <w:r>
        <w:noBreakHyphen/>
        <w:t xml:space="preserve">item (1) applies unless the land is </w:t>
      </w:r>
      <w:r>
        <w:br/>
        <w:t xml:space="preserve">located — </w:t>
      </w:r>
    </w:p>
    <w:p>
      <w:pPr>
        <w:pStyle w:val="yMiscellaneousBody"/>
        <w:tabs>
          <w:tab w:val="left" w:pos="992"/>
        </w:tabs>
        <w:ind w:left="1559" w:hanging="1559"/>
      </w:pPr>
      <w:r>
        <w:tab/>
        <w:t>(a)</w:t>
      </w:r>
      <w:r>
        <w:tab/>
        <w:t xml:space="preserve">in the town of Cue, Laverton, Leonora, </w:t>
      </w:r>
      <w:r>
        <w:br/>
        <w:t xml:space="preserve">Meekatharra, Menzies, Mount Magnet, </w:t>
      </w:r>
      <w:r>
        <w:br/>
        <w:t xml:space="preserve">Mullewa, Sandstone, Wiluna or </w:t>
      </w:r>
      <w:r>
        <w:br/>
        <w:t>Yalgoo; or</w:t>
      </w:r>
    </w:p>
    <w:p>
      <w:pPr>
        <w:pStyle w:val="yMiscellaneousBody"/>
        <w:tabs>
          <w:tab w:val="left" w:pos="992"/>
        </w:tabs>
        <w:ind w:left="1559" w:hanging="1559"/>
      </w:pPr>
      <w:r>
        <w:tab/>
        <w:t>(b)</w:t>
      </w:r>
      <w:r>
        <w:tab/>
        <w:t>north of 26°S Latitude,</w:t>
      </w:r>
    </w:p>
    <w:p>
      <w:pPr>
        <w:pStyle w:val="yMiscellaneousBody"/>
        <w:spacing w:after="120"/>
        <w:ind w:left="851" w:hanging="284"/>
      </w:pP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82"/>
        <w:gridCol w:w="972"/>
        <w:gridCol w:w="972"/>
        <w:gridCol w:w="972"/>
        <w:gridCol w:w="1048"/>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882" w:type="dxa"/>
            <w:tcBorders>
              <w:top w:val="single" w:sz="4" w:space="0" w:color="auto"/>
              <w:bottom w:val="single" w:sz="4" w:space="0" w:color="auto"/>
            </w:tcBorders>
          </w:tcPr>
          <w:p>
            <w:pPr>
              <w:pStyle w:val="yTableNAm"/>
              <w:jc w:val="center"/>
              <w:rPr>
                <w:b/>
              </w:rPr>
            </w:pPr>
            <w:r>
              <w:rPr>
                <w:b/>
              </w:rPr>
              <w:t>Class 1 (cents)</w:t>
            </w:r>
          </w:p>
        </w:tc>
        <w:tc>
          <w:tcPr>
            <w:tcW w:w="972" w:type="dxa"/>
            <w:tcBorders>
              <w:top w:val="single" w:sz="4" w:space="0" w:color="auto"/>
              <w:bottom w:val="single" w:sz="4" w:space="0" w:color="auto"/>
            </w:tcBorders>
          </w:tcPr>
          <w:p>
            <w:pPr>
              <w:pStyle w:val="yTableNAm"/>
              <w:jc w:val="center"/>
              <w:rPr>
                <w:b/>
              </w:rPr>
            </w:pPr>
            <w:r>
              <w:rPr>
                <w:b/>
              </w:rPr>
              <w:t>Class 2 (cents)</w:t>
            </w:r>
          </w:p>
        </w:tc>
        <w:tc>
          <w:tcPr>
            <w:tcW w:w="972" w:type="dxa"/>
            <w:tcBorders>
              <w:top w:val="single" w:sz="4" w:space="0" w:color="auto"/>
              <w:bottom w:val="single" w:sz="4" w:space="0" w:color="auto"/>
            </w:tcBorders>
          </w:tcPr>
          <w:p>
            <w:pPr>
              <w:pStyle w:val="yTableNAm"/>
              <w:jc w:val="center"/>
              <w:rPr>
                <w:b/>
              </w:rPr>
            </w:pPr>
            <w:r>
              <w:rPr>
                <w:b/>
              </w:rPr>
              <w:t>Class 3 (cents)</w:t>
            </w:r>
          </w:p>
        </w:tc>
        <w:tc>
          <w:tcPr>
            <w:tcW w:w="972" w:type="dxa"/>
            <w:tcBorders>
              <w:top w:val="single" w:sz="4" w:space="0" w:color="auto"/>
              <w:bottom w:val="single" w:sz="4" w:space="0" w:color="auto"/>
            </w:tcBorders>
          </w:tcPr>
          <w:p>
            <w:pPr>
              <w:pStyle w:val="yTableNAm"/>
              <w:jc w:val="center"/>
              <w:rPr>
                <w:b/>
              </w:rPr>
            </w:pPr>
            <w:r>
              <w:rPr>
                <w:b/>
              </w:rPr>
              <w:t>Class 4 (cents)</w:t>
            </w:r>
          </w:p>
        </w:tc>
        <w:tc>
          <w:tcPr>
            <w:tcW w:w="1048" w:type="dxa"/>
            <w:tcBorders>
              <w:top w:val="single" w:sz="4" w:space="0" w:color="auto"/>
              <w:bottom w:val="single" w:sz="4" w:space="0" w:color="auto"/>
            </w:tcBorders>
          </w:tcPr>
          <w:p>
            <w:pPr>
              <w:pStyle w:val="yTableNAm"/>
              <w:jc w:val="center"/>
              <w:rPr>
                <w:b/>
              </w:rPr>
            </w:pPr>
            <w:r>
              <w:rPr>
                <w:b/>
              </w:rPr>
              <w:t>Class 5 (cents)</w:t>
            </w:r>
          </w:p>
        </w:tc>
      </w:tr>
      <w:tr>
        <w:trPr>
          <w:cantSplit/>
        </w:trPr>
        <w:tc>
          <w:tcPr>
            <w:tcW w:w="1417" w:type="dxa"/>
          </w:tcPr>
          <w:p>
            <w:pPr>
              <w:pStyle w:val="yTableNAm"/>
            </w:pPr>
            <w:r>
              <w:t>Up to 350</w:t>
            </w:r>
          </w:p>
        </w:tc>
        <w:tc>
          <w:tcPr>
            <w:tcW w:w="882" w:type="dxa"/>
            <w:vAlign w:val="bottom"/>
          </w:tcPr>
          <w:p>
            <w:pPr>
              <w:pStyle w:val="yTableNAm"/>
              <w:jc w:val="center"/>
            </w:pPr>
            <w:r>
              <w:rPr>
                <w:szCs w:val="22"/>
              </w:rPr>
              <w:t>139.5</w:t>
            </w:r>
          </w:p>
        </w:tc>
        <w:tc>
          <w:tcPr>
            <w:tcW w:w="972" w:type="dxa"/>
            <w:vAlign w:val="bottom"/>
          </w:tcPr>
          <w:p>
            <w:pPr>
              <w:pStyle w:val="yTableNAm"/>
              <w:jc w:val="center"/>
            </w:pPr>
            <w:r>
              <w:rPr>
                <w:szCs w:val="22"/>
              </w:rPr>
              <w:t>182.7</w:t>
            </w:r>
          </w:p>
        </w:tc>
        <w:tc>
          <w:tcPr>
            <w:tcW w:w="972" w:type="dxa"/>
            <w:vAlign w:val="bottom"/>
          </w:tcPr>
          <w:p>
            <w:pPr>
              <w:pStyle w:val="yTableNAm"/>
              <w:jc w:val="center"/>
            </w:pPr>
            <w:r>
              <w:rPr>
                <w:szCs w:val="22"/>
              </w:rPr>
              <w:t>182.7</w:t>
            </w:r>
          </w:p>
        </w:tc>
        <w:tc>
          <w:tcPr>
            <w:tcW w:w="972" w:type="dxa"/>
            <w:vAlign w:val="bottom"/>
          </w:tcPr>
          <w:p>
            <w:pPr>
              <w:pStyle w:val="yTableNAm"/>
              <w:jc w:val="center"/>
            </w:pPr>
            <w:r>
              <w:rPr>
                <w:szCs w:val="22"/>
              </w:rPr>
              <w:t>182.7</w:t>
            </w:r>
          </w:p>
        </w:tc>
        <w:tc>
          <w:tcPr>
            <w:tcW w:w="1048" w:type="dxa"/>
            <w:vAlign w:val="bottom"/>
          </w:tcPr>
          <w:p>
            <w:pPr>
              <w:pStyle w:val="yTableNAm"/>
              <w:jc w:val="center"/>
            </w:pPr>
            <w:r>
              <w:rPr>
                <w:szCs w:val="22"/>
              </w:rPr>
              <w:t>182.7</w:t>
            </w:r>
          </w:p>
        </w:tc>
      </w:tr>
      <w:tr>
        <w:trPr>
          <w:cantSplit/>
        </w:trPr>
        <w:tc>
          <w:tcPr>
            <w:tcW w:w="1417" w:type="dxa"/>
          </w:tcPr>
          <w:p>
            <w:pPr>
              <w:pStyle w:val="yTableNAm"/>
            </w:pPr>
            <w:r>
              <w:t>Over 350 but not over 500</w:t>
            </w:r>
          </w:p>
        </w:tc>
        <w:tc>
          <w:tcPr>
            <w:tcW w:w="882" w:type="dxa"/>
            <w:vAlign w:val="bottom"/>
          </w:tcPr>
          <w:p>
            <w:pPr>
              <w:pStyle w:val="yTableNAm"/>
              <w:jc w:val="center"/>
            </w:pPr>
            <w:r>
              <w:rPr>
                <w:szCs w:val="22"/>
              </w:rPr>
              <w:t>185.7</w:t>
            </w:r>
          </w:p>
        </w:tc>
        <w:tc>
          <w:tcPr>
            <w:tcW w:w="972" w:type="dxa"/>
            <w:vAlign w:val="bottom"/>
          </w:tcPr>
          <w:p>
            <w:pPr>
              <w:pStyle w:val="yTableNAm"/>
              <w:jc w:val="center"/>
            </w:pPr>
            <w:r>
              <w:rPr>
                <w:szCs w:val="22"/>
              </w:rPr>
              <w:t>243.4</w:t>
            </w:r>
          </w:p>
        </w:tc>
        <w:tc>
          <w:tcPr>
            <w:tcW w:w="972" w:type="dxa"/>
            <w:vAlign w:val="bottom"/>
          </w:tcPr>
          <w:p>
            <w:pPr>
              <w:pStyle w:val="yTableNAm"/>
              <w:jc w:val="center"/>
            </w:pPr>
            <w:r>
              <w:rPr>
                <w:szCs w:val="22"/>
              </w:rPr>
              <w:t>243.4</w:t>
            </w:r>
          </w:p>
        </w:tc>
        <w:tc>
          <w:tcPr>
            <w:tcW w:w="972" w:type="dxa"/>
            <w:vAlign w:val="bottom"/>
          </w:tcPr>
          <w:p>
            <w:pPr>
              <w:pStyle w:val="yTableNAm"/>
              <w:jc w:val="center"/>
            </w:pPr>
            <w:r>
              <w:rPr>
                <w:szCs w:val="22"/>
              </w:rPr>
              <w:t>243.4</w:t>
            </w:r>
          </w:p>
        </w:tc>
        <w:tc>
          <w:tcPr>
            <w:tcW w:w="1048" w:type="dxa"/>
            <w:vAlign w:val="bottom"/>
          </w:tcPr>
          <w:p>
            <w:pPr>
              <w:pStyle w:val="yTableNAm"/>
              <w:jc w:val="center"/>
            </w:pPr>
            <w:r>
              <w:rPr>
                <w:szCs w:val="22"/>
              </w:rPr>
              <w:t>243.4</w:t>
            </w:r>
          </w:p>
        </w:tc>
      </w:tr>
      <w:tr>
        <w:trPr>
          <w:cantSplit/>
        </w:trPr>
        <w:tc>
          <w:tcPr>
            <w:tcW w:w="1417" w:type="dxa"/>
          </w:tcPr>
          <w:p>
            <w:pPr>
              <w:pStyle w:val="yTableNAm"/>
            </w:pPr>
            <w:r>
              <w:t>Over 500 but not over 750</w:t>
            </w:r>
          </w:p>
        </w:tc>
        <w:tc>
          <w:tcPr>
            <w:tcW w:w="882" w:type="dxa"/>
            <w:vAlign w:val="bottom"/>
          </w:tcPr>
          <w:p>
            <w:pPr>
              <w:pStyle w:val="yTableNAm"/>
              <w:jc w:val="center"/>
            </w:pPr>
            <w:r>
              <w:rPr>
                <w:szCs w:val="22"/>
              </w:rPr>
              <w:t>213.1</w:t>
            </w:r>
          </w:p>
        </w:tc>
        <w:tc>
          <w:tcPr>
            <w:tcW w:w="972" w:type="dxa"/>
            <w:vAlign w:val="bottom"/>
          </w:tcPr>
          <w:p>
            <w:pPr>
              <w:pStyle w:val="yTableNAm"/>
              <w:jc w:val="center"/>
            </w:pPr>
            <w:r>
              <w:rPr>
                <w:szCs w:val="22"/>
              </w:rPr>
              <w:t>293.2</w:t>
            </w:r>
          </w:p>
        </w:tc>
        <w:tc>
          <w:tcPr>
            <w:tcW w:w="972" w:type="dxa"/>
            <w:vAlign w:val="bottom"/>
          </w:tcPr>
          <w:p>
            <w:pPr>
              <w:pStyle w:val="yTableNAm"/>
              <w:jc w:val="center"/>
            </w:pPr>
            <w:r>
              <w:rPr>
                <w:szCs w:val="22"/>
              </w:rPr>
              <w:t>390.6</w:t>
            </w:r>
          </w:p>
        </w:tc>
        <w:tc>
          <w:tcPr>
            <w:tcW w:w="972" w:type="dxa"/>
            <w:vAlign w:val="bottom"/>
          </w:tcPr>
          <w:p>
            <w:pPr>
              <w:pStyle w:val="yTableNAm"/>
              <w:jc w:val="center"/>
            </w:pPr>
            <w:r>
              <w:rPr>
                <w:szCs w:val="22"/>
              </w:rPr>
              <w:t>459.2</w:t>
            </w:r>
          </w:p>
        </w:tc>
        <w:tc>
          <w:tcPr>
            <w:tcW w:w="1048" w:type="dxa"/>
            <w:vAlign w:val="bottom"/>
          </w:tcPr>
          <w:p>
            <w:pPr>
              <w:pStyle w:val="yTableNAm"/>
              <w:jc w:val="center"/>
            </w:pPr>
            <w:r>
              <w:rPr>
                <w:szCs w:val="22"/>
              </w:rPr>
              <w:t>540.2</w:t>
            </w:r>
          </w:p>
        </w:tc>
      </w:tr>
      <w:tr>
        <w:trPr>
          <w:cantSplit/>
        </w:trPr>
        <w:tc>
          <w:tcPr>
            <w:tcW w:w="1417" w:type="dxa"/>
            <w:tcBorders>
              <w:bottom w:val="single" w:sz="4" w:space="0" w:color="auto"/>
            </w:tcBorders>
          </w:tcPr>
          <w:p>
            <w:pPr>
              <w:pStyle w:val="yTableNAm"/>
            </w:pPr>
            <w:r>
              <w:t>Over 750</w:t>
            </w:r>
          </w:p>
        </w:tc>
        <w:tc>
          <w:tcPr>
            <w:tcW w:w="882" w:type="dxa"/>
            <w:tcBorders>
              <w:bottom w:val="single" w:sz="4" w:space="0" w:color="auto"/>
            </w:tcBorders>
            <w:vAlign w:val="bottom"/>
          </w:tcPr>
          <w:p>
            <w:pPr>
              <w:pStyle w:val="yTableNAm"/>
              <w:jc w:val="center"/>
            </w:pPr>
            <w:r>
              <w:rPr>
                <w:szCs w:val="22"/>
              </w:rPr>
              <w:t>248.8</w:t>
            </w:r>
          </w:p>
        </w:tc>
        <w:tc>
          <w:tcPr>
            <w:tcW w:w="972" w:type="dxa"/>
            <w:tcBorders>
              <w:bottom w:val="single" w:sz="4" w:space="0" w:color="auto"/>
            </w:tcBorders>
            <w:vAlign w:val="bottom"/>
          </w:tcPr>
          <w:p>
            <w:pPr>
              <w:pStyle w:val="yTableNAm"/>
              <w:jc w:val="center"/>
            </w:pPr>
            <w:r>
              <w:rPr>
                <w:szCs w:val="22"/>
              </w:rPr>
              <w:t>374.0</w:t>
            </w:r>
          </w:p>
        </w:tc>
        <w:tc>
          <w:tcPr>
            <w:tcW w:w="972" w:type="dxa"/>
            <w:tcBorders>
              <w:bottom w:val="single" w:sz="4" w:space="0" w:color="auto"/>
            </w:tcBorders>
            <w:vAlign w:val="bottom"/>
          </w:tcPr>
          <w:p>
            <w:pPr>
              <w:pStyle w:val="yTableNAm"/>
              <w:jc w:val="center"/>
            </w:pPr>
            <w:r>
              <w:rPr>
                <w:szCs w:val="22"/>
              </w:rPr>
              <w:t>497.9</w:t>
            </w:r>
          </w:p>
        </w:tc>
        <w:tc>
          <w:tcPr>
            <w:tcW w:w="972" w:type="dxa"/>
            <w:tcBorders>
              <w:bottom w:val="single" w:sz="4" w:space="0" w:color="auto"/>
            </w:tcBorders>
            <w:vAlign w:val="bottom"/>
          </w:tcPr>
          <w:p>
            <w:pPr>
              <w:pStyle w:val="yTableNAm"/>
              <w:jc w:val="center"/>
            </w:pPr>
            <w:r>
              <w:rPr>
                <w:szCs w:val="22"/>
              </w:rPr>
              <w:t>688.7</w:t>
            </w:r>
          </w:p>
        </w:tc>
        <w:tc>
          <w:tcPr>
            <w:tcW w:w="1048" w:type="dxa"/>
            <w:tcBorders>
              <w:bottom w:val="single" w:sz="4" w:space="0" w:color="auto"/>
            </w:tcBorders>
            <w:vAlign w:val="bottom"/>
          </w:tcPr>
          <w:p>
            <w:pPr>
              <w:pStyle w:val="yTableNAm"/>
              <w:jc w:val="center"/>
            </w:pPr>
            <w:r>
              <w:rPr>
                <w:szCs w:val="22"/>
              </w:rPr>
              <w:t>928.9</w:t>
            </w:r>
          </w:p>
        </w:tc>
      </w:tr>
    </w:tbl>
    <w:p>
      <w:pPr>
        <w:pStyle w:val="yMiscellaneousBody"/>
        <w:tabs>
          <w:tab w:val="left" w:pos="284"/>
        </w:tabs>
        <w:ind w:left="851" w:hanging="851"/>
      </w:pPr>
      <w:r>
        <w:tab/>
        <w:t>(3)</w:t>
      </w:r>
      <w:r>
        <w:tab/>
        <w:t>A charge under sub</w:t>
      </w:r>
      <w:r>
        <w:noBreakHyphen/>
        <w:t xml:space="preserve">item (1) or (2) does not </w:t>
      </w:r>
      <w:r>
        <w:br/>
        <w:t xml:space="preserve">apply to the supply of water for which a more </w:t>
      </w:r>
      <w:r>
        <w:br/>
        <w:t>specific charge is provided in this Subdivision.</w:t>
      </w:r>
    </w:p>
    <w:p>
      <w:pPr>
        <w:pStyle w:val="yHeading5"/>
      </w:pPr>
      <w:bookmarkStart w:id="484" w:name="_Toc10193860"/>
      <w:bookmarkStart w:id="485" w:name="_Toc10642241"/>
      <w:bookmarkStart w:id="486" w:name="_Toc12277633"/>
      <w:r>
        <w:rPr>
          <w:rStyle w:val="CharSClsNo"/>
        </w:rPr>
        <w:t>30</w:t>
      </w:r>
      <w:r>
        <w:t>.</w:t>
      </w:r>
      <w:r>
        <w:tab/>
        <w:t>Non</w:t>
      </w:r>
      <w:r>
        <w:noBreakHyphen/>
        <w:t>metropolitan non</w:t>
      </w:r>
      <w:r>
        <w:noBreakHyphen/>
        <w:t>residential</w:t>
      </w:r>
      <w:bookmarkEnd w:id="484"/>
      <w:bookmarkEnd w:id="485"/>
      <w:bookmarkEnd w:id="486"/>
    </w:p>
    <w:p>
      <w:pPr>
        <w:pStyle w:val="yMiscellaneousBody"/>
        <w:tabs>
          <w:tab w:val="left" w:pos="284"/>
        </w:tabs>
        <w:ind w:left="851" w:hanging="851"/>
      </w:pPr>
      <w:r>
        <w:tab/>
        <w:t>(1)</w:t>
      </w:r>
      <w:r>
        <w:tab/>
        <w:t xml:space="preserve">For each kilolitre of water supplied to land in </w:t>
      </w:r>
      <w:r>
        <w:br/>
        <w:t>the non</w:t>
      </w:r>
      <w:r>
        <w:noBreakHyphen/>
        <w:t xml:space="preserve">metropolitan area that is neither </w:t>
      </w:r>
      <w:r>
        <w:br/>
        <w:t xml:space="preserve">classified as residential nor classified as vacant </w:t>
      </w:r>
      <w:r>
        <w:br/>
        <w:t xml:space="preserve">land but held for residential purposes, the </w:t>
      </w:r>
      <w:r>
        <w:br/>
        <w:t>charge is —</w:t>
      </w:r>
    </w:p>
    <w:p>
      <w:pPr>
        <w:pStyle w:val="yMiscellaneousBody"/>
        <w:tabs>
          <w:tab w:val="left" w:pos="992"/>
          <w:tab w:val="right" w:leader="dot" w:pos="6804"/>
        </w:tabs>
        <w:ind w:left="1559" w:hanging="1559"/>
      </w:pPr>
      <w:r>
        <w:tab/>
        <w:t>(a)</w:t>
      </w:r>
      <w:r>
        <w:tab/>
        <w:t xml:space="preserve">if the land is classified as local </w:t>
      </w:r>
      <w:r>
        <w:br/>
        <w:t xml:space="preserve">government, institutional public </w:t>
      </w:r>
      <w:r>
        <w:br/>
        <w:t xml:space="preserve">or charitable purposes </w:t>
      </w:r>
      <w:r>
        <w:tab/>
        <w:t>259.7 cents</w:t>
      </w:r>
    </w:p>
    <w:p>
      <w:pPr>
        <w:pStyle w:val="yMiscellaneousBody"/>
        <w:tabs>
          <w:tab w:val="left" w:pos="992"/>
          <w:tab w:val="right" w:leader="dot" w:pos="6804"/>
        </w:tabs>
        <w:ind w:left="1559" w:hanging="1559"/>
      </w:pPr>
      <w:r>
        <w:tab/>
        <w:t>(b)</w:t>
      </w:r>
      <w:r>
        <w:tab/>
        <w:t xml:space="preserve">if the land is classified as farmland </w:t>
      </w:r>
      <w:r>
        <w:tab/>
        <w:t>259.7 cents</w:t>
      </w:r>
    </w:p>
    <w:p>
      <w:pPr>
        <w:pStyle w:val="yMiscellaneousBody"/>
        <w:tabs>
          <w:tab w:val="left" w:pos="992"/>
        </w:tabs>
        <w:ind w:left="1559" w:hanging="1559"/>
      </w:pPr>
      <w:r>
        <w:tab/>
        <w:t>(c)</w:t>
      </w:r>
      <w:r>
        <w:tab/>
        <w:t xml:space="preserve">if the land is classified as mining — the </w:t>
      </w:r>
      <w:r>
        <w:br/>
        <w:t xml:space="preserve">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w:t>
      </w:r>
      <w:r>
        <w:br/>
        <w:t>classes 14 and 15 were 856.2 cents;</w:t>
      </w:r>
    </w:p>
    <w:p>
      <w:pPr>
        <w:pStyle w:val="yMiscellaneousBody"/>
        <w:tabs>
          <w:tab w:val="left" w:pos="992"/>
        </w:tabs>
        <w:ind w:left="1559" w:hanging="1559"/>
      </w:pPr>
      <w:r>
        <w:tab/>
        <w:t>(d)</w:t>
      </w:r>
      <w:r>
        <w:tab/>
        <w:t xml:space="preserve">if the land is classified as </w:t>
      </w:r>
      <w:r>
        <w:br/>
        <w:t>non</w:t>
      </w:r>
      <w:r>
        <w:noBreakHyphen/>
        <w:t xml:space="preserve">residential or vacant land — the </w:t>
      </w:r>
      <w:r>
        <w:br/>
        <w:t xml:space="preserve">charge applicable in the Table in </w:t>
      </w:r>
      <w:r>
        <w:br/>
        <w:t>item 24 according to the non</w:t>
      </w:r>
      <w:r>
        <w:noBreakHyphen/>
        <w:t xml:space="preserve">residential </w:t>
      </w:r>
      <w:r>
        <w:br/>
        <w:t xml:space="preserve">class of the town or area in which the </w:t>
      </w:r>
      <w:r>
        <w:br/>
        <w:t>land is located;</w:t>
      </w:r>
    </w:p>
    <w:p>
      <w:pPr>
        <w:pStyle w:val="yMiscellaneousBody"/>
        <w:keepNext/>
        <w:tabs>
          <w:tab w:val="left" w:pos="992"/>
        </w:tabs>
        <w:ind w:left="1559" w:hanging="1559"/>
      </w:pPr>
      <w:r>
        <w:tab/>
        <w:t>(e)</w:t>
      </w:r>
      <w:r>
        <w:tab/>
        <w:t xml:space="preserve">if the land is classified as commercial </w:t>
      </w:r>
      <w:r>
        <w:br/>
        <w:t>residential —</w:t>
      </w:r>
    </w:p>
    <w:p>
      <w:pPr>
        <w:pStyle w:val="yMiscellaneousBody"/>
        <w:keepNext/>
        <w:tabs>
          <w:tab w:val="left" w:pos="1701"/>
          <w:tab w:val="right" w:leader="dot" w:pos="6804"/>
        </w:tabs>
      </w:pPr>
      <w:r>
        <w:tab/>
        <w:t xml:space="preserve">up to 150 kL </w:t>
      </w:r>
      <w:r>
        <w:tab/>
        <w:t>182.7 cents</w:t>
      </w:r>
    </w:p>
    <w:p>
      <w:pPr>
        <w:pStyle w:val="yMiscellaneousBody"/>
        <w:tabs>
          <w:tab w:val="left" w:pos="1701"/>
        </w:tabs>
        <w:ind w:left="1701" w:hanging="1134"/>
      </w:pPr>
      <w:r>
        <w:tab/>
        <w:t xml:space="preserve">over 150 kL — the charge applicable </w:t>
      </w:r>
      <w:r>
        <w:br/>
        <w:t xml:space="preserve">in the Table in item 24 according to </w:t>
      </w:r>
      <w:r>
        <w:br/>
        <w:t>the non</w:t>
      </w:r>
      <w:r>
        <w:noBreakHyphen/>
        <w:t xml:space="preserve">residential class of the town </w:t>
      </w:r>
      <w:r>
        <w:br/>
        <w:t>or area in which the land is located.</w:t>
      </w:r>
    </w:p>
    <w:p>
      <w:pPr>
        <w:pStyle w:val="yMiscellaneousBody"/>
        <w:tabs>
          <w:tab w:val="left" w:pos="28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487" w:name="_Toc10193861"/>
      <w:bookmarkStart w:id="488" w:name="_Toc10642242"/>
      <w:bookmarkStart w:id="489" w:name="_Toc12277634"/>
      <w:r>
        <w:rPr>
          <w:rStyle w:val="CharSClsNo"/>
        </w:rPr>
        <w:t>31</w:t>
      </w:r>
      <w:r>
        <w:t>.</w:t>
      </w:r>
      <w:r>
        <w:tab/>
        <w:t>Non</w:t>
      </w:r>
      <w:r>
        <w:noBreakHyphen/>
        <w:t>metropolitan residential concessional</w:t>
      </w:r>
      <w:bookmarkEnd w:id="487"/>
      <w:bookmarkEnd w:id="488"/>
      <w:bookmarkEnd w:id="489"/>
    </w:p>
    <w:p>
      <w:pPr>
        <w:pStyle w:val="yMiscellaneousBody"/>
        <w:tabs>
          <w:tab w:val="left" w:pos="284"/>
          <w:tab w:val="right" w:leader="dot" w:pos="6804"/>
        </w:tabs>
        <w:ind w:left="851" w:hanging="851"/>
      </w:pPr>
      <w:r>
        <w:tab/>
        <w:t>(1)</w:t>
      </w:r>
      <w:r>
        <w:tab/>
        <w:t xml:space="preserve">For each kilolitre of water supplied to </w:t>
      </w:r>
      <w:r>
        <w:br/>
        <w:t>concessional land in the non</w:t>
      </w:r>
      <w:r>
        <w:noBreakHyphen/>
        <w:t xml:space="preserve">metropolitan area </w:t>
      </w:r>
      <w:r>
        <w:br/>
        <w:t xml:space="preserve">that is contained in a residential property, the </w:t>
      </w:r>
      <w:r>
        <w:br/>
        <w:t xml:space="preserve">charge is </w:t>
      </w:r>
      <w:r>
        <w:tab/>
        <w:t xml:space="preserve"> 259.7 cents</w:t>
      </w:r>
    </w:p>
    <w:p>
      <w:pPr>
        <w:pStyle w:val="yMiscellaneousBody"/>
        <w:tabs>
          <w:tab w:val="left" w:pos="284"/>
          <w:tab w:val="right" w:leader="dot" w:pos="680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490" w:name="_Toc10193862"/>
      <w:bookmarkStart w:id="491" w:name="_Toc10642243"/>
      <w:bookmarkStart w:id="492" w:name="_Toc12277635"/>
      <w:r>
        <w:rPr>
          <w:rStyle w:val="CharSClsNo"/>
        </w:rPr>
        <w:t>32</w:t>
      </w:r>
      <w:r>
        <w:t>.</w:t>
      </w:r>
      <w:r>
        <w:tab/>
        <w:t>Strata</w:t>
      </w:r>
      <w:r>
        <w:noBreakHyphen/>
        <w:t>titled or long</w:t>
      </w:r>
      <w:r>
        <w:noBreakHyphen/>
        <w:t>term residential caravan bays</w:t>
      </w:r>
      <w:bookmarkEnd w:id="490"/>
      <w:bookmarkEnd w:id="491"/>
      <w:bookmarkEnd w:id="492"/>
    </w:p>
    <w:p>
      <w:pPr>
        <w:pStyle w:val="yMiscellaneousBody"/>
        <w:tabs>
          <w:tab w:val="left" w:pos="284"/>
          <w:tab w:val="right" w:leader="dot" w:pos="6804"/>
        </w:tabs>
        <w:ind w:left="851" w:hanging="851"/>
      </w:pPr>
      <w:r>
        <w:tab/>
        <w:t>(1)</w:t>
      </w:r>
      <w:r>
        <w:tab/>
        <w:t xml:space="preserve">For each kilolitre of water supplied to a </w:t>
      </w:r>
      <w:r>
        <w:br/>
        <w:t>strata</w:t>
      </w:r>
      <w:r>
        <w:noBreakHyphen/>
        <w:t>titled caravan bay, or a long</w:t>
      </w:r>
      <w:r>
        <w:noBreakHyphen/>
        <w:t xml:space="preserve">term </w:t>
      </w:r>
      <w:r>
        <w:br/>
        <w:t xml:space="preserve">residential caravan bay, in the metropolitan </w:t>
      </w:r>
      <w:r>
        <w:br/>
        <w:t xml:space="preserve">area, the charge is — </w:t>
      </w:r>
    </w:p>
    <w:p>
      <w:pPr>
        <w:pStyle w:val="yMiscellaneousBody"/>
        <w:tabs>
          <w:tab w:val="left" w:pos="1134"/>
          <w:tab w:val="right" w:leader="dot" w:pos="6804"/>
        </w:tabs>
      </w:pPr>
      <w:r>
        <w:tab/>
        <w:t xml:space="preserve">up to 150 kL </w:t>
      </w:r>
      <w:r>
        <w:tab/>
        <w:t xml:space="preserve"> </w:t>
      </w:r>
      <w:r>
        <w:rPr>
          <w:szCs w:val="22"/>
        </w:rPr>
        <w:t>182.7</w:t>
      </w:r>
      <w:r>
        <w:t xml:space="preserve"> cents</w:t>
      </w:r>
    </w:p>
    <w:p>
      <w:pPr>
        <w:pStyle w:val="yMiscellaneousBody"/>
        <w:tabs>
          <w:tab w:val="left" w:pos="1134"/>
          <w:tab w:val="right" w:leader="dot" w:pos="6804"/>
        </w:tabs>
      </w:pPr>
      <w:r>
        <w:tab/>
        <w:t xml:space="preserve">over 150 kL </w:t>
      </w:r>
      <w:r>
        <w:tab/>
        <w:t xml:space="preserve"> </w:t>
      </w:r>
      <w:r>
        <w:rPr>
          <w:szCs w:val="22"/>
        </w:rPr>
        <w:t>251.8</w:t>
      </w:r>
      <w:r>
        <w:t xml:space="preserve"> cents</w:t>
      </w:r>
    </w:p>
    <w:p>
      <w:pPr>
        <w:pStyle w:val="yMiscellaneousBody"/>
        <w:keepNext/>
        <w:tabs>
          <w:tab w:val="left" w:pos="284"/>
          <w:tab w:val="right" w:leader="dot" w:pos="6804"/>
        </w:tabs>
        <w:ind w:left="851" w:hanging="851"/>
      </w:pPr>
      <w:r>
        <w:tab/>
        <w:t>(2)</w:t>
      </w:r>
      <w:r>
        <w:tab/>
        <w:t xml:space="preserve">For each kilolitre of water supplied to a </w:t>
      </w:r>
      <w:r>
        <w:br/>
        <w:t>strata</w:t>
      </w:r>
      <w:r>
        <w:noBreakHyphen/>
        <w:t>titled caravan bay, or a long</w:t>
      </w:r>
      <w:r>
        <w:noBreakHyphen/>
        <w:t xml:space="preserve">term </w:t>
      </w:r>
      <w:r>
        <w:br/>
        <w:t>residential caravan bay, in the non</w:t>
      </w:r>
      <w:r>
        <w:noBreakHyphen/>
        <w:t xml:space="preserve">metropolitan </w:t>
      </w:r>
      <w:r>
        <w:br/>
        <w:t xml:space="preserve">area, the charge is — </w:t>
      </w:r>
    </w:p>
    <w:p>
      <w:pPr>
        <w:pStyle w:val="yMiscellaneousBody"/>
        <w:keepNext/>
        <w:tabs>
          <w:tab w:val="left" w:pos="1134"/>
          <w:tab w:val="right" w:leader="dot" w:pos="6804"/>
        </w:tabs>
      </w:pPr>
      <w:r>
        <w:tab/>
        <w:t xml:space="preserve">up to 150 kL </w:t>
      </w:r>
      <w:r>
        <w:tab/>
        <w:t xml:space="preserve"> </w:t>
      </w:r>
      <w:r>
        <w:rPr>
          <w:szCs w:val="22"/>
        </w:rPr>
        <w:t>182.7</w:t>
      </w:r>
      <w:r>
        <w:t xml:space="preserve"> cents</w:t>
      </w:r>
    </w:p>
    <w:p>
      <w:pPr>
        <w:pStyle w:val="yMiscellaneousBody"/>
        <w:tabs>
          <w:tab w:val="left" w:pos="1134"/>
          <w:tab w:val="right" w:leader="dot" w:pos="6804"/>
        </w:tabs>
      </w:pPr>
      <w:r>
        <w:tab/>
        <w:t xml:space="preserve">over 150 kL — the charge applicable in the </w:t>
      </w:r>
      <w:r>
        <w:br/>
      </w:r>
      <w:r>
        <w:tab/>
        <w:t xml:space="preserve">Table in item 24 according to the residential </w:t>
      </w:r>
      <w:r>
        <w:br/>
      </w:r>
      <w:r>
        <w:tab/>
        <w:t xml:space="preserve">class of the town or area in which the bay is </w:t>
      </w:r>
      <w:r>
        <w:br/>
      </w:r>
      <w:r>
        <w:tab/>
        <w:t>located.</w:t>
      </w:r>
    </w:p>
    <w:p>
      <w:pPr>
        <w:pStyle w:val="yMiscellaneousBody"/>
        <w:tabs>
          <w:tab w:val="left" w:pos="284"/>
          <w:tab w:val="right" w:leader="dot" w:pos="6804"/>
        </w:tabs>
        <w:ind w:left="851" w:hanging="851"/>
      </w:pPr>
      <w:r>
        <w:tab/>
        <w:t>(3)</w:t>
      </w:r>
      <w:r>
        <w:tab/>
        <w:t>Sub</w:t>
      </w:r>
      <w:r>
        <w:noBreakHyphen/>
        <w:t>items (1) and (2) do not apply to long</w:t>
      </w:r>
      <w:r>
        <w:noBreakHyphen/>
        <w:t xml:space="preserve">term </w:t>
      </w:r>
      <w:r>
        <w:br/>
        <w:t xml:space="preserve">residential caravan bays referred to in </w:t>
      </w:r>
      <w:r>
        <w:br/>
        <w:t>regulation 27(2)(a).</w:t>
      </w:r>
    </w:p>
    <w:p>
      <w:pPr>
        <w:pStyle w:val="yHeading5"/>
      </w:pPr>
      <w:bookmarkStart w:id="493" w:name="_Toc10193863"/>
      <w:bookmarkStart w:id="494" w:name="_Toc10642244"/>
      <w:bookmarkStart w:id="495" w:name="_Toc12277636"/>
      <w:r>
        <w:rPr>
          <w:rStyle w:val="CharSClsNo"/>
        </w:rPr>
        <w:t>33</w:t>
      </w:r>
      <w:r>
        <w:t>.</w:t>
      </w:r>
      <w:r>
        <w:tab/>
        <w:t>Government trading organisations and non</w:t>
      </w:r>
      <w:r>
        <w:noBreakHyphen/>
        <w:t>commercial government property</w:t>
      </w:r>
      <w:bookmarkEnd w:id="493"/>
      <w:bookmarkEnd w:id="494"/>
      <w:bookmarkEnd w:id="495"/>
    </w:p>
    <w:p>
      <w:pPr>
        <w:pStyle w:val="yMiscellaneousBody"/>
        <w:tabs>
          <w:tab w:val="left" w:pos="284"/>
          <w:tab w:val="right" w:leader="dot" w:pos="680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 xml:space="preserve">in item 27 or 30(1)(a) would, but for this item, </w:t>
      </w:r>
      <w:r>
        <w:br/>
        <w:t>apply.</w:t>
      </w:r>
    </w:p>
    <w:p>
      <w:pPr>
        <w:pStyle w:val="yMiscellaneousBody"/>
        <w:tabs>
          <w:tab w:val="left" w:pos="284"/>
          <w:tab w:val="right" w:leader="dot" w:pos="6804"/>
        </w:tabs>
        <w:ind w:left="851" w:hanging="851"/>
      </w:pPr>
      <w:r>
        <w:tab/>
        <w:t>(2)</w:t>
      </w:r>
      <w:r>
        <w:tab/>
        <w:t xml:space="preserve">This item does not apply to public land or land </w:t>
      </w:r>
      <w:r>
        <w:br/>
        <w:t>classified as vacant land.</w:t>
      </w:r>
    </w:p>
    <w:p>
      <w:pPr>
        <w:pStyle w:val="yMiscellaneousBody"/>
        <w:tabs>
          <w:tab w:val="left" w:pos="284"/>
          <w:tab w:val="right" w:leader="dot" w:pos="6804"/>
        </w:tabs>
        <w:ind w:left="851" w:hanging="851"/>
      </w:pPr>
      <w:r>
        <w:tab/>
        <w:t>(3)</w:t>
      </w:r>
      <w:r>
        <w:tab/>
        <w:t xml:space="preserve">For land to which this item applies, </w:t>
      </w:r>
      <w:r>
        <w:br/>
        <w:t>the charge under sub</w:t>
      </w:r>
      <w:r>
        <w:noBreakHyphen/>
        <w:t xml:space="preserve">item (4) or (5) applies </w:t>
      </w:r>
      <w:r>
        <w:br/>
        <w:t>instead of the charge referred to in sub</w:t>
      </w:r>
      <w:r>
        <w:noBreakHyphen/>
        <w:t>item (1).</w:t>
      </w:r>
    </w:p>
    <w:p>
      <w:pPr>
        <w:pStyle w:val="yMiscellaneousBody"/>
        <w:tabs>
          <w:tab w:val="left" w:pos="284"/>
          <w:tab w:val="right" w:leader="dot" w:pos="6804"/>
        </w:tabs>
        <w:ind w:left="851" w:hanging="851"/>
      </w:pPr>
      <w:r>
        <w:tab/>
        <w:t>(4)</w:t>
      </w:r>
      <w:r>
        <w:tab/>
        <w:t xml:space="preserve">For each kilolitre of water supplied to land in </w:t>
      </w:r>
      <w:r>
        <w:br/>
        <w:t xml:space="preserve">the metropolitan area, the charge is </w:t>
      </w:r>
      <w:r>
        <w:tab/>
        <w:t xml:space="preserve"> </w:t>
      </w:r>
      <w:r>
        <w:rPr>
          <w:szCs w:val="22"/>
        </w:rPr>
        <w:t>251.8</w:t>
      </w:r>
      <w:r>
        <w:t xml:space="preserve"> cents</w:t>
      </w:r>
    </w:p>
    <w:p>
      <w:pPr>
        <w:pStyle w:val="yMiscellaneousBody"/>
        <w:tabs>
          <w:tab w:val="left" w:pos="284"/>
          <w:tab w:val="right" w:leader="dot" w:pos="6804"/>
        </w:tabs>
        <w:ind w:left="851" w:hanging="851"/>
      </w:pPr>
      <w:r>
        <w:tab/>
        <w:t>(5)</w:t>
      </w:r>
      <w:r>
        <w:tab/>
        <w:t xml:space="preserve">For each kilolitre of water supplied to land in </w:t>
      </w:r>
      <w:r>
        <w:br/>
        <w:t>the non</w:t>
      </w:r>
      <w:r>
        <w:noBreakHyphen/>
        <w:t xml:space="preserve">metropolitan area, the charge is the </w:t>
      </w:r>
      <w:r>
        <w:br/>
        <w:t xml:space="preserve">charge applicable in the Table in item 24 </w:t>
      </w:r>
      <w:r>
        <w:br/>
        <w:t>according to the non</w:t>
      </w:r>
      <w:r>
        <w:noBreakHyphen/>
        <w:t xml:space="preserve">residential class of the </w:t>
      </w:r>
      <w:r>
        <w:br/>
        <w:t>town or area in which the land is located.</w:t>
      </w:r>
    </w:p>
    <w:p>
      <w:pPr>
        <w:pStyle w:val="yHeading5"/>
      </w:pPr>
      <w:bookmarkStart w:id="496" w:name="_Toc10193864"/>
      <w:bookmarkStart w:id="497" w:name="_Toc10642245"/>
      <w:bookmarkStart w:id="498" w:name="_Toc12277637"/>
      <w:r>
        <w:rPr>
          <w:rStyle w:val="CharSClsNo"/>
        </w:rPr>
        <w:t>34</w:t>
      </w:r>
      <w:r>
        <w:t>.</w:t>
      </w:r>
      <w:r>
        <w:tab/>
        <w:t>Coral Bay desalinated</w:t>
      </w:r>
      <w:bookmarkEnd w:id="496"/>
      <w:bookmarkEnd w:id="497"/>
      <w:bookmarkEnd w:id="498"/>
    </w:p>
    <w:p>
      <w:pPr>
        <w:pStyle w:val="yMiscellaneousBody"/>
        <w:tabs>
          <w:tab w:val="left" w:pos="284"/>
          <w:tab w:val="right" w:leader="dot" w:pos="6804"/>
        </w:tabs>
        <w:ind w:left="851" w:hanging="851"/>
      </w:pPr>
      <w:r>
        <w:tab/>
      </w:r>
      <w:r>
        <w:tab/>
        <w:t xml:space="preserve">For each kilolitre of desalinated water supplied </w:t>
      </w:r>
      <w:r>
        <w:br/>
        <w:t xml:space="preserve">to land in Coral Bay that is not classified as </w:t>
      </w:r>
      <w:r>
        <w:br/>
        <w:t xml:space="preserve">residential, the charge is </w:t>
      </w:r>
      <w:r>
        <w:tab/>
        <w:t xml:space="preserve"> </w:t>
      </w:r>
      <w:r>
        <w:rPr>
          <w:szCs w:val="22"/>
        </w:rPr>
        <w:t>736.6</w:t>
      </w:r>
      <w:r>
        <w:t xml:space="preserve"> cents</w:t>
      </w:r>
    </w:p>
    <w:p>
      <w:pPr>
        <w:pStyle w:val="yHeading5"/>
      </w:pPr>
      <w:bookmarkStart w:id="499" w:name="_Toc10193865"/>
      <w:bookmarkStart w:id="500" w:name="_Toc10642246"/>
      <w:bookmarkStart w:id="501" w:name="_Toc12277638"/>
      <w:r>
        <w:rPr>
          <w:rStyle w:val="CharSClsNo"/>
        </w:rPr>
        <w:t>35</w:t>
      </w:r>
      <w:r>
        <w:t>.</w:t>
      </w:r>
      <w:r>
        <w:tab/>
        <w:t>Denham desalinated</w:t>
      </w:r>
      <w:bookmarkEnd w:id="499"/>
      <w:bookmarkEnd w:id="500"/>
      <w:bookmarkEnd w:id="501"/>
    </w:p>
    <w:p>
      <w:pPr>
        <w:pStyle w:val="yMiscellaneousBody"/>
        <w:tabs>
          <w:tab w:val="left" w:pos="284"/>
          <w:tab w:val="right" w:leader="dot" w:pos="6804"/>
        </w:tabs>
        <w:ind w:left="851" w:hanging="851"/>
      </w:pPr>
      <w:r>
        <w:tab/>
        <w:t>(1)</w:t>
      </w:r>
      <w:r>
        <w:tab/>
        <w:t xml:space="preserve">For each kilolitre of desalinated water supplied, </w:t>
      </w:r>
      <w:r>
        <w:br/>
        <w:t xml:space="preserve">in a charge period, to land in Denham that is </w:t>
      </w:r>
      <w:r>
        <w:br/>
        <w:t>classified as residential, the charge is —</w:t>
      </w:r>
    </w:p>
    <w:p>
      <w:pPr>
        <w:pStyle w:val="yMiscellaneousBody"/>
        <w:tabs>
          <w:tab w:val="left" w:pos="1134"/>
          <w:tab w:val="right" w:leader="dot" w:pos="6804"/>
        </w:tabs>
      </w:pPr>
      <w:r>
        <w:tab/>
        <w:t xml:space="preserve">up to quota </w:t>
      </w:r>
      <w:r>
        <w:tab/>
        <w:t xml:space="preserve"> </w:t>
      </w:r>
      <w:r>
        <w:rPr>
          <w:szCs w:val="22"/>
        </w:rPr>
        <w:t>67.7</w:t>
      </w:r>
      <w:r>
        <w:t xml:space="preserve"> cents</w:t>
      </w:r>
    </w:p>
    <w:p>
      <w:pPr>
        <w:pStyle w:val="yMiscellaneousBody"/>
        <w:tabs>
          <w:tab w:val="left" w:pos="1134"/>
          <w:tab w:val="right" w:leader="dot" w:pos="6804"/>
        </w:tabs>
      </w:pPr>
      <w:r>
        <w:tab/>
        <w:t xml:space="preserve">over quota but by not more than the shoulder </w:t>
      </w:r>
      <w:r>
        <w:br/>
      </w:r>
      <w:r>
        <w:tab/>
        <w:t xml:space="preserve">amount </w:t>
      </w:r>
      <w:r>
        <w:tab/>
        <w:t xml:space="preserve"> 498.2 cents</w:t>
      </w:r>
    </w:p>
    <w:p>
      <w:pPr>
        <w:pStyle w:val="yMiscellaneousBody"/>
        <w:tabs>
          <w:tab w:val="left" w:pos="1134"/>
          <w:tab w:val="right" w:leader="dot" w:pos="6804"/>
        </w:tabs>
      </w:pPr>
      <w:r>
        <w:tab/>
        <w:t xml:space="preserve">over quota by more than the shoulder </w:t>
      </w:r>
      <w:r>
        <w:br/>
      </w:r>
      <w:r>
        <w:tab/>
        <w:t xml:space="preserve">amount </w:t>
      </w:r>
      <w:r>
        <w:tab/>
        <w:t xml:space="preserve"> 1 552.2 cents</w:t>
      </w:r>
    </w:p>
    <w:p>
      <w:pPr>
        <w:pStyle w:val="yMiscellaneousBody"/>
        <w:tabs>
          <w:tab w:val="left" w:pos="284"/>
          <w:tab w:val="right" w:leader="dot" w:pos="6804"/>
        </w:tabs>
        <w:ind w:left="851" w:hanging="851"/>
      </w:pPr>
      <w:r>
        <w:tab/>
        <w:t>(2)</w:t>
      </w:r>
      <w:r>
        <w:tab/>
        <w:t>In sub</w:t>
      </w:r>
      <w:r>
        <w:noBreakHyphen/>
        <w:t xml:space="preserve">item (1) — </w:t>
      </w:r>
    </w:p>
    <w:p>
      <w:pPr>
        <w:pStyle w:val="yMiscellaneousBody"/>
        <w:tabs>
          <w:tab w:val="left" w:pos="992"/>
        </w:tabs>
        <w:ind w:left="1559" w:hanging="1559"/>
        <w:rPr>
          <w:szCs w:val="22"/>
        </w:rPr>
      </w:pPr>
      <w:r>
        <w:rPr>
          <w:szCs w:val="22"/>
        </w:rPr>
        <w:tab/>
        <w:t>(a)</w:t>
      </w:r>
      <w:r>
        <w:rPr>
          <w:szCs w:val="22"/>
        </w:rPr>
        <w:tab/>
        <w:t xml:space="preserve">the </w:t>
      </w:r>
      <w:r>
        <w:t>quota</w:t>
      </w:r>
      <w:r>
        <w:rPr>
          <w:szCs w:val="22"/>
        </w:rPr>
        <w:t xml:space="preserve"> for the charge period is 18 kL </w:t>
      </w:r>
      <w:r>
        <w:rPr>
          <w:szCs w:val="22"/>
        </w:rPr>
        <w:br/>
        <w:t xml:space="preserve">plus 4 kL for each resident on the land </w:t>
      </w:r>
      <w:r>
        <w:rPr>
          <w:szCs w:val="22"/>
        </w:rPr>
        <w:br/>
        <w:t>in excess of 4 residents; and</w:t>
      </w:r>
    </w:p>
    <w:p>
      <w:pPr>
        <w:pStyle w:val="yMiscellaneousBody"/>
        <w:tabs>
          <w:tab w:val="left" w:pos="992"/>
        </w:tabs>
        <w:ind w:left="1559" w:hanging="1559"/>
        <w:rPr>
          <w:szCs w:val="22"/>
        </w:rPr>
      </w:pPr>
      <w:r>
        <w:rPr>
          <w:szCs w:val="22"/>
        </w:rPr>
        <w:tab/>
        <w:t>(b)</w:t>
      </w:r>
      <w:r>
        <w:rPr>
          <w:szCs w:val="22"/>
        </w:rPr>
        <w:tab/>
        <w:t xml:space="preserve">the shoulder amount for the charge </w:t>
      </w:r>
      <w:r>
        <w:rPr>
          <w:szCs w:val="22"/>
        </w:rPr>
        <w:br/>
        <w:t xml:space="preserve">period is 3 kL plus 1 kL for each </w:t>
      </w:r>
      <w:r>
        <w:rPr>
          <w:szCs w:val="22"/>
        </w:rPr>
        <w:br/>
        <w:t>resident on the land in excess of 4 residents.</w:t>
      </w:r>
    </w:p>
    <w:p>
      <w:pPr>
        <w:pStyle w:val="yMiscellaneousBody"/>
        <w:tabs>
          <w:tab w:val="left" w:pos="284"/>
          <w:tab w:val="right" w:leader="dot" w:pos="6804"/>
        </w:tabs>
        <w:ind w:left="851" w:hanging="851"/>
      </w:pPr>
      <w:r>
        <w:tab/>
        <w:t>(3)</w:t>
      </w:r>
      <w:r>
        <w:tab/>
        <w:t xml:space="preserve">For each kilolitre of desalinated water supplied </w:t>
      </w:r>
      <w:r>
        <w:br/>
        <w:t xml:space="preserve">to land in Denham that is not classified as </w:t>
      </w:r>
      <w:r>
        <w:br/>
        <w:t>residential, the charge is —</w:t>
      </w:r>
    </w:p>
    <w:p>
      <w:pPr>
        <w:pStyle w:val="yMiscellaneousBody"/>
        <w:tabs>
          <w:tab w:val="left" w:pos="1134"/>
          <w:tab w:val="right" w:leader="dot" w:pos="6804"/>
        </w:tabs>
      </w:pPr>
      <w:r>
        <w:tab/>
        <w:t xml:space="preserve">up to quota </w:t>
      </w:r>
      <w:r>
        <w:tab/>
        <w:t xml:space="preserve"> </w:t>
      </w:r>
      <w:r>
        <w:rPr>
          <w:szCs w:val="22"/>
        </w:rPr>
        <w:t>67.7</w:t>
      </w:r>
      <w:r>
        <w:t xml:space="preserve"> cents</w:t>
      </w:r>
    </w:p>
    <w:p>
      <w:pPr>
        <w:pStyle w:val="yMiscellaneousBody"/>
        <w:tabs>
          <w:tab w:val="left" w:pos="1134"/>
          <w:tab w:val="right" w:leader="dot" w:pos="6804"/>
        </w:tabs>
      </w:pPr>
      <w:r>
        <w:tab/>
        <w:t xml:space="preserve">over quota </w:t>
      </w:r>
      <w:r>
        <w:tab/>
        <w:t xml:space="preserve"> </w:t>
      </w:r>
      <w:r>
        <w:rPr>
          <w:szCs w:val="22"/>
        </w:rPr>
        <w:t>1 552.2</w:t>
      </w:r>
      <w:r>
        <w:t xml:space="preserve"> cents</w:t>
      </w:r>
    </w:p>
    <w:p>
      <w:pPr>
        <w:pStyle w:val="yMiscellaneousBody"/>
        <w:tabs>
          <w:tab w:val="left" w:pos="284"/>
          <w:tab w:val="right" w:leader="dot" w:pos="6804"/>
        </w:tabs>
        <w:ind w:left="851" w:hanging="851"/>
      </w:pPr>
      <w:r>
        <w:tab/>
        <w:t>(4)</w:t>
      </w:r>
      <w:r>
        <w:tab/>
        <w:t>In sub</w:t>
      </w:r>
      <w:r>
        <w:noBreakHyphen/>
        <w:t xml:space="preserve">item (3), the quota for the land for the </w:t>
      </w:r>
      <w:r>
        <w:br/>
        <w:t xml:space="preserve">current consumption year is 108 kL or a greater </w:t>
      </w:r>
      <w:r>
        <w:br/>
        <w:t xml:space="preserve">amount specified for the land for the year by </w:t>
      </w:r>
      <w:r>
        <w:br/>
        <w:t>the Water Corporation.</w:t>
      </w:r>
    </w:p>
    <w:p>
      <w:pPr>
        <w:pStyle w:val="yHeading5"/>
      </w:pPr>
      <w:bookmarkStart w:id="502" w:name="_Toc10193866"/>
      <w:bookmarkStart w:id="503" w:name="_Toc10642247"/>
      <w:bookmarkStart w:id="504" w:name="_Toc12277639"/>
      <w:r>
        <w:rPr>
          <w:rStyle w:val="CharSClsNo"/>
        </w:rPr>
        <w:t>36</w:t>
      </w:r>
      <w:r>
        <w:t>.</w:t>
      </w:r>
      <w:r>
        <w:tab/>
        <w:t>Garden service connection in Mulataga, Karratha</w:t>
      </w:r>
      <w:bookmarkEnd w:id="502"/>
      <w:bookmarkEnd w:id="503"/>
      <w:bookmarkEnd w:id="504"/>
    </w:p>
    <w:p>
      <w:pPr>
        <w:pStyle w:val="yMiscellaneousBody"/>
        <w:tabs>
          <w:tab w:val="left" w:pos="284"/>
          <w:tab w:val="right" w:leader="dot" w:pos="6804"/>
        </w:tabs>
        <w:ind w:left="851" w:hanging="851"/>
      </w:pPr>
      <w:r>
        <w:tab/>
      </w:r>
      <w:r>
        <w:tab/>
        <w:t>For each kilolitre of water supplied through</w:t>
      </w:r>
      <w:r>
        <w:br/>
        <w:t>a garden service connection in the suburb of</w:t>
      </w:r>
      <w:r>
        <w:br/>
        <w:t xml:space="preserve">Mulataga in the town of Karratha, the charge is </w:t>
      </w:r>
      <w:r>
        <w:tab/>
        <w:t xml:space="preserve"> 182.7 cents</w:t>
      </w:r>
    </w:p>
    <w:p>
      <w:pPr>
        <w:pStyle w:val="yHeading4"/>
      </w:pPr>
      <w:bookmarkStart w:id="505" w:name="_Toc10034250"/>
      <w:bookmarkStart w:id="506" w:name="_Toc10034410"/>
      <w:bookmarkStart w:id="507" w:name="_Toc10107730"/>
      <w:bookmarkStart w:id="508" w:name="_Toc10107890"/>
      <w:bookmarkStart w:id="509" w:name="_Toc10121197"/>
      <w:bookmarkStart w:id="510" w:name="_Toc10124582"/>
      <w:bookmarkStart w:id="511" w:name="_Toc10193867"/>
      <w:bookmarkStart w:id="512" w:name="_Toc10203654"/>
      <w:bookmarkStart w:id="513" w:name="_Toc10203810"/>
      <w:bookmarkStart w:id="514" w:name="_Toc10534964"/>
      <w:bookmarkStart w:id="515" w:name="_Toc10535837"/>
      <w:bookmarkStart w:id="516" w:name="_Toc10642248"/>
      <w:bookmarkStart w:id="517" w:name="_Toc11835735"/>
      <w:bookmarkStart w:id="518" w:name="_Toc12273812"/>
      <w:bookmarkStart w:id="519" w:name="_Toc12277640"/>
      <w:r>
        <w:t>Subdivision 3 — Other consumption charges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yFootnoteheading"/>
        <w:spacing w:after="120"/>
      </w:pPr>
      <w:bookmarkStart w:id="520" w:name="_Toc10193868"/>
      <w:bookmarkStart w:id="521" w:name="_Toc10642249"/>
      <w:r>
        <w:tab/>
        <w:t>[Heading inserted: Gazette 14 Jun 2019 p. 1952.]</w:t>
      </w:r>
    </w:p>
    <w:p>
      <w:pPr>
        <w:pStyle w:val="yHeading5"/>
      </w:pPr>
      <w:bookmarkStart w:id="522" w:name="_Toc12277641"/>
      <w:r>
        <w:rPr>
          <w:rStyle w:val="CharSClsNo"/>
        </w:rPr>
        <w:t>37</w:t>
      </w:r>
      <w:r>
        <w:t>.</w:t>
      </w:r>
      <w:r>
        <w:tab/>
        <w:t>Local government standpipes</w:t>
      </w:r>
      <w:bookmarkEnd w:id="520"/>
      <w:bookmarkEnd w:id="521"/>
      <w:bookmarkEnd w:id="522"/>
    </w:p>
    <w:p>
      <w:pPr>
        <w:pStyle w:val="yMiscellaneousBody"/>
        <w:tabs>
          <w:tab w:val="left" w:pos="284"/>
          <w:tab w:val="right" w:leader="dot" w:pos="6804"/>
        </w:tabs>
        <w:ind w:left="851" w:hanging="851"/>
      </w:pPr>
      <w:r>
        <w:tab/>
      </w:r>
      <w:r>
        <w:tab/>
        <w:t xml:space="preserve">For each kilolitre of water supplied through a </w:t>
      </w:r>
      <w:r>
        <w:br/>
        <w:t xml:space="preserve">local government standpipe, the charge is </w:t>
      </w:r>
      <w:r>
        <w:tab/>
        <w:t xml:space="preserve"> </w:t>
      </w:r>
      <w:r>
        <w:rPr>
          <w:szCs w:val="22"/>
        </w:rPr>
        <w:t>259.7</w:t>
      </w:r>
      <w:r>
        <w:t xml:space="preserve"> cents</w:t>
      </w:r>
    </w:p>
    <w:p>
      <w:pPr>
        <w:pStyle w:val="yHeading5"/>
      </w:pPr>
      <w:bookmarkStart w:id="523" w:name="_Toc10193869"/>
      <w:bookmarkStart w:id="524" w:name="_Toc10642250"/>
      <w:bookmarkStart w:id="525" w:name="_Toc12277642"/>
      <w:r>
        <w:rPr>
          <w:rStyle w:val="CharSClsNo"/>
        </w:rPr>
        <w:t>38</w:t>
      </w:r>
      <w:r>
        <w:t>.</w:t>
      </w:r>
      <w:r>
        <w:tab/>
        <w:t>Shipping</w:t>
      </w:r>
      <w:bookmarkEnd w:id="523"/>
      <w:bookmarkEnd w:id="524"/>
      <w:bookmarkEnd w:id="525"/>
    </w:p>
    <w:p>
      <w:pPr>
        <w:pStyle w:val="yMiscellaneousBody"/>
        <w:tabs>
          <w:tab w:val="left" w:pos="284"/>
          <w:tab w:val="right" w:leader="dot" w:pos="6804"/>
        </w:tabs>
        <w:ind w:left="851" w:hanging="851"/>
      </w:pPr>
      <w:r>
        <w:tab/>
      </w:r>
      <w:r>
        <w:tab/>
        <w:t xml:space="preserve">For each kilolitre of water supplied for the </w:t>
      </w:r>
      <w:r>
        <w:br/>
        <w:t xml:space="preserve">purpose of being taken on board any ship in </w:t>
      </w:r>
      <w:r>
        <w:br/>
        <w:t>port —</w:t>
      </w:r>
    </w:p>
    <w:p>
      <w:pPr>
        <w:pStyle w:val="yMiscellaneousBody"/>
        <w:tabs>
          <w:tab w:val="left" w:pos="992"/>
          <w:tab w:val="right" w:leader="dot" w:pos="6804"/>
        </w:tabs>
        <w:ind w:left="1559" w:hanging="1559"/>
      </w:pPr>
      <w:r>
        <w:tab/>
        <w:t>(a)</w:t>
      </w:r>
      <w:r>
        <w:tab/>
        <w:t xml:space="preserve">for a port in </w:t>
      </w:r>
      <w:r>
        <w:rPr>
          <w:szCs w:val="22"/>
        </w:rPr>
        <w:t>the</w:t>
      </w:r>
      <w:r>
        <w:t xml:space="preserve"> metropolitan area, </w:t>
      </w:r>
      <w:r>
        <w:br/>
        <w:t xml:space="preserve">the charge is </w:t>
      </w:r>
      <w:r>
        <w:tab/>
        <w:t xml:space="preserve"> </w:t>
      </w:r>
      <w:r>
        <w:rPr>
          <w:szCs w:val="22"/>
        </w:rPr>
        <w:t>251.8</w:t>
      </w:r>
      <w:r>
        <w:t xml:space="preserve"> cents</w:t>
      </w:r>
    </w:p>
    <w:p>
      <w:pPr>
        <w:pStyle w:val="yMiscellaneousBody"/>
        <w:tabs>
          <w:tab w:val="left" w:pos="992"/>
          <w:tab w:val="right" w:leader="dot" w:pos="6804"/>
        </w:tabs>
        <w:ind w:left="1559" w:hanging="1559"/>
        <w:rPr>
          <w:szCs w:val="22"/>
        </w:rPr>
      </w:pPr>
      <w:r>
        <w:rPr>
          <w:szCs w:val="22"/>
        </w:rPr>
        <w:tab/>
        <w:t>(b)</w:t>
      </w:r>
      <w:r>
        <w:rPr>
          <w:szCs w:val="22"/>
        </w:rPr>
        <w:tab/>
        <w:t>for a port in the non</w:t>
      </w:r>
      <w:r>
        <w:rPr>
          <w:szCs w:val="22"/>
        </w:rPr>
        <w:noBreakHyphen/>
        <w:t xml:space="preserve">metropolitan area, </w:t>
      </w:r>
      <w:r>
        <w:rPr>
          <w:szCs w:val="22"/>
        </w:rPr>
        <w:br/>
        <w:t xml:space="preserve">the charge is the charge applicable in </w:t>
      </w:r>
      <w:r>
        <w:rPr>
          <w:szCs w:val="22"/>
        </w:rPr>
        <w:br/>
        <w:t xml:space="preserve">the Table in item 24 according to the </w:t>
      </w:r>
      <w:r>
        <w:rPr>
          <w:szCs w:val="22"/>
        </w:rPr>
        <w:br/>
        <w:t>non</w:t>
      </w:r>
      <w:r>
        <w:rPr>
          <w:szCs w:val="22"/>
        </w:rPr>
        <w:noBreakHyphen/>
        <w:t xml:space="preserve">residential class of the town or area </w:t>
      </w:r>
      <w:r>
        <w:rPr>
          <w:szCs w:val="22"/>
        </w:rPr>
        <w:br/>
        <w:t>in which the port is located.</w:t>
      </w:r>
    </w:p>
    <w:p>
      <w:pPr>
        <w:pStyle w:val="yHeading5"/>
      </w:pPr>
      <w:bookmarkStart w:id="526" w:name="_Toc10193870"/>
      <w:bookmarkStart w:id="527" w:name="_Toc10642251"/>
      <w:bookmarkStart w:id="528" w:name="_Toc12277643"/>
      <w:r>
        <w:rPr>
          <w:rStyle w:val="CharSClsNo"/>
        </w:rPr>
        <w:t>39</w:t>
      </w:r>
      <w:r>
        <w:t>.</w:t>
      </w:r>
      <w:r>
        <w:tab/>
        <w:t>Stock</w:t>
      </w:r>
      <w:bookmarkEnd w:id="526"/>
      <w:bookmarkEnd w:id="527"/>
      <w:bookmarkEnd w:id="528"/>
    </w:p>
    <w:p>
      <w:pPr>
        <w:pStyle w:val="yMiscellaneousBody"/>
        <w:tabs>
          <w:tab w:val="left" w:pos="284"/>
          <w:tab w:val="right" w:leader="dot" w:pos="6804"/>
        </w:tabs>
        <w:ind w:left="851" w:hanging="851"/>
      </w:pPr>
      <w:r>
        <w:tab/>
      </w:r>
      <w:r>
        <w:tab/>
        <w:t xml:space="preserve">For each kilolitre of water supplied through a </w:t>
      </w:r>
      <w:r>
        <w:br/>
        <w:t xml:space="preserve">water supply connection solely for the purpose </w:t>
      </w:r>
      <w:r>
        <w:br/>
        <w:t xml:space="preserve">of watering stock, the charge is </w:t>
      </w:r>
      <w:r>
        <w:tab/>
        <w:t xml:space="preserve"> </w:t>
      </w:r>
      <w:r>
        <w:rPr>
          <w:szCs w:val="22"/>
        </w:rPr>
        <w:t>259.7</w:t>
      </w:r>
      <w:r>
        <w:t xml:space="preserve"> cents</w:t>
      </w:r>
    </w:p>
    <w:p>
      <w:pPr>
        <w:pStyle w:val="yHeading5"/>
      </w:pPr>
      <w:bookmarkStart w:id="529" w:name="_Toc10193871"/>
      <w:bookmarkStart w:id="530" w:name="_Toc10642252"/>
      <w:bookmarkStart w:id="531" w:name="_Toc12277644"/>
      <w:r>
        <w:rPr>
          <w:rStyle w:val="CharSClsNo"/>
        </w:rPr>
        <w:t>40</w:t>
      </w:r>
      <w:r>
        <w:t>.</w:t>
      </w:r>
      <w:r>
        <w:tab/>
        <w:t>Hydrant standpipes</w:t>
      </w:r>
      <w:bookmarkEnd w:id="529"/>
      <w:bookmarkEnd w:id="530"/>
      <w:bookmarkEnd w:id="531"/>
    </w:p>
    <w:p>
      <w:pPr>
        <w:pStyle w:val="yMiscellaneousBody"/>
        <w:tabs>
          <w:tab w:val="left" w:pos="284"/>
          <w:tab w:val="right" w:leader="dot" w:pos="6804"/>
        </w:tabs>
        <w:ind w:left="851" w:hanging="851"/>
      </w:pPr>
      <w:r>
        <w:tab/>
      </w:r>
      <w:r>
        <w:tab/>
        <w:t xml:space="preserve">For each kilolitre of water supplied through a </w:t>
      </w:r>
      <w:r>
        <w:br/>
        <w:t xml:space="preserve">hydrant standpipe, the charge is </w:t>
      </w:r>
      <w:r>
        <w:tab/>
        <w:t xml:space="preserve"> 251.8 cents</w:t>
      </w:r>
    </w:p>
    <w:p>
      <w:pPr>
        <w:pStyle w:val="yFootnotesection"/>
      </w:pPr>
      <w:bookmarkStart w:id="532" w:name="_Toc10034255"/>
      <w:bookmarkStart w:id="533" w:name="_Toc10034415"/>
      <w:bookmarkStart w:id="534" w:name="_Toc10107735"/>
      <w:bookmarkStart w:id="535" w:name="_Toc10107895"/>
      <w:bookmarkStart w:id="536" w:name="_Toc10121202"/>
      <w:bookmarkStart w:id="537" w:name="_Toc10124587"/>
      <w:bookmarkStart w:id="538" w:name="_Toc10193872"/>
      <w:bookmarkStart w:id="539" w:name="_Toc10203659"/>
      <w:bookmarkStart w:id="540" w:name="_Toc10203815"/>
      <w:bookmarkStart w:id="541" w:name="_Toc10534969"/>
      <w:bookmarkStart w:id="542" w:name="_Toc10535842"/>
      <w:bookmarkStart w:id="543" w:name="_Toc10642253"/>
      <w:r>
        <w:tab/>
        <w:t>[Division 2 inserted: Gazette 14 Jun 2019 p. 1942</w:t>
      </w:r>
      <w:r>
        <w:noBreakHyphen/>
        <w:t>52.]</w:t>
      </w:r>
    </w:p>
    <w:p>
      <w:pPr>
        <w:pStyle w:val="yScheduleHeading"/>
      </w:pPr>
      <w:bookmarkStart w:id="544" w:name="_Toc11835740"/>
      <w:bookmarkStart w:id="545" w:name="_Toc12273817"/>
      <w:bookmarkStart w:id="546" w:name="_Toc12277645"/>
      <w:r>
        <w:rPr>
          <w:rStyle w:val="CharSchNo"/>
        </w:rPr>
        <w:t>Schedule 4</w:t>
      </w:r>
      <w:r>
        <w:t> — </w:t>
      </w:r>
      <w:r>
        <w:rPr>
          <w:rStyle w:val="CharSchText"/>
        </w:rPr>
        <w:t>Sewerage charges for Water Corporation</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yShoulderClause"/>
      </w:pPr>
      <w:r>
        <w:t>[r. 39]</w:t>
      </w:r>
    </w:p>
    <w:p>
      <w:pPr>
        <w:pStyle w:val="yFootnoteheading"/>
        <w:spacing w:after="120"/>
      </w:pPr>
      <w:bookmarkStart w:id="547" w:name="_Toc10034256"/>
      <w:bookmarkStart w:id="548" w:name="_Toc10034416"/>
      <w:bookmarkStart w:id="549" w:name="_Toc10107736"/>
      <w:bookmarkStart w:id="550" w:name="_Toc10107896"/>
      <w:bookmarkStart w:id="551" w:name="_Toc10121203"/>
      <w:bookmarkStart w:id="552" w:name="_Toc10124588"/>
      <w:bookmarkStart w:id="553" w:name="_Toc10193873"/>
      <w:bookmarkStart w:id="554" w:name="_Toc10203660"/>
      <w:bookmarkStart w:id="555" w:name="_Toc10203816"/>
      <w:bookmarkStart w:id="556" w:name="_Toc10534970"/>
      <w:bookmarkStart w:id="557" w:name="_Toc10535843"/>
      <w:bookmarkStart w:id="558" w:name="_Toc10642254"/>
      <w:r>
        <w:tab/>
        <w:t>[Heading inserted: Gazette 14 Jun 2019 p. 1953.]</w:t>
      </w:r>
    </w:p>
    <w:p>
      <w:pPr>
        <w:pStyle w:val="yHeading3"/>
        <w:rPr>
          <w:rStyle w:val="CharSDivText"/>
        </w:rPr>
      </w:pPr>
      <w:bookmarkStart w:id="559" w:name="_Toc11835741"/>
      <w:bookmarkStart w:id="560" w:name="_Toc12273818"/>
      <w:bookmarkStart w:id="561" w:name="_Toc12277646"/>
      <w:r>
        <w:rPr>
          <w:rStyle w:val="CharSDivNo"/>
        </w:rPr>
        <w:t>Division 1</w:t>
      </w:r>
      <w:r>
        <w:t> — </w:t>
      </w:r>
      <w:r>
        <w:rPr>
          <w:rStyle w:val="CharSDivText"/>
        </w:rPr>
        <w:t>Service charges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yFootnoteheading"/>
        <w:spacing w:after="120"/>
      </w:pPr>
      <w:r>
        <w:tab/>
        <w:t>[Heading inserted: Gazette 14 Jun 2019 p. 1953.]</w:t>
      </w:r>
    </w:p>
    <w:p>
      <w:pPr>
        <w:pStyle w:val="yHeading5"/>
      </w:pPr>
      <w:bookmarkStart w:id="562" w:name="_Toc10193874"/>
      <w:bookmarkStart w:id="563" w:name="_Toc10642255"/>
      <w:bookmarkStart w:id="564" w:name="_Toc12277647"/>
      <w:r>
        <w:rPr>
          <w:rStyle w:val="CharSClsNo"/>
        </w:rPr>
        <w:t>1</w:t>
      </w:r>
      <w:r>
        <w:t>.</w:t>
      </w:r>
      <w:r>
        <w:tab/>
        <w:t>Service charges for 2019/20 year and subsequent years</w:t>
      </w:r>
      <w:bookmarkEnd w:id="562"/>
      <w:bookmarkEnd w:id="563"/>
      <w:bookmarkEnd w:id="564"/>
    </w:p>
    <w:p>
      <w:pPr>
        <w:pStyle w:val="yMiscellaneousBody"/>
        <w:tabs>
          <w:tab w:val="left" w:pos="851"/>
          <w:tab w:val="right" w:leader="dot" w:pos="6804"/>
        </w:tabs>
        <w:ind w:left="851" w:hanging="851"/>
      </w:pPr>
      <w:r>
        <w:tab/>
        <w:t xml:space="preserve">The charges set out in this Division apply for sewerage services provided in the </w:t>
      </w:r>
      <w:r>
        <w:rPr>
          <w:szCs w:val="22"/>
        </w:rPr>
        <w:t>2019/20</w:t>
      </w:r>
      <w:r>
        <w:t> financial year and each subsequent year.</w:t>
      </w:r>
    </w:p>
    <w:p>
      <w:pPr>
        <w:pStyle w:val="yHeading5"/>
      </w:pPr>
      <w:bookmarkStart w:id="565" w:name="_Toc10193875"/>
      <w:bookmarkStart w:id="566" w:name="_Toc10642256"/>
      <w:bookmarkStart w:id="567" w:name="_Toc12277648"/>
      <w:r>
        <w:rPr>
          <w:rStyle w:val="CharSClsNo"/>
        </w:rPr>
        <w:t>2</w:t>
      </w:r>
      <w:r>
        <w:t>.</w:t>
      </w:r>
      <w:r>
        <w:tab/>
        <w:t>Metropolitan residential</w:t>
      </w:r>
      <w:bookmarkEnd w:id="565"/>
      <w:bookmarkEnd w:id="566"/>
      <w:bookmarkEnd w:id="567"/>
    </w:p>
    <w:p>
      <w:pPr>
        <w:pStyle w:val="yMiscellaneousBody"/>
        <w:tabs>
          <w:tab w:val="left" w:pos="284"/>
          <w:tab w:val="right" w:leader="dot" w:pos="6804"/>
        </w:tabs>
        <w:ind w:left="851" w:hanging="851"/>
      </w:pPr>
      <w:r>
        <w:tab/>
        <w:t>(1)</w:t>
      </w:r>
      <w:r>
        <w:tab/>
        <w:t xml:space="preserve">For each residential property in the </w:t>
      </w:r>
      <w:r>
        <w:br/>
        <w:t>metropolitan area that —</w:t>
      </w:r>
    </w:p>
    <w:p>
      <w:pPr>
        <w:pStyle w:val="yMiscellaneousBody"/>
        <w:tabs>
          <w:tab w:val="left" w:pos="992"/>
          <w:tab w:val="right" w:leader="dot" w:pos="6804"/>
        </w:tabs>
        <w:ind w:left="1559" w:hanging="1559"/>
        <w:rPr>
          <w:szCs w:val="22"/>
        </w:rPr>
      </w:pPr>
      <w:r>
        <w:rPr>
          <w:szCs w:val="22"/>
        </w:rPr>
        <w:tab/>
        <w:t>(a)</w:t>
      </w:r>
      <w:r>
        <w:rPr>
          <w:szCs w:val="22"/>
        </w:rPr>
        <w:tab/>
        <w:t>is not covered by item 4 or 5; and</w:t>
      </w:r>
    </w:p>
    <w:p>
      <w:pPr>
        <w:pStyle w:val="yMiscellaneousBody"/>
        <w:tabs>
          <w:tab w:val="left" w:pos="992"/>
          <w:tab w:val="right" w:leader="dot" w:pos="6804"/>
        </w:tabs>
        <w:ind w:left="1559" w:hanging="1559"/>
        <w:rPr>
          <w:szCs w:val="22"/>
        </w:rPr>
      </w:pPr>
      <w:r>
        <w:rPr>
          <w:szCs w:val="22"/>
        </w:rPr>
        <w:tab/>
        <w:t>(b)</w:t>
      </w:r>
      <w:r>
        <w:rPr>
          <w:szCs w:val="22"/>
        </w:rPr>
        <w:tab/>
        <w:t>is not a caravan park or a nursing home,</w:t>
      </w:r>
    </w:p>
    <w:p>
      <w:pPr>
        <w:pStyle w:val="yMiscellaneousBody"/>
        <w:tabs>
          <w:tab w:val="left" w:pos="284"/>
          <w:tab w:val="right" w:leader="dot" w:pos="6804"/>
        </w:tabs>
        <w:ind w:left="851" w:hanging="851"/>
      </w:pPr>
      <w:r>
        <w:tab/>
      </w:r>
      <w:r>
        <w:tab/>
        <w:t>the charge is —</w:t>
      </w:r>
    </w:p>
    <w:p>
      <w:pPr>
        <w:pStyle w:val="yMiscellaneousBody"/>
        <w:tabs>
          <w:tab w:val="left" w:pos="1134"/>
          <w:tab w:val="right" w:leader="dot" w:pos="6804"/>
        </w:tabs>
      </w:pPr>
      <w:r>
        <w:tab/>
        <w:t xml:space="preserve">up to $20 500 GRV </w:t>
      </w:r>
      <w:r>
        <w:tab/>
        <w:t xml:space="preserve"> </w:t>
      </w:r>
      <w:r>
        <w:rPr>
          <w:szCs w:val="22"/>
        </w:rPr>
        <w:t>4.410</w:t>
      </w:r>
      <w:r>
        <w:t xml:space="preserve"> cents/$</w:t>
      </w:r>
    </w:p>
    <w:p>
      <w:pPr>
        <w:pStyle w:val="yMiscellaneousBody"/>
        <w:tabs>
          <w:tab w:val="left" w:pos="284"/>
          <w:tab w:val="right" w:pos="6804"/>
        </w:tabs>
        <w:spacing w:before="0"/>
        <w:ind w:left="851" w:hanging="851"/>
      </w:pPr>
      <w:r>
        <w:tab/>
      </w:r>
      <w:r>
        <w:tab/>
      </w:r>
      <w:r>
        <w:tab/>
        <w:t>of GRV</w:t>
      </w:r>
    </w:p>
    <w:p>
      <w:pPr>
        <w:pStyle w:val="yMiscellaneousBody"/>
        <w:tabs>
          <w:tab w:val="left" w:pos="1134"/>
          <w:tab w:val="right" w:leader="dot" w:pos="6804"/>
        </w:tabs>
      </w:pPr>
      <w:r>
        <w:tab/>
        <w:t xml:space="preserve">over $20 500 GRV </w:t>
      </w:r>
      <w:r>
        <w:tab/>
        <w:t xml:space="preserve"> </w:t>
      </w:r>
      <w:r>
        <w:rPr>
          <w:szCs w:val="22"/>
        </w:rPr>
        <w:t>3.256</w:t>
      </w:r>
      <w:r>
        <w:t xml:space="preserve"> cents/$</w:t>
      </w:r>
    </w:p>
    <w:p>
      <w:pPr>
        <w:pStyle w:val="yMiscellaneousBody"/>
        <w:tabs>
          <w:tab w:val="left" w:pos="284"/>
          <w:tab w:val="right" w:pos="6804"/>
        </w:tabs>
        <w:spacing w:before="0"/>
        <w:ind w:left="851" w:hanging="851"/>
      </w:pPr>
      <w:r>
        <w:tab/>
      </w:r>
      <w:r>
        <w:tab/>
      </w:r>
      <w:r>
        <w:tab/>
        <w:t>of GRV</w:t>
      </w:r>
    </w:p>
    <w:p>
      <w:pPr>
        <w:pStyle w:val="yMiscellaneousBody"/>
        <w:tabs>
          <w:tab w:val="left" w:pos="284"/>
          <w:tab w:val="right" w:leader="dot" w:pos="6804"/>
        </w:tabs>
        <w:ind w:left="851" w:hanging="851"/>
        <w:rPr>
          <w:szCs w:val="22"/>
        </w:rPr>
      </w:pPr>
      <w:r>
        <w:tab/>
        <w:t>(2)</w:t>
      </w:r>
      <w:r>
        <w:tab/>
        <w:t xml:space="preserve">The minimum charge under this item is </w:t>
      </w:r>
      <w:r>
        <w:tab/>
        <w:t xml:space="preserve"> </w:t>
      </w:r>
      <w:r>
        <w:rPr>
          <w:szCs w:val="22"/>
        </w:rPr>
        <w:t>$439.10</w:t>
      </w:r>
    </w:p>
    <w:p>
      <w:pPr>
        <w:pStyle w:val="yHeading5"/>
      </w:pPr>
      <w:bookmarkStart w:id="568" w:name="_Toc10193876"/>
      <w:bookmarkStart w:id="569" w:name="_Toc10642257"/>
      <w:bookmarkStart w:id="570" w:name="_Toc12277649"/>
      <w:r>
        <w:rPr>
          <w:rStyle w:val="CharSClsNo"/>
        </w:rPr>
        <w:t>3</w:t>
      </w:r>
      <w:r>
        <w:t>.</w:t>
      </w:r>
      <w:r>
        <w:tab/>
        <w:t>Metropolitan vacant land</w:t>
      </w:r>
      <w:bookmarkEnd w:id="568"/>
      <w:bookmarkEnd w:id="569"/>
      <w:bookmarkEnd w:id="570"/>
    </w:p>
    <w:p>
      <w:pPr>
        <w:pStyle w:val="yMiscellaneousBody"/>
        <w:tabs>
          <w:tab w:val="left" w:pos="284"/>
          <w:tab w:val="right" w:leader="dot" w:pos="6804"/>
        </w:tabs>
        <w:ind w:left="851" w:hanging="851"/>
      </w:pPr>
      <w:r>
        <w:tab/>
        <w:t>(1)</w:t>
      </w:r>
      <w:r>
        <w:tab/>
        <w:t xml:space="preserve">For land in the metropolitan area that </w:t>
      </w:r>
      <w:r>
        <w:br/>
        <w:t xml:space="preserve">is classified as vacant land, the charge is </w:t>
      </w:r>
      <w:r>
        <w:tab/>
        <w:t xml:space="preserve"> 2.554 cents/$</w:t>
      </w:r>
    </w:p>
    <w:p>
      <w:pPr>
        <w:pStyle w:val="yMiscellaneousBody"/>
        <w:tabs>
          <w:tab w:val="left" w:pos="284"/>
          <w:tab w:val="right" w:pos="6804"/>
        </w:tabs>
        <w:spacing w:before="0"/>
        <w:ind w:left="851" w:hanging="851"/>
      </w:pPr>
      <w:r>
        <w:tab/>
      </w:r>
      <w:r>
        <w:tab/>
      </w:r>
      <w:r>
        <w:tab/>
        <w:t>of GRV</w:t>
      </w:r>
    </w:p>
    <w:p>
      <w:pPr>
        <w:pStyle w:val="yMiscellaneousBody"/>
        <w:tabs>
          <w:tab w:val="left" w:pos="284"/>
          <w:tab w:val="right" w:leader="dot" w:pos="6804"/>
        </w:tabs>
        <w:ind w:left="851" w:hanging="851"/>
      </w:pPr>
      <w:r>
        <w:tab/>
        <w:t>(2)</w:t>
      </w:r>
      <w:r>
        <w:tab/>
        <w:t xml:space="preserve">The minimum charge under this item is </w:t>
      </w:r>
      <w:r>
        <w:tab/>
        <w:t xml:space="preserve"> </w:t>
      </w:r>
      <w:r>
        <w:rPr>
          <w:szCs w:val="22"/>
        </w:rPr>
        <w:t>$330.15</w:t>
      </w:r>
    </w:p>
    <w:p>
      <w:pPr>
        <w:pStyle w:val="yHeading5"/>
      </w:pPr>
      <w:bookmarkStart w:id="571" w:name="_Toc10193877"/>
      <w:bookmarkStart w:id="572" w:name="_Toc10642258"/>
      <w:bookmarkStart w:id="573" w:name="_Toc12277650"/>
      <w:r>
        <w:rPr>
          <w:rStyle w:val="CharSClsNo"/>
        </w:rPr>
        <w:t>4</w:t>
      </w:r>
      <w:r>
        <w:t>.</w:t>
      </w:r>
      <w:r>
        <w:tab/>
        <w:t>Metropolitan concessional</w:t>
      </w:r>
      <w:bookmarkEnd w:id="571"/>
      <w:bookmarkEnd w:id="572"/>
      <w:bookmarkEnd w:id="573"/>
    </w:p>
    <w:p>
      <w:pPr>
        <w:pStyle w:val="yMiscellaneousBody"/>
        <w:keepNext/>
        <w:tabs>
          <w:tab w:val="left" w:pos="284"/>
          <w:tab w:val="right" w:leader="dot" w:pos="6804"/>
        </w:tabs>
        <w:ind w:left="851" w:hanging="851"/>
      </w:pPr>
      <w:r>
        <w:tab/>
      </w:r>
      <w:r>
        <w:tab/>
        <w:t xml:space="preserve">For land in the metropolitan area that </w:t>
      </w:r>
      <w:r>
        <w:br/>
        <w:t>is classified as —</w:t>
      </w:r>
    </w:p>
    <w:p>
      <w:pPr>
        <w:pStyle w:val="yMiscellaneousBody"/>
        <w:tabs>
          <w:tab w:val="left" w:pos="992"/>
          <w:tab w:val="right" w:leader="dot" w:pos="6804"/>
        </w:tabs>
        <w:ind w:left="1559" w:hanging="1559"/>
        <w:rPr>
          <w:szCs w:val="22"/>
        </w:rPr>
      </w:pPr>
      <w:r>
        <w:rPr>
          <w:szCs w:val="22"/>
        </w:rPr>
        <w:tab/>
        <w:t>(a)</w:t>
      </w:r>
      <w:r>
        <w:rPr>
          <w:szCs w:val="22"/>
        </w:rPr>
        <w:tab/>
        <w:t>aged home; or</w:t>
      </w:r>
    </w:p>
    <w:p>
      <w:pPr>
        <w:pStyle w:val="yMiscellaneousBody"/>
        <w:tabs>
          <w:tab w:val="left" w:pos="992"/>
          <w:tab w:val="right" w:leader="dot" w:pos="6804"/>
        </w:tabs>
        <w:ind w:left="1559" w:hanging="1559"/>
        <w:rPr>
          <w:szCs w:val="22"/>
        </w:rPr>
      </w:pPr>
      <w:r>
        <w:rPr>
          <w:szCs w:val="22"/>
        </w:rPr>
        <w:tab/>
        <w:t>(b)</w:t>
      </w:r>
      <w:r>
        <w:rPr>
          <w:szCs w:val="22"/>
        </w:rPr>
        <w:tab/>
        <w:t xml:space="preserve">charitable purposes or community </w:t>
      </w:r>
      <w:r>
        <w:rPr>
          <w:szCs w:val="22"/>
        </w:rPr>
        <w:br/>
        <w:t>purpose,</w:t>
      </w:r>
    </w:p>
    <w:p>
      <w:pPr>
        <w:pStyle w:val="yMiscellaneousBody"/>
        <w:tabs>
          <w:tab w:val="left" w:pos="284"/>
          <w:tab w:val="right" w:leader="dot" w:pos="6804"/>
        </w:tabs>
        <w:ind w:left="851" w:hanging="851"/>
      </w:pPr>
      <w:r>
        <w:tab/>
      </w: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tcPr>
          <w:p>
            <w:pPr>
              <w:pStyle w:val="yTableNAm"/>
              <w:jc w:val="center"/>
              <w:rPr>
                <w:b/>
              </w:rPr>
            </w:pPr>
          </w:p>
        </w:tc>
        <w:tc>
          <w:tcPr>
            <w:tcW w:w="1343" w:type="dxa"/>
            <w:tcBorders>
              <w:top w:val="single" w:sz="4" w:space="0" w:color="auto"/>
            </w:tcBorders>
          </w:tcPr>
          <w:p>
            <w:pPr>
              <w:pStyle w:val="yTableNAm"/>
              <w:jc w:val="center"/>
              <w:rPr>
                <w:b/>
              </w:rPr>
            </w:pPr>
            <w:r>
              <w:rPr>
                <w:b/>
              </w:rPr>
              <w:t>Charge</w:t>
            </w:r>
          </w:p>
        </w:tc>
        <w:tc>
          <w:tcPr>
            <w:tcW w:w="2125" w:type="dxa"/>
            <w:gridSpan w:val="2"/>
            <w:tcBorders>
              <w:top w:val="single" w:sz="4" w:space="0" w:color="auto"/>
              <w:bottom w:val="single" w:sz="4" w:space="0" w:color="auto"/>
            </w:tcBorders>
          </w:tcPr>
          <w:p>
            <w:pPr>
              <w:pStyle w:val="yTableNAm"/>
              <w:jc w:val="center"/>
              <w:rPr>
                <w:b/>
              </w:rPr>
            </w:pPr>
            <w:r>
              <w:rPr>
                <w:b/>
              </w:rPr>
              <w:t>Discount %</w:t>
            </w:r>
          </w:p>
        </w:tc>
      </w:tr>
      <w:tr>
        <w:trPr>
          <w:cantSplit/>
          <w:tblHeader/>
          <w:jc w:val="center"/>
        </w:trPr>
        <w:tc>
          <w:tcPr>
            <w:tcW w:w="1558" w:type="dxa"/>
            <w:tcBorders>
              <w:bottom w:val="single" w:sz="4" w:space="0" w:color="auto"/>
            </w:tcBorders>
          </w:tcPr>
          <w:p>
            <w:pPr>
              <w:pStyle w:val="yTableNAm"/>
              <w:jc w:val="center"/>
              <w:rPr>
                <w:b/>
              </w:rPr>
            </w:pPr>
          </w:p>
        </w:tc>
        <w:tc>
          <w:tcPr>
            <w:tcW w:w="1343" w:type="dxa"/>
            <w:tcBorders>
              <w:bottom w:val="single" w:sz="4" w:space="0" w:color="auto"/>
            </w:tcBorders>
          </w:tcPr>
          <w:p>
            <w:pPr>
              <w:pStyle w:val="yTableNAm"/>
              <w:jc w:val="center"/>
              <w:rPr>
                <w:b/>
              </w:rPr>
            </w:pPr>
          </w:p>
        </w:tc>
        <w:tc>
          <w:tcPr>
            <w:tcW w:w="1133" w:type="dxa"/>
            <w:tcBorders>
              <w:top w:val="single" w:sz="4" w:space="0" w:color="auto"/>
              <w:bottom w:val="single" w:sz="4" w:space="0" w:color="auto"/>
            </w:tcBorders>
          </w:tcPr>
          <w:p>
            <w:pPr>
              <w:pStyle w:val="yTableNAm"/>
              <w:jc w:val="center"/>
              <w:rPr>
                <w:b/>
              </w:rPr>
            </w:pPr>
            <w:r>
              <w:rPr>
                <w:b/>
              </w:rPr>
              <w:t>par. (a)</w:t>
            </w:r>
          </w:p>
        </w:tc>
        <w:tc>
          <w:tcPr>
            <w:tcW w:w="992" w:type="dxa"/>
            <w:tcBorders>
              <w:top w:val="single" w:sz="4" w:space="0" w:color="auto"/>
              <w:bottom w:val="single" w:sz="4" w:space="0" w:color="auto"/>
            </w:tcBorders>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1343" w:type="dxa"/>
            <w:vAlign w:val="bottom"/>
          </w:tcPr>
          <w:p>
            <w:pPr>
              <w:pStyle w:val="yTableNAm"/>
            </w:pPr>
            <w:r>
              <w:t>$1 021.18</w:t>
            </w:r>
          </w:p>
        </w:tc>
        <w:tc>
          <w:tcPr>
            <w:tcW w:w="1133" w:type="dxa"/>
          </w:tcPr>
          <w:p>
            <w:pPr>
              <w:pStyle w:val="yTableNAm"/>
            </w:pPr>
            <w:r>
              <w:t>73.133</w:t>
            </w:r>
          </w:p>
        </w:tc>
        <w:tc>
          <w:tcPr>
            <w:tcW w:w="992" w:type="dxa"/>
          </w:tcPr>
          <w:p>
            <w:pPr>
              <w:pStyle w:val="yTableNAm"/>
            </w:pPr>
            <w:r>
              <w:t>73.133</w:t>
            </w:r>
          </w:p>
        </w:tc>
      </w:tr>
      <w:tr>
        <w:trPr>
          <w:cantSplit/>
          <w:jc w:val="center"/>
        </w:trPr>
        <w:tc>
          <w:tcPr>
            <w:tcW w:w="1558" w:type="dxa"/>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vAlign w:val="bottom"/>
          </w:tcPr>
          <w:p>
            <w:pPr>
              <w:pStyle w:val="yTableNAm"/>
            </w:pPr>
            <w:r>
              <w:t>$437.12</w:t>
            </w:r>
          </w:p>
        </w:tc>
        <w:tc>
          <w:tcPr>
            <w:tcW w:w="1133" w:type="dxa"/>
          </w:tcPr>
          <w:p>
            <w:pPr>
              <w:pStyle w:val="yTableNAm"/>
            </w:pPr>
            <w:r>
              <w:t>72.385</w:t>
            </w:r>
          </w:p>
        </w:tc>
        <w:tc>
          <w:tcPr>
            <w:tcW w:w="992" w:type="dxa"/>
          </w:tcPr>
          <w:p>
            <w:pPr>
              <w:pStyle w:val="yTableNAm"/>
            </w:pPr>
            <w:r>
              <w:t>37.235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vAlign w:val="bottom"/>
          </w:tcPr>
          <w:p>
            <w:pPr>
              <w:pStyle w:val="yTableNAm"/>
            </w:pPr>
            <w:r>
              <w:t>$583.77</w:t>
            </w:r>
          </w:p>
        </w:tc>
        <w:tc>
          <w:tcPr>
            <w:tcW w:w="1133" w:type="dxa"/>
          </w:tcPr>
          <w:p>
            <w:pPr>
              <w:pStyle w:val="yTableNAm"/>
            </w:pPr>
            <w:r>
              <w:t>79.322</w:t>
            </w:r>
          </w:p>
        </w:tc>
        <w:tc>
          <w:tcPr>
            <w:tcW w:w="992" w:type="dxa"/>
          </w:tcPr>
          <w:p>
            <w:pPr>
              <w:pStyle w:val="yTableNAm"/>
            </w:pPr>
            <w:r>
              <w:t>53.002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rPr>
                <w:vertAlign w:val="superscript"/>
              </w:rPr>
              <w:tab/>
            </w:r>
            <w:r>
              <w:t>and subsequent fixtures</w:t>
            </w:r>
          </w:p>
        </w:tc>
        <w:tc>
          <w:tcPr>
            <w:tcW w:w="1343" w:type="dxa"/>
            <w:tcBorders>
              <w:bottom w:val="single" w:sz="4" w:space="0" w:color="auto"/>
            </w:tcBorders>
          </w:tcPr>
          <w:p>
            <w:pPr>
              <w:pStyle w:val="yTableNAm"/>
            </w:pPr>
            <w:r>
              <w:t>$634.81</w:t>
            </w:r>
          </w:p>
        </w:tc>
        <w:tc>
          <w:tcPr>
            <w:tcW w:w="1133" w:type="dxa"/>
            <w:tcBorders>
              <w:bottom w:val="single" w:sz="4" w:space="0" w:color="auto"/>
            </w:tcBorders>
          </w:tcPr>
          <w:p>
            <w:pPr>
              <w:pStyle w:val="yTableNAm"/>
            </w:pPr>
            <w:r>
              <w:t>80.985</w:t>
            </w:r>
          </w:p>
        </w:tc>
        <w:tc>
          <w:tcPr>
            <w:tcW w:w="992" w:type="dxa"/>
            <w:tcBorders>
              <w:bottom w:val="single" w:sz="4" w:space="0" w:color="auto"/>
            </w:tcBorders>
          </w:tcPr>
          <w:p>
            <w:pPr>
              <w:pStyle w:val="yTableNAm"/>
            </w:pPr>
            <w:r>
              <w:t>56.781</w:t>
            </w:r>
          </w:p>
        </w:tc>
      </w:tr>
    </w:tbl>
    <w:p>
      <w:pPr>
        <w:pStyle w:val="yHeading5"/>
      </w:pPr>
      <w:bookmarkStart w:id="574" w:name="_Toc10193878"/>
      <w:bookmarkStart w:id="575" w:name="_Toc10642259"/>
      <w:bookmarkStart w:id="576" w:name="_Toc12277651"/>
      <w:r>
        <w:rPr>
          <w:rStyle w:val="CharSClsNo"/>
        </w:rPr>
        <w:t>5</w:t>
      </w:r>
      <w:r>
        <w:t>.</w:t>
      </w:r>
      <w:r>
        <w:tab/>
        <w:t>Strata</w:t>
      </w:r>
      <w:r>
        <w:noBreakHyphen/>
        <w:t>titled caravan bay</w:t>
      </w:r>
      <w:bookmarkEnd w:id="574"/>
      <w:bookmarkEnd w:id="575"/>
      <w:bookmarkEnd w:id="576"/>
    </w:p>
    <w:p>
      <w:pPr>
        <w:pStyle w:val="yMiscellaneousBody"/>
        <w:tabs>
          <w:tab w:val="left" w:pos="284"/>
          <w:tab w:val="right" w:leader="dot" w:pos="6804"/>
        </w:tabs>
        <w:ind w:left="851" w:hanging="851"/>
      </w:pPr>
      <w:r>
        <w:rPr>
          <w:szCs w:val="22"/>
        </w:rPr>
        <w:tab/>
      </w:r>
      <w:r>
        <w:rPr>
          <w:szCs w:val="22"/>
        </w:rPr>
        <w:tab/>
        <w:t>For a strata</w:t>
      </w:r>
      <w:r>
        <w:rPr>
          <w:szCs w:val="22"/>
        </w:rPr>
        <w:noBreakHyphen/>
        <w:t xml:space="preserve">titled </w:t>
      </w:r>
      <w:r>
        <w:t>caravan</w:t>
      </w:r>
      <w:r>
        <w:rPr>
          <w:szCs w:val="22"/>
        </w:rPr>
        <w:t xml:space="preserve"> bay or </w:t>
      </w:r>
      <w:r>
        <w:rPr>
          <w:szCs w:val="22"/>
        </w:rPr>
        <w:br/>
        <w:t xml:space="preserve">a park home, the charge is </w:t>
      </w:r>
      <w:r>
        <w:rPr>
          <w:szCs w:val="22"/>
        </w:rPr>
        <w:tab/>
        <w:t xml:space="preserve"> $337.18</w:t>
      </w:r>
    </w:p>
    <w:p>
      <w:pPr>
        <w:pStyle w:val="yHeading5"/>
      </w:pPr>
      <w:bookmarkStart w:id="577" w:name="_Toc10193879"/>
      <w:bookmarkStart w:id="578" w:name="_Toc10642260"/>
      <w:bookmarkStart w:id="579" w:name="_Toc12277652"/>
      <w:r>
        <w:rPr>
          <w:rStyle w:val="CharSClsNo"/>
        </w:rPr>
        <w:t>6</w:t>
      </w:r>
      <w:r>
        <w:t>.</w:t>
      </w:r>
      <w:r>
        <w:tab/>
        <w:t>Strata</w:t>
      </w:r>
      <w:r>
        <w:noBreakHyphen/>
        <w:t>titled storage unit or strata</w:t>
      </w:r>
      <w:r>
        <w:noBreakHyphen/>
        <w:t>titled parking bay</w:t>
      </w:r>
      <w:bookmarkEnd w:id="577"/>
      <w:bookmarkEnd w:id="578"/>
      <w:bookmarkEnd w:id="579"/>
    </w:p>
    <w:p>
      <w:pPr>
        <w:pStyle w:val="yMiscellaneousBody"/>
        <w:tabs>
          <w:tab w:val="left" w:pos="284"/>
          <w:tab w:val="right" w:leader="dot" w:pos="6804"/>
        </w:tabs>
        <w:ind w:left="851" w:hanging="851"/>
      </w:pPr>
      <w:r>
        <w:rPr>
          <w:szCs w:val="22"/>
        </w:rPr>
        <w:tab/>
      </w:r>
      <w:r>
        <w:rPr>
          <w:szCs w:val="22"/>
        </w:rPr>
        <w:tab/>
        <w:t xml:space="preserve">For a lot that is used for storage </w:t>
      </w:r>
      <w:r>
        <w:rPr>
          <w:szCs w:val="22"/>
        </w:rPr>
        <w:br/>
        <w:t xml:space="preserve">purposes or as a parking bay, the </w:t>
      </w:r>
      <w:r>
        <w:t>charge</w:t>
      </w:r>
      <w:r>
        <w:rPr>
          <w:szCs w:val="22"/>
        </w:rPr>
        <w:t xml:space="preserve"> is </w:t>
      </w:r>
      <w:r>
        <w:rPr>
          <w:szCs w:val="22"/>
        </w:rPr>
        <w:tab/>
        <w:t xml:space="preserve"> $101.21</w:t>
      </w:r>
    </w:p>
    <w:p>
      <w:pPr>
        <w:pStyle w:val="yHeading5"/>
      </w:pPr>
      <w:bookmarkStart w:id="580" w:name="_Toc10193880"/>
      <w:bookmarkStart w:id="581" w:name="_Toc10642261"/>
      <w:bookmarkStart w:id="582" w:name="_Toc12277653"/>
      <w:r>
        <w:rPr>
          <w:rStyle w:val="CharSClsNo"/>
        </w:rPr>
        <w:t>7</w:t>
      </w:r>
      <w:r>
        <w:t>.</w:t>
      </w:r>
      <w:r>
        <w:tab/>
        <w:t>Land from which trade waste is discharged into sewer</w:t>
      </w:r>
      <w:bookmarkEnd w:id="580"/>
      <w:bookmarkEnd w:id="581"/>
      <w:bookmarkEnd w:id="582"/>
    </w:p>
    <w:p>
      <w:pPr>
        <w:pStyle w:val="yMiscellaneousBody"/>
        <w:tabs>
          <w:tab w:val="left" w:pos="284"/>
          <w:tab w:val="right" w:leader="dot" w:pos="6804"/>
        </w:tabs>
        <w:ind w:left="851" w:hanging="851"/>
      </w:pPr>
      <w:r>
        <w:tab/>
        <w:t>(1)</w:t>
      </w:r>
      <w:r>
        <w:tab/>
        <w:t xml:space="preserve">For land from which there is a </w:t>
      </w:r>
      <w:r>
        <w:br/>
        <w:t xml:space="preserve">discharge of trade waste into a sewer of the </w:t>
      </w:r>
      <w:r>
        <w:br/>
        <w:t xml:space="preserve">Water Corporation under an approval of the </w:t>
      </w:r>
      <w:r>
        <w:br/>
        <w:t xml:space="preserve">Water Corporation, the charge, for the period </w:t>
      </w:r>
      <w:r>
        <w:br/>
        <w:t xml:space="preserve">for which the approval has effect, is </w:t>
      </w:r>
      <w:r>
        <w:tab/>
        <w:t xml:space="preserve"> </w:t>
      </w:r>
      <w:r>
        <w:rPr>
          <w:szCs w:val="22"/>
        </w:rPr>
        <w:t>$237.10</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583" w:name="_Toc10193881"/>
      <w:bookmarkStart w:id="584" w:name="_Toc10642262"/>
      <w:bookmarkStart w:id="585" w:name="_Toc12277654"/>
      <w:r>
        <w:rPr>
          <w:rStyle w:val="CharSClsNo"/>
        </w:rPr>
        <w:t>8</w:t>
      </w:r>
      <w:r>
        <w:t>.</w:t>
      </w:r>
      <w:r>
        <w:tab/>
        <w:t>Land from which trade waste is discharged into sewer through grease arrestor</w:t>
      </w:r>
      <w:bookmarkEnd w:id="583"/>
      <w:bookmarkEnd w:id="584"/>
      <w:bookmarkEnd w:id="585"/>
    </w:p>
    <w:p>
      <w:pPr>
        <w:pStyle w:val="yMiscellaneousBody"/>
        <w:tabs>
          <w:tab w:val="left" w:pos="284"/>
          <w:tab w:val="right" w:leader="dot" w:pos="6804"/>
        </w:tabs>
        <w:ind w:left="851" w:hanging="851"/>
      </w:pPr>
      <w:r>
        <w:tab/>
        <w:t>(1)</w:t>
      </w:r>
      <w:r>
        <w:tab/>
        <w:t>In this item —</w:t>
      </w:r>
    </w:p>
    <w:p>
      <w:pPr>
        <w:pStyle w:val="yMiscellaneousBody"/>
        <w:tabs>
          <w:tab w:val="left" w:pos="284"/>
          <w:tab w:val="right" w:leader="dot" w:pos="6804"/>
        </w:tabs>
        <w:ind w:left="851" w:hanging="851"/>
      </w:pPr>
      <w:r>
        <w:tab/>
      </w:r>
      <w:r>
        <w:tab/>
      </w:r>
      <w:r>
        <w:rPr>
          <w:rStyle w:val="CharDefText"/>
        </w:rPr>
        <w:t>shared grease arrestor</w:t>
      </w:r>
      <w:r>
        <w:t xml:space="preserve"> means a grease arrestor through which trade waste is </w:t>
      </w:r>
      <w:r>
        <w:rPr>
          <w:szCs w:val="22"/>
        </w:rPr>
        <w:t>discharged</w:t>
      </w:r>
      <w:r>
        <w:t xml:space="preserve"> into a sewer of the Water Corporation under an approval of the Water Corporation from the land the subject of the charge and from other land.</w:t>
      </w:r>
    </w:p>
    <w:p>
      <w:pPr>
        <w:pStyle w:val="yMiscellaneousBody"/>
        <w:tabs>
          <w:tab w:val="left" w:pos="284"/>
          <w:tab w:val="right" w:leader="dot" w:pos="6804"/>
        </w:tabs>
        <w:ind w:left="851" w:hanging="851"/>
      </w:pPr>
      <w:r>
        <w:tab/>
        <w:t>(2)</w:t>
      </w:r>
      <w:r>
        <w:tab/>
        <w:t xml:space="preserve">For land from which there is a </w:t>
      </w:r>
      <w:r>
        <w:br/>
        <w:t xml:space="preserve">discharge of trade waste into a sewer of the </w:t>
      </w:r>
      <w:r>
        <w:br/>
      </w:r>
      <w:r>
        <w:rPr>
          <w:szCs w:val="22"/>
        </w:rPr>
        <w:t>Water</w:t>
      </w:r>
      <w:r>
        <w:t xml:space="preserve"> Corporation through one or more grease </w:t>
      </w:r>
      <w:r>
        <w:br/>
        <w:t xml:space="preserve">arrestors under an approval of the Water </w:t>
      </w:r>
      <w:r>
        <w:br/>
        <w:t xml:space="preserve">Corporation, the charge, for the period for </w:t>
      </w:r>
      <w:r>
        <w:br/>
        <w:t>which the approval has effect, is —</w:t>
      </w:r>
    </w:p>
    <w:p>
      <w:pPr>
        <w:pStyle w:val="yMiscellaneousBody"/>
        <w:tabs>
          <w:tab w:val="left" w:pos="992"/>
          <w:tab w:val="right" w:leader="dot" w:pos="6804"/>
        </w:tabs>
        <w:ind w:left="1559" w:hanging="1559"/>
      </w:pPr>
      <w:r>
        <w:tab/>
        <w:t>(a)</w:t>
      </w:r>
      <w:r>
        <w:tab/>
        <w:t xml:space="preserve">for each </w:t>
      </w:r>
      <w:r>
        <w:rPr>
          <w:szCs w:val="22"/>
        </w:rPr>
        <w:t>grease</w:t>
      </w:r>
      <w:r>
        <w:t xml:space="preserve"> arrestor other </w:t>
      </w:r>
      <w:r>
        <w:br/>
        <w:t xml:space="preserve">than a shared grease arrestor </w:t>
      </w:r>
      <w:r>
        <w:tab/>
        <w:t xml:space="preserve"> $104.16</w:t>
      </w:r>
    </w:p>
    <w:p>
      <w:pPr>
        <w:pStyle w:val="yMiscellaneousBody"/>
        <w:tabs>
          <w:tab w:val="left" w:pos="992"/>
          <w:tab w:val="right" w:leader="dot" w:pos="6804"/>
        </w:tabs>
        <w:ind w:left="1559" w:hanging="1559"/>
      </w:pPr>
      <w:r>
        <w:tab/>
        <w:t>(b)</w:t>
      </w:r>
      <w:r>
        <w:tab/>
        <w:t>for each shared grease</w:t>
      </w:r>
      <w:r>
        <w:br/>
        <w:t xml:space="preserve">arrestor </w:t>
      </w:r>
      <w:r>
        <w:tab/>
        <w:t xml:space="preserve"> $56.90</w:t>
      </w:r>
    </w:p>
    <w:p>
      <w:pPr>
        <w:pStyle w:val="yMiscellaneousBody"/>
        <w:tabs>
          <w:tab w:val="left" w:pos="284"/>
          <w:tab w:val="right" w:leader="dot" w:pos="6804"/>
        </w:tabs>
        <w:ind w:left="851" w:hanging="851"/>
      </w:pPr>
      <w:r>
        <w:tab/>
        <w:t>(3)</w:t>
      </w:r>
      <w:r>
        <w:tab/>
        <w:t xml:space="preserve">The charge under this item is in addition to any </w:t>
      </w:r>
      <w:r>
        <w:br/>
        <w:t xml:space="preserve">other charge applicable to the land under this </w:t>
      </w:r>
      <w:r>
        <w:br/>
        <w:t>Schedule.</w:t>
      </w:r>
    </w:p>
    <w:p>
      <w:pPr>
        <w:pStyle w:val="yHeading5"/>
      </w:pPr>
      <w:bookmarkStart w:id="586" w:name="_Toc10193882"/>
      <w:bookmarkStart w:id="587" w:name="_Toc10642263"/>
      <w:bookmarkStart w:id="588" w:name="_Toc12277655"/>
      <w:r>
        <w:rPr>
          <w:rStyle w:val="CharSClsNo"/>
        </w:rPr>
        <w:t>9</w:t>
      </w:r>
      <w:r>
        <w:t>.</w:t>
      </w:r>
      <w:r>
        <w:tab/>
        <w:t>Trade waste discharged from open area</w:t>
      </w:r>
      <w:bookmarkEnd w:id="586"/>
      <w:bookmarkEnd w:id="587"/>
      <w:bookmarkEnd w:id="588"/>
    </w:p>
    <w:p>
      <w:pPr>
        <w:pStyle w:val="yMiscellaneousBody"/>
        <w:tabs>
          <w:tab w:val="left" w:pos="284"/>
          <w:tab w:val="right" w:leader="dot" w:pos="6804"/>
        </w:tabs>
        <w:ind w:left="851" w:hanging="851"/>
      </w:pPr>
      <w:r>
        <w:tab/>
        <w:t>(1)</w:t>
      </w:r>
      <w:r>
        <w:tab/>
        <w:t xml:space="preserve">For land from which there is a </w:t>
      </w:r>
      <w:r>
        <w:br/>
        <w:t xml:space="preserve">discharge of trade waste from an open area </w:t>
      </w:r>
      <w:r>
        <w:br/>
        <w:t xml:space="preserve">under an approval of the Water Corporation, </w:t>
      </w:r>
      <w:r>
        <w:br/>
        <w:t xml:space="preserve">the charge, for the period for which the </w:t>
      </w:r>
      <w:r>
        <w:br/>
        <w:t xml:space="preserve">approval has effect, is </w:t>
      </w:r>
      <w:r>
        <w:tab/>
        <w:t xml:space="preserve"> </w:t>
      </w:r>
      <w:r>
        <w:rPr>
          <w:szCs w:val="22"/>
        </w:rPr>
        <w:t>$1.58</w:t>
      </w:r>
      <w:r>
        <w:t>/m</w:t>
      </w:r>
      <w:r>
        <w:rPr>
          <w:vertAlign w:val="superscript"/>
        </w:rPr>
        <w:t>2</w:t>
      </w:r>
    </w:p>
    <w:p>
      <w:pPr>
        <w:pStyle w:val="yMiscellaneousBody"/>
        <w:spacing w:before="0"/>
        <w:jc w:val="right"/>
      </w:pPr>
      <w:r>
        <w:tab/>
        <w:t>of open area</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589" w:name="_Toc10193883"/>
      <w:bookmarkStart w:id="590" w:name="_Toc10642264"/>
      <w:bookmarkStart w:id="591" w:name="_Toc12277656"/>
      <w:r>
        <w:rPr>
          <w:rStyle w:val="CharSClsNo"/>
        </w:rPr>
        <w:t>10</w:t>
      </w:r>
      <w:r>
        <w:t>.</w:t>
      </w:r>
      <w:r>
        <w:tab/>
        <w:t>Non</w:t>
      </w:r>
      <w:r>
        <w:noBreakHyphen/>
        <w:t>metropolitan concessional</w:t>
      </w:r>
      <w:bookmarkEnd w:id="589"/>
      <w:bookmarkEnd w:id="590"/>
      <w:bookmarkEnd w:id="591"/>
    </w:p>
    <w:p>
      <w:pPr>
        <w:pStyle w:val="yMiscellaneousBody"/>
        <w:tabs>
          <w:tab w:val="left" w:pos="284"/>
          <w:tab w:val="right" w:leader="dot" w:pos="6804"/>
        </w:tabs>
        <w:ind w:left="851" w:hanging="851"/>
      </w:pPr>
      <w:r>
        <w:tab/>
      </w:r>
      <w:r>
        <w:tab/>
        <w:t>For land in the non</w:t>
      </w:r>
      <w:r>
        <w:noBreakHyphen/>
        <w:t xml:space="preserve">metropolitan area </w:t>
      </w:r>
      <w:r>
        <w:br/>
        <w:t>that is classified as —</w:t>
      </w:r>
    </w:p>
    <w:p>
      <w:pPr>
        <w:pStyle w:val="yMiscellaneousBody"/>
        <w:tabs>
          <w:tab w:val="left" w:pos="992"/>
          <w:tab w:val="right" w:leader="dot" w:pos="6804"/>
        </w:tabs>
        <w:ind w:left="1559" w:hanging="1559"/>
        <w:rPr>
          <w:szCs w:val="22"/>
        </w:rPr>
      </w:pPr>
      <w:r>
        <w:rPr>
          <w:szCs w:val="22"/>
        </w:rPr>
        <w:tab/>
        <w:t>(a)</w:t>
      </w:r>
      <w:r>
        <w:rPr>
          <w:szCs w:val="22"/>
        </w:rPr>
        <w:tab/>
      </w:r>
      <w:r>
        <w:t>community</w:t>
      </w:r>
      <w:r>
        <w:rPr>
          <w:szCs w:val="22"/>
        </w:rPr>
        <w:t xml:space="preserve"> residential; or</w:t>
      </w:r>
    </w:p>
    <w:p>
      <w:pPr>
        <w:pStyle w:val="yMiscellaneousBody"/>
        <w:tabs>
          <w:tab w:val="left" w:pos="992"/>
          <w:tab w:val="right" w:leader="dot" w:pos="6804"/>
        </w:tabs>
        <w:ind w:left="1559" w:hanging="1559"/>
        <w:rPr>
          <w:szCs w:val="22"/>
        </w:rPr>
      </w:pPr>
      <w:r>
        <w:rPr>
          <w:szCs w:val="22"/>
        </w:rPr>
        <w:tab/>
        <w:t>(b)</w:t>
      </w:r>
      <w:r>
        <w:rPr>
          <w:szCs w:val="22"/>
        </w:rPr>
        <w:tab/>
      </w:r>
      <w:r>
        <w:t>aged</w:t>
      </w:r>
      <w:r>
        <w:rPr>
          <w:szCs w:val="22"/>
        </w:rPr>
        <w:t xml:space="preserve"> </w:t>
      </w:r>
      <w:r>
        <w:t>home</w:t>
      </w:r>
      <w:r>
        <w:rPr>
          <w:szCs w:val="22"/>
        </w:rPr>
        <w:t xml:space="preserve">, charitable purposes, </w:t>
      </w:r>
      <w:r>
        <w:rPr>
          <w:szCs w:val="22"/>
        </w:rPr>
        <w:br/>
        <w:t xml:space="preserve">community purpose, institutional public </w:t>
      </w:r>
      <w:r>
        <w:rPr>
          <w:szCs w:val="22"/>
        </w:rPr>
        <w:br/>
        <w:t>or local government,</w:t>
      </w:r>
    </w:p>
    <w:p>
      <w:pPr>
        <w:pStyle w:val="yMiscellaneousBody"/>
        <w:tabs>
          <w:tab w:val="left" w:pos="284"/>
          <w:tab w:val="right" w:leader="dot" w:pos="6804"/>
        </w:tabs>
        <w:ind w:left="851" w:hanging="851"/>
      </w:pPr>
      <w:r>
        <w:tab/>
      </w: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tcPr>
          <w:p>
            <w:pPr>
              <w:pStyle w:val="yTableNAm"/>
              <w:jc w:val="center"/>
              <w:rPr>
                <w:b/>
              </w:rPr>
            </w:pPr>
          </w:p>
        </w:tc>
        <w:tc>
          <w:tcPr>
            <w:tcW w:w="1343" w:type="dxa"/>
            <w:tcBorders>
              <w:top w:val="single" w:sz="4" w:space="0" w:color="auto"/>
            </w:tcBorders>
          </w:tcPr>
          <w:p>
            <w:pPr>
              <w:pStyle w:val="yTableNAm"/>
              <w:jc w:val="center"/>
              <w:rPr>
                <w:b/>
              </w:rPr>
            </w:pPr>
            <w:r>
              <w:rPr>
                <w:b/>
              </w:rPr>
              <w:t>Charge</w:t>
            </w:r>
          </w:p>
        </w:tc>
        <w:tc>
          <w:tcPr>
            <w:tcW w:w="2125" w:type="dxa"/>
            <w:gridSpan w:val="2"/>
            <w:tcBorders>
              <w:top w:val="single" w:sz="4" w:space="0" w:color="auto"/>
              <w:bottom w:val="single" w:sz="4" w:space="0" w:color="auto"/>
            </w:tcBorders>
          </w:tcPr>
          <w:p>
            <w:pPr>
              <w:pStyle w:val="yTableNAm"/>
              <w:jc w:val="center"/>
              <w:rPr>
                <w:b/>
              </w:rPr>
            </w:pPr>
            <w:r>
              <w:rPr>
                <w:b/>
              </w:rPr>
              <w:t>Discount %</w:t>
            </w:r>
          </w:p>
        </w:tc>
      </w:tr>
      <w:tr>
        <w:trPr>
          <w:cantSplit/>
          <w:tblHeader/>
          <w:jc w:val="center"/>
        </w:trPr>
        <w:tc>
          <w:tcPr>
            <w:tcW w:w="1558" w:type="dxa"/>
            <w:tcBorders>
              <w:bottom w:val="single" w:sz="4" w:space="0" w:color="auto"/>
            </w:tcBorders>
          </w:tcPr>
          <w:p>
            <w:pPr>
              <w:pStyle w:val="yTableNAm"/>
              <w:jc w:val="center"/>
              <w:rPr>
                <w:b/>
              </w:rPr>
            </w:pPr>
          </w:p>
        </w:tc>
        <w:tc>
          <w:tcPr>
            <w:tcW w:w="1343" w:type="dxa"/>
            <w:tcBorders>
              <w:bottom w:val="single" w:sz="4" w:space="0" w:color="auto"/>
            </w:tcBorders>
          </w:tcPr>
          <w:p>
            <w:pPr>
              <w:pStyle w:val="yTableNAm"/>
              <w:jc w:val="center"/>
              <w:rPr>
                <w:b/>
              </w:rPr>
            </w:pPr>
          </w:p>
        </w:tc>
        <w:tc>
          <w:tcPr>
            <w:tcW w:w="1133" w:type="dxa"/>
            <w:tcBorders>
              <w:top w:val="single" w:sz="4" w:space="0" w:color="auto"/>
              <w:bottom w:val="single" w:sz="4" w:space="0" w:color="auto"/>
            </w:tcBorders>
          </w:tcPr>
          <w:p>
            <w:pPr>
              <w:pStyle w:val="yTableNAm"/>
              <w:jc w:val="center"/>
              <w:rPr>
                <w:b/>
              </w:rPr>
            </w:pPr>
            <w:r>
              <w:rPr>
                <w:b/>
              </w:rPr>
              <w:t>par. (a)</w:t>
            </w:r>
          </w:p>
        </w:tc>
        <w:tc>
          <w:tcPr>
            <w:tcW w:w="992" w:type="dxa"/>
            <w:tcBorders>
              <w:top w:val="single" w:sz="4" w:space="0" w:color="auto"/>
              <w:bottom w:val="single" w:sz="4" w:space="0" w:color="auto"/>
            </w:tcBorders>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tab/>
              <w:t>fixture</w:t>
            </w:r>
          </w:p>
        </w:tc>
        <w:tc>
          <w:tcPr>
            <w:tcW w:w="1343" w:type="dxa"/>
            <w:vAlign w:val="bottom"/>
          </w:tcPr>
          <w:p>
            <w:pPr>
              <w:pStyle w:val="yTableNAm"/>
            </w:pPr>
            <w:r>
              <w:t>$1 021.18</w:t>
            </w:r>
          </w:p>
        </w:tc>
        <w:tc>
          <w:tcPr>
            <w:tcW w:w="1133" w:type="dxa"/>
          </w:tcPr>
          <w:p>
            <w:pPr>
              <w:pStyle w:val="yTableNAm"/>
            </w:pPr>
            <w:r>
              <w:t>88.179</w:t>
            </w:r>
          </w:p>
        </w:tc>
        <w:tc>
          <w:tcPr>
            <w:tcW w:w="992" w:type="dxa"/>
          </w:tcPr>
          <w:p>
            <w:pPr>
              <w:pStyle w:val="yTableNAm"/>
            </w:pPr>
            <w:r>
              <w:t>73.133</w:t>
            </w:r>
          </w:p>
        </w:tc>
      </w:tr>
      <w:tr>
        <w:trPr>
          <w:cantSplit/>
          <w:jc w:val="center"/>
        </w:trPr>
        <w:tc>
          <w:tcPr>
            <w:tcW w:w="1558" w:type="dxa"/>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vAlign w:val="bottom"/>
          </w:tcPr>
          <w:p>
            <w:pPr>
              <w:pStyle w:val="yTableNAm"/>
            </w:pPr>
            <w:r>
              <w:t>$437.12</w:t>
            </w:r>
          </w:p>
        </w:tc>
        <w:tc>
          <w:tcPr>
            <w:tcW w:w="1133" w:type="dxa"/>
          </w:tcPr>
          <w:p>
            <w:pPr>
              <w:pStyle w:val="yTableNAm"/>
            </w:pPr>
            <w:r>
              <w:t>72.385</w:t>
            </w:r>
          </w:p>
        </w:tc>
        <w:tc>
          <w:tcPr>
            <w:tcW w:w="992" w:type="dxa"/>
          </w:tcPr>
          <w:p>
            <w:pPr>
              <w:pStyle w:val="yTableNAm"/>
            </w:pPr>
            <w:r>
              <w:t>72.385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vAlign w:val="bottom"/>
          </w:tcPr>
          <w:p>
            <w:pPr>
              <w:pStyle w:val="yTableNAm"/>
            </w:pPr>
            <w:r>
              <w:t>$583.77</w:t>
            </w:r>
          </w:p>
        </w:tc>
        <w:tc>
          <w:tcPr>
            <w:tcW w:w="1133" w:type="dxa"/>
          </w:tcPr>
          <w:p>
            <w:pPr>
              <w:pStyle w:val="yTableNAm"/>
            </w:pPr>
            <w:r>
              <w:t>79.322</w:t>
            </w:r>
          </w:p>
        </w:tc>
        <w:tc>
          <w:tcPr>
            <w:tcW w:w="992" w:type="dxa"/>
          </w:tcPr>
          <w:p>
            <w:pPr>
              <w:pStyle w:val="yTableNAm"/>
            </w:pPr>
            <w:r>
              <w:t>79.322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t xml:space="preserve"> </w:t>
            </w:r>
            <w:r>
              <w:tab/>
              <w:t>and subsequent fixtures</w:t>
            </w:r>
          </w:p>
        </w:tc>
        <w:tc>
          <w:tcPr>
            <w:tcW w:w="1343" w:type="dxa"/>
            <w:tcBorders>
              <w:bottom w:val="single" w:sz="4" w:space="0" w:color="auto"/>
            </w:tcBorders>
          </w:tcPr>
          <w:p>
            <w:pPr>
              <w:pStyle w:val="yTableNAm"/>
            </w:pPr>
            <w:r>
              <w:t>$634.81</w:t>
            </w:r>
          </w:p>
        </w:tc>
        <w:tc>
          <w:tcPr>
            <w:tcW w:w="1133" w:type="dxa"/>
            <w:tcBorders>
              <w:bottom w:val="single" w:sz="4" w:space="0" w:color="auto"/>
            </w:tcBorders>
          </w:tcPr>
          <w:p>
            <w:pPr>
              <w:pStyle w:val="yTableNAm"/>
            </w:pPr>
            <w:r>
              <w:t>80.985</w:t>
            </w:r>
          </w:p>
        </w:tc>
        <w:tc>
          <w:tcPr>
            <w:tcW w:w="992" w:type="dxa"/>
            <w:tcBorders>
              <w:bottom w:val="single" w:sz="4" w:space="0" w:color="auto"/>
            </w:tcBorders>
          </w:tcPr>
          <w:p>
            <w:pPr>
              <w:pStyle w:val="yTableNAm"/>
            </w:pPr>
            <w:r>
              <w:t>80.985</w:t>
            </w:r>
          </w:p>
        </w:tc>
      </w:tr>
    </w:tbl>
    <w:p>
      <w:pPr>
        <w:pStyle w:val="yHeading5"/>
      </w:pPr>
      <w:bookmarkStart w:id="592" w:name="_Toc10193884"/>
      <w:bookmarkStart w:id="593" w:name="_Toc10642265"/>
      <w:bookmarkStart w:id="594" w:name="_Toc12277657"/>
      <w:r>
        <w:rPr>
          <w:rStyle w:val="CharSClsNo"/>
        </w:rPr>
        <w:t>11</w:t>
      </w:r>
      <w:r>
        <w:t>.</w:t>
      </w:r>
      <w:r>
        <w:tab/>
        <w:t>Non</w:t>
      </w:r>
      <w:r>
        <w:noBreakHyphen/>
        <w:t>metropolitan</w:t>
      </w:r>
      <w:bookmarkEnd w:id="592"/>
      <w:bookmarkEnd w:id="593"/>
      <w:bookmarkEnd w:id="594"/>
    </w:p>
    <w:p>
      <w:pPr>
        <w:pStyle w:val="yMiscellaneousBody"/>
        <w:tabs>
          <w:tab w:val="left" w:pos="284"/>
          <w:tab w:val="right" w:leader="dot" w:pos="6804"/>
        </w:tabs>
        <w:ind w:left="851" w:hanging="851"/>
      </w:pPr>
      <w:r>
        <w:tab/>
        <w:t>(1)</w:t>
      </w:r>
      <w:r>
        <w:tab/>
        <w:t>For land in the non</w:t>
      </w:r>
      <w:r>
        <w:noBreakHyphen/>
        <w:t xml:space="preserve">metropolitan area </w:t>
      </w:r>
      <w:r>
        <w:br/>
        <w:t xml:space="preserve">that is in a sewerage area referred to in the </w:t>
      </w:r>
      <w:r>
        <w:br/>
        <w:t xml:space="preserve">Table, the charge is the amount worked out by </w:t>
      </w:r>
      <w:r>
        <w:br/>
        <w:t xml:space="preserve">multiplying the GRV of the land by the </w:t>
      </w:r>
      <w:r>
        <w:br/>
        <w:t xml:space="preserve">relevant rate for the sewerage area, according </w:t>
      </w:r>
      <w:r>
        <w:br/>
        <w:t xml:space="preserve">to whether the land is classified as residential </w:t>
      </w:r>
      <w:r>
        <w:br/>
        <w:t>or not.</w:t>
      </w:r>
    </w:p>
    <w:p>
      <w:pPr>
        <w:pStyle w:val="yMiscellaneousBody"/>
        <w:tabs>
          <w:tab w:val="left" w:pos="284"/>
          <w:tab w:val="right" w:leader="dot" w:pos="6804"/>
        </w:tabs>
        <w:ind w:left="851" w:hanging="851"/>
      </w:pPr>
      <w:r>
        <w:tab/>
        <w:t>(2)</w:t>
      </w:r>
      <w:r>
        <w:tab/>
        <w:t>Sub</w:t>
      </w:r>
      <w:r>
        <w:noBreakHyphen/>
        <w:t xml:space="preserve">item (1) does not apply to land covered by </w:t>
      </w:r>
      <w:r>
        <w:br/>
        <w:t xml:space="preserve">any other item in this Division (other than </w:t>
      </w:r>
      <w:r>
        <w:br/>
        <w:t>item 7, 8 or 9) or by Division 2.</w:t>
      </w:r>
    </w:p>
    <w:p>
      <w:pPr>
        <w:pStyle w:val="yMiscellaneousBody"/>
        <w:tabs>
          <w:tab w:val="left" w:pos="284"/>
          <w:tab w:val="right" w:leader="dot" w:pos="6804"/>
        </w:tabs>
        <w:ind w:left="851" w:hanging="851"/>
      </w:pPr>
      <w:r>
        <w:tab/>
        <w:t>(3)</w:t>
      </w:r>
      <w:r>
        <w:tab/>
        <w:t>The minimum charge under this item is —</w:t>
      </w:r>
    </w:p>
    <w:p>
      <w:pPr>
        <w:pStyle w:val="yMiscellaneousBody"/>
        <w:tabs>
          <w:tab w:val="left" w:pos="992"/>
          <w:tab w:val="right" w:leader="dot" w:pos="6804"/>
        </w:tabs>
        <w:ind w:left="1559" w:hanging="1559"/>
      </w:pPr>
      <w:r>
        <w:tab/>
        <w:t>(a)</w:t>
      </w:r>
      <w:r>
        <w:tab/>
        <w:t xml:space="preserve">for land that is classified as residential </w:t>
      </w:r>
      <w:r>
        <w:tab/>
        <w:t xml:space="preserve"> </w:t>
      </w:r>
      <w:r>
        <w:rPr>
          <w:szCs w:val="22"/>
        </w:rPr>
        <w:t>$439.10</w:t>
      </w:r>
    </w:p>
    <w:p>
      <w:pPr>
        <w:pStyle w:val="yMiscellaneousBody"/>
        <w:tabs>
          <w:tab w:val="left" w:pos="992"/>
          <w:tab w:val="right" w:leader="dot" w:pos="6804"/>
        </w:tabs>
        <w:ind w:left="1559" w:hanging="1559"/>
      </w:pPr>
      <w:r>
        <w:tab/>
        <w:t>(b)</w:t>
      </w:r>
      <w:r>
        <w:tab/>
        <w:t xml:space="preserve">for land that is classified as vacant land </w:t>
      </w:r>
      <w:r>
        <w:tab/>
        <w:t xml:space="preserve"> </w:t>
      </w:r>
      <w:r>
        <w:rPr>
          <w:szCs w:val="22"/>
        </w:rPr>
        <w:t>$288.94</w:t>
      </w:r>
    </w:p>
    <w:p>
      <w:pPr>
        <w:pStyle w:val="yMiscellaneousBody"/>
        <w:tabs>
          <w:tab w:val="left" w:pos="992"/>
          <w:tab w:val="right" w:leader="dot" w:pos="6804"/>
        </w:tabs>
        <w:ind w:left="1559" w:hanging="1559"/>
      </w:pPr>
      <w:r>
        <w:tab/>
        <w:t>(c)</w:t>
      </w:r>
      <w:r>
        <w:tab/>
        <w:t xml:space="preserve">for other land </w:t>
      </w:r>
      <w:r>
        <w:tab/>
        <w:t xml:space="preserve"> </w:t>
      </w:r>
      <w:r>
        <w:rPr>
          <w:szCs w:val="22"/>
        </w:rPr>
        <w:t>$1 021.18</w:t>
      </w:r>
    </w:p>
    <w:p>
      <w:pPr>
        <w:pStyle w:val="yMiscellaneousBody"/>
        <w:tabs>
          <w:tab w:val="left" w:pos="284"/>
          <w:tab w:val="right" w:leader="dot" w:pos="6804"/>
        </w:tabs>
        <w:ind w:left="851" w:hanging="851"/>
      </w:pPr>
      <w:r>
        <w:tab/>
        <w:t>(4)</w:t>
      </w:r>
      <w:r>
        <w:tab/>
        <w:t xml:space="preserve">The maximum charge under this item for land </w:t>
      </w:r>
      <w:r>
        <w:br/>
        <w:t xml:space="preserve">that is classified as residential or classified as </w:t>
      </w:r>
      <w:r>
        <w:br/>
        <w:t xml:space="preserve">vacant land but held for residential purposes </w:t>
      </w:r>
      <w:r>
        <w:br/>
        <w:t xml:space="preserve">is </w:t>
      </w:r>
      <w:r>
        <w:tab/>
        <w:t xml:space="preserve"> </w:t>
      </w:r>
      <w:r>
        <w:rPr>
          <w:szCs w:val="22"/>
        </w:rPr>
        <w:t>$1 198.78</w:t>
      </w:r>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tcPr>
          <w:p>
            <w:pPr>
              <w:pStyle w:val="yTableNAm"/>
              <w:rPr>
                <w:b/>
              </w:rPr>
            </w:pPr>
            <w:r>
              <w:rPr>
                <w:b/>
              </w:rPr>
              <w:t>Sewerage area</w:t>
            </w:r>
          </w:p>
        </w:tc>
        <w:tc>
          <w:tcPr>
            <w:tcW w:w="1810" w:type="dxa"/>
            <w:tcBorders>
              <w:left w:val="nil"/>
              <w:bottom w:val="single" w:sz="4" w:space="0" w:color="auto"/>
              <w:right w:val="nil"/>
            </w:tcBorders>
            <w:vAlign w:val="center"/>
          </w:tcPr>
          <w:p>
            <w:pPr>
              <w:pStyle w:val="yTableNAm"/>
              <w:jc w:val="center"/>
              <w:rPr>
                <w:b/>
              </w:rPr>
            </w:pPr>
            <w:r>
              <w:rPr>
                <w:b/>
              </w:rPr>
              <w:t xml:space="preserve">Residential rate </w:t>
            </w:r>
            <w:r>
              <w:rPr>
                <w:b/>
              </w:rPr>
              <w:br/>
              <w:t>cents/$ of GRV</w:t>
            </w:r>
          </w:p>
        </w:tc>
        <w:tc>
          <w:tcPr>
            <w:tcW w:w="2268" w:type="dxa"/>
            <w:tcBorders>
              <w:left w:val="nil"/>
              <w:bottom w:val="single" w:sz="4" w:space="0" w:color="auto"/>
              <w:right w:val="nil"/>
            </w:tcBorders>
            <w:vAlign w:val="center"/>
          </w:tcPr>
          <w:p>
            <w:pPr>
              <w:pStyle w:val="yTableNAm"/>
              <w:jc w:val="center"/>
              <w:rPr>
                <w:b/>
              </w:rP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tcPr>
          <w:p>
            <w:pPr>
              <w:pStyle w:val="yTableNAm"/>
            </w:pPr>
            <w:r>
              <w:t>Albany</w:t>
            </w:r>
          </w:p>
        </w:tc>
        <w:tc>
          <w:tcPr>
            <w:tcW w:w="1810" w:type="dxa"/>
            <w:tcBorders>
              <w:top w:val="single" w:sz="4" w:space="0" w:color="auto"/>
              <w:left w:val="nil"/>
              <w:bottom w:val="nil"/>
              <w:right w:val="nil"/>
            </w:tcBorders>
            <w:vAlign w:val="center"/>
          </w:tcPr>
          <w:p>
            <w:pPr>
              <w:pStyle w:val="yTableNAm"/>
              <w:jc w:val="center"/>
            </w:pPr>
            <w:r>
              <w:t>12.146</w:t>
            </w:r>
          </w:p>
        </w:tc>
        <w:tc>
          <w:tcPr>
            <w:tcW w:w="2268" w:type="dxa"/>
            <w:tcBorders>
              <w:top w:val="single" w:sz="4" w:space="0" w:color="auto"/>
              <w:left w:val="nil"/>
              <w:bottom w:val="nil"/>
              <w:right w:val="nil"/>
            </w:tcBorders>
            <w:vAlign w:val="center"/>
          </w:tcPr>
          <w:p>
            <w:pPr>
              <w:pStyle w:val="yTableNAm"/>
              <w:jc w:val="center"/>
            </w:pPr>
            <w:r>
              <w:t>23.378</w:t>
            </w:r>
          </w:p>
        </w:tc>
      </w:tr>
      <w:tr>
        <w:tc>
          <w:tcPr>
            <w:tcW w:w="2159" w:type="dxa"/>
            <w:tcBorders>
              <w:top w:val="nil"/>
              <w:left w:val="nil"/>
              <w:bottom w:val="nil"/>
              <w:right w:val="nil"/>
            </w:tcBorders>
          </w:tcPr>
          <w:p>
            <w:pPr>
              <w:pStyle w:val="yTableNAm"/>
            </w:pPr>
            <w:r>
              <w:t>Augusta</w:t>
            </w:r>
          </w:p>
        </w:tc>
        <w:tc>
          <w:tcPr>
            <w:tcW w:w="1810" w:type="dxa"/>
            <w:tcBorders>
              <w:top w:val="nil"/>
              <w:left w:val="nil"/>
              <w:bottom w:val="nil"/>
              <w:right w:val="nil"/>
            </w:tcBorders>
            <w:vAlign w:val="center"/>
          </w:tcPr>
          <w:p>
            <w:pPr>
              <w:pStyle w:val="yTableNAm"/>
              <w:jc w:val="center"/>
            </w:pPr>
            <w:r>
              <w:t>8.212</w:t>
            </w:r>
          </w:p>
        </w:tc>
        <w:tc>
          <w:tcPr>
            <w:tcW w:w="2268" w:type="dxa"/>
            <w:tcBorders>
              <w:top w:val="nil"/>
              <w:left w:val="nil"/>
              <w:bottom w:val="nil"/>
              <w:right w:val="nil"/>
            </w:tcBorders>
            <w:vAlign w:val="center"/>
          </w:tcPr>
          <w:p>
            <w:pPr>
              <w:pStyle w:val="yTableNAm"/>
              <w:jc w:val="center"/>
            </w:pPr>
            <w:r>
              <w:t>13.212</w:t>
            </w:r>
          </w:p>
        </w:tc>
      </w:tr>
      <w:tr>
        <w:tc>
          <w:tcPr>
            <w:tcW w:w="2159" w:type="dxa"/>
            <w:tcBorders>
              <w:top w:val="nil"/>
              <w:left w:val="nil"/>
              <w:bottom w:val="nil"/>
              <w:right w:val="nil"/>
            </w:tcBorders>
          </w:tcPr>
          <w:p>
            <w:pPr>
              <w:pStyle w:val="yTableNAm"/>
            </w:pPr>
            <w:r>
              <w:t>Australind</w:t>
            </w:r>
          </w:p>
        </w:tc>
        <w:tc>
          <w:tcPr>
            <w:tcW w:w="1810" w:type="dxa"/>
            <w:tcBorders>
              <w:top w:val="nil"/>
              <w:left w:val="nil"/>
              <w:bottom w:val="nil"/>
              <w:right w:val="nil"/>
            </w:tcBorders>
            <w:vAlign w:val="center"/>
          </w:tcPr>
          <w:p>
            <w:pPr>
              <w:pStyle w:val="yTableNAm"/>
              <w:jc w:val="center"/>
            </w:pPr>
            <w:r>
              <w:t>5.582</w:t>
            </w:r>
          </w:p>
        </w:tc>
        <w:tc>
          <w:tcPr>
            <w:tcW w:w="2268" w:type="dxa"/>
            <w:tcBorders>
              <w:top w:val="nil"/>
              <w:left w:val="nil"/>
              <w:bottom w:val="nil"/>
              <w:right w:val="nil"/>
            </w:tcBorders>
            <w:vAlign w:val="center"/>
          </w:tcPr>
          <w:p>
            <w:pPr>
              <w:pStyle w:val="yTableNAm"/>
              <w:jc w:val="center"/>
            </w:pPr>
            <w:r>
              <w:t>4.187</w:t>
            </w:r>
          </w:p>
        </w:tc>
      </w:tr>
      <w:tr>
        <w:tc>
          <w:tcPr>
            <w:tcW w:w="2159" w:type="dxa"/>
            <w:tcBorders>
              <w:top w:val="nil"/>
              <w:left w:val="nil"/>
              <w:bottom w:val="nil"/>
              <w:right w:val="nil"/>
            </w:tcBorders>
          </w:tcPr>
          <w:p>
            <w:pPr>
              <w:pStyle w:val="yTableNAm"/>
            </w:pPr>
            <w:r>
              <w:t>Beverley</w:t>
            </w:r>
          </w:p>
        </w:tc>
        <w:tc>
          <w:tcPr>
            <w:tcW w:w="1810" w:type="dxa"/>
            <w:tcBorders>
              <w:top w:val="nil"/>
              <w:left w:val="nil"/>
              <w:bottom w:val="nil"/>
              <w:right w:val="nil"/>
            </w:tcBorders>
            <w:vAlign w:val="center"/>
          </w:tcPr>
          <w:p>
            <w:pPr>
              <w:pStyle w:val="yTableNAm"/>
              <w:jc w:val="center"/>
            </w:pPr>
            <w:r>
              <w:t>13.988</w:t>
            </w:r>
          </w:p>
        </w:tc>
        <w:tc>
          <w:tcPr>
            <w:tcW w:w="2268" w:type="dxa"/>
            <w:tcBorders>
              <w:top w:val="nil"/>
              <w:left w:val="nil"/>
              <w:bottom w:val="nil"/>
              <w:right w:val="nil"/>
            </w:tcBorders>
            <w:vAlign w:val="center"/>
          </w:tcPr>
          <w:p>
            <w:pPr>
              <w:pStyle w:val="yTableNAm"/>
              <w:jc w:val="center"/>
            </w:pPr>
            <w:r>
              <w:t>37.986</w:t>
            </w:r>
          </w:p>
        </w:tc>
      </w:tr>
      <w:tr>
        <w:tc>
          <w:tcPr>
            <w:tcW w:w="2159" w:type="dxa"/>
            <w:tcBorders>
              <w:top w:val="nil"/>
              <w:left w:val="nil"/>
              <w:bottom w:val="nil"/>
              <w:right w:val="nil"/>
            </w:tcBorders>
          </w:tcPr>
          <w:p>
            <w:pPr>
              <w:pStyle w:val="yTableNAm"/>
            </w:pPr>
            <w:r>
              <w:t>Binningup</w:t>
            </w:r>
          </w:p>
        </w:tc>
        <w:tc>
          <w:tcPr>
            <w:tcW w:w="1810" w:type="dxa"/>
            <w:tcBorders>
              <w:top w:val="nil"/>
              <w:left w:val="nil"/>
              <w:bottom w:val="nil"/>
              <w:right w:val="nil"/>
            </w:tcBorders>
            <w:vAlign w:val="center"/>
          </w:tcPr>
          <w:p>
            <w:pPr>
              <w:pStyle w:val="yTableNAm"/>
              <w:jc w:val="center"/>
            </w:pPr>
            <w:r>
              <w:t>10.147</w:t>
            </w:r>
          </w:p>
        </w:tc>
        <w:tc>
          <w:tcPr>
            <w:tcW w:w="2268" w:type="dxa"/>
            <w:tcBorders>
              <w:top w:val="nil"/>
              <w:left w:val="nil"/>
              <w:bottom w:val="nil"/>
              <w:right w:val="nil"/>
            </w:tcBorders>
            <w:vAlign w:val="center"/>
          </w:tcPr>
          <w:p>
            <w:pPr>
              <w:pStyle w:val="yTableNAm"/>
              <w:jc w:val="center"/>
            </w:pPr>
            <w:r>
              <w:t>20.237</w:t>
            </w:r>
          </w:p>
        </w:tc>
      </w:tr>
      <w:tr>
        <w:tc>
          <w:tcPr>
            <w:tcW w:w="2159" w:type="dxa"/>
            <w:tcBorders>
              <w:top w:val="nil"/>
              <w:left w:val="nil"/>
              <w:bottom w:val="nil"/>
              <w:right w:val="nil"/>
            </w:tcBorders>
          </w:tcPr>
          <w:p>
            <w:pPr>
              <w:pStyle w:val="yTableNAm"/>
            </w:pPr>
            <w:r>
              <w:t>Boddington</w:t>
            </w:r>
          </w:p>
        </w:tc>
        <w:tc>
          <w:tcPr>
            <w:tcW w:w="1810" w:type="dxa"/>
            <w:tcBorders>
              <w:top w:val="nil"/>
              <w:left w:val="nil"/>
              <w:bottom w:val="nil"/>
              <w:right w:val="nil"/>
            </w:tcBorders>
            <w:vAlign w:val="center"/>
          </w:tcPr>
          <w:p>
            <w:pPr>
              <w:pStyle w:val="yTableNAm"/>
              <w:jc w:val="center"/>
            </w:pPr>
            <w:r>
              <w:t>31.096</w:t>
            </w:r>
          </w:p>
        </w:tc>
        <w:tc>
          <w:tcPr>
            <w:tcW w:w="2268" w:type="dxa"/>
            <w:tcBorders>
              <w:top w:val="nil"/>
              <w:left w:val="nil"/>
              <w:bottom w:val="nil"/>
              <w:right w:val="nil"/>
            </w:tcBorders>
            <w:vAlign w:val="center"/>
          </w:tcPr>
          <w:p>
            <w:pPr>
              <w:pStyle w:val="yTableNAm"/>
              <w:jc w:val="center"/>
            </w:pPr>
            <w:r>
              <w:t>164.051</w:t>
            </w:r>
          </w:p>
        </w:tc>
      </w:tr>
      <w:tr>
        <w:tc>
          <w:tcPr>
            <w:tcW w:w="2159" w:type="dxa"/>
            <w:tcBorders>
              <w:top w:val="nil"/>
              <w:left w:val="nil"/>
              <w:bottom w:val="nil"/>
              <w:right w:val="nil"/>
            </w:tcBorders>
          </w:tcPr>
          <w:p>
            <w:pPr>
              <w:pStyle w:val="yTableNAm"/>
            </w:pPr>
            <w:r>
              <w:t>Boyanup</w:t>
            </w:r>
          </w:p>
        </w:tc>
        <w:tc>
          <w:tcPr>
            <w:tcW w:w="1810" w:type="dxa"/>
            <w:tcBorders>
              <w:top w:val="nil"/>
              <w:left w:val="nil"/>
              <w:bottom w:val="nil"/>
              <w:right w:val="nil"/>
            </w:tcBorders>
            <w:vAlign w:val="center"/>
          </w:tcPr>
          <w:p>
            <w:pPr>
              <w:pStyle w:val="yTableNAm"/>
              <w:jc w:val="center"/>
            </w:pPr>
            <w:r>
              <w:t>13.165</w:t>
            </w:r>
          </w:p>
        </w:tc>
        <w:tc>
          <w:tcPr>
            <w:tcW w:w="2268" w:type="dxa"/>
            <w:tcBorders>
              <w:top w:val="nil"/>
              <w:left w:val="nil"/>
              <w:bottom w:val="nil"/>
              <w:right w:val="nil"/>
            </w:tcBorders>
            <w:vAlign w:val="center"/>
          </w:tcPr>
          <w:p>
            <w:pPr>
              <w:pStyle w:val="yTableNAm"/>
              <w:jc w:val="center"/>
            </w:pPr>
            <w:r>
              <w:t>15.183</w:t>
            </w:r>
          </w:p>
        </w:tc>
      </w:tr>
      <w:tr>
        <w:tc>
          <w:tcPr>
            <w:tcW w:w="2159" w:type="dxa"/>
            <w:tcBorders>
              <w:top w:val="nil"/>
              <w:left w:val="nil"/>
              <w:bottom w:val="nil"/>
              <w:right w:val="nil"/>
            </w:tcBorders>
          </w:tcPr>
          <w:p>
            <w:pPr>
              <w:pStyle w:val="yTableNAm"/>
            </w:pPr>
            <w:r>
              <w:t>Bremer Bay</w:t>
            </w:r>
          </w:p>
        </w:tc>
        <w:tc>
          <w:tcPr>
            <w:tcW w:w="1810" w:type="dxa"/>
            <w:tcBorders>
              <w:top w:val="nil"/>
              <w:left w:val="nil"/>
              <w:bottom w:val="nil"/>
              <w:right w:val="nil"/>
            </w:tcBorders>
            <w:vAlign w:val="center"/>
          </w:tcPr>
          <w:p>
            <w:pPr>
              <w:pStyle w:val="yTableNAm"/>
              <w:jc w:val="center"/>
            </w:pPr>
            <w:r>
              <w:t>17.151</w:t>
            </w:r>
          </w:p>
        </w:tc>
        <w:tc>
          <w:tcPr>
            <w:tcW w:w="2268" w:type="dxa"/>
            <w:tcBorders>
              <w:top w:val="nil"/>
              <w:left w:val="nil"/>
              <w:bottom w:val="nil"/>
              <w:right w:val="nil"/>
            </w:tcBorders>
            <w:vAlign w:val="center"/>
          </w:tcPr>
          <w:p>
            <w:pPr>
              <w:pStyle w:val="yTableNAm"/>
              <w:jc w:val="center"/>
            </w:pPr>
            <w:r>
              <w:t>25.048</w:t>
            </w:r>
          </w:p>
        </w:tc>
      </w:tr>
      <w:tr>
        <w:tc>
          <w:tcPr>
            <w:tcW w:w="2159" w:type="dxa"/>
            <w:tcBorders>
              <w:top w:val="nil"/>
              <w:left w:val="nil"/>
              <w:bottom w:val="nil"/>
              <w:right w:val="nil"/>
            </w:tcBorders>
          </w:tcPr>
          <w:p>
            <w:pPr>
              <w:pStyle w:val="yTableNAm"/>
            </w:pPr>
            <w:r>
              <w:t>Bridgetown</w:t>
            </w:r>
          </w:p>
        </w:tc>
        <w:tc>
          <w:tcPr>
            <w:tcW w:w="1810" w:type="dxa"/>
            <w:tcBorders>
              <w:top w:val="nil"/>
              <w:left w:val="nil"/>
              <w:bottom w:val="nil"/>
              <w:right w:val="nil"/>
            </w:tcBorders>
            <w:vAlign w:val="center"/>
          </w:tcPr>
          <w:p>
            <w:pPr>
              <w:pStyle w:val="yTableNAm"/>
              <w:jc w:val="center"/>
            </w:pPr>
            <w:r>
              <w:t>32.670</w:t>
            </w:r>
          </w:p>
        </w:tc>
        <w:tc>
          <w:tcPr>
            <w:tcW w:w="2268" w:type="dxa"/>
            <w:tcBorders>
              <w:top w:val="nil"/>
              <w:left w:val="nil"/>
              <w:bottom w:val="nil"/>
              <w:right w:val="nil"/>
            </w:tcBorders>
            <w:vAlign w:val="center"/>
          </w:tcPr>
          <w:p>
            <w:pPr>
              <w:pStyle w:val="yTableNAm"/>
              <w:jc w:val="center"/>
            </w:pPr>
            <w:r>
              <w:t>162.164</w:t>
            </w:r>
          </w:p>
        </w:tc>
      </w:tr>
      <w:tr>
        <w:tc>
          <w:tcPr>
            <w:tcW w:w="2159" w:type="dxa"/>
            <w:tcBorders>
              <w:top w:val="nil"/>
              <w:left w:val="nil"/>
              <w:bottom w:val="nil"/>
              <w:right w:val="nil"/>
            </w:tcBorders>
          </w:tcPr>
          <w:p>
            <w:pPr>
              <w:pStyle w:val="yTableNAm"/>
            </w:pPr>
            <w:r>
              <w:t>Broome</w:t>
            </w:r>
          </w:p>
        </w:tc>
        <w:tc>
          <w:tcPr>
            <w:tcW w:w="1810" w:type="dxa"/>
            <w:tcBorders>
              <w:top w:val="nil"/>
              <w:left w:val="nil"/>
              <w:bottom w:val="nil"/>
              <w:right w:val="nil"/>
            </w:tcBorders>
            <w:vAlign w:val="center"/>
          </w:tcPr>
          <w:p>
            <w:pPr>
              <w:pStyle w:val="yTableNAm"/>
              <w:jc w:val="center"/>
            </w:pPr>
            <w:r>
              <w:t>11.167</w:t>
            </w:r>
          </w:p>
        </w:tc>
        <w:tc>
          <w:tcPr>
            <w:tcW w:w="2268" w:type="dxa"/>
            <w:tcBorders>
              <w:top w:val="nil"/>
              <w:left w:val="nil"/>
              <w:bottom w:val="nil"/>
              <w:right w:val="nil"/>
            </w:tcBorders>
            <w:vAlign w:val="center"/>
          </w:tcPr>
          <w:p>
            <w:pPr>
              <w:pStyle w:val="yTableNAm"/>
              <w:jc w:val="center"/>
            </w:pPr>
            <w:r>
              <w:t>15.146</w:t>
            </w:r>
          </w:p>
        </w:tc>
      </w:tr>
      <w:tr>
        <w:tc>
          <w:tcPr>
            <w:tcW w:w="2159" w:type="dxa"/>
            <w:tcBorders>
              <w:top w:val="nil"/>
              <w:left w:val="nil"/>
              <w:bottom w:val="nil"/>
              <w:right w:val="nil"/>
            </w:tcBorders>
          </w:tcPr>
          <w:p>
            <w:pPr>
              <w:pStyle w:val="yTableNAm"/>
            </w:pPr>
            <w:r>
              <w:t>Brunswick</w:t>
            </w:r>
          </w:p>
        </w:tc>
        <w:tc>
          <w:tcPr>
            <w:tcW w:w="1810" w:type="dxa"/>
            <w:tcBorders>
              <w:top w:val="nil"/>
              <w:left w:val="nil"/>
              <w:bottom w:val="nil"/>
              <w:right w:val="nil"/>
            </w:tcBorders>
            <w:vAlign w:val="center"/>
          </w:tcPr>
          <w:p>
            <w:pPr>
              <w:pStyle w:val="yTableNAm"/>
              <w:jc w:val="center"/>
            </w:pPr>
            <w:r>
              <w:t>10.474</w:t>
            </w:r>
          </w:p>
        </w:tc>
        <w:tc>
          <w:tcPr>
            <w:tcW w:w="2268" w:type="dxa"/>
            <w:tcBorders>
              <w:top w:val="nil"/>
              <w:left w:val="nil"/>
              <w:bottom w:val="nil"/>
              <w:right w:val="nil"/>
            </w:tcBorders>
            <w:vAlign w:val="center"/>
          </w:tcPr>
          <w:p>
            <w:pPr>
              <w:pStyle w:val="yTableNAm"/>
              <w:jc w:val="center"/>
            </w:pPr>
            <w:r>
              <w:t>17.996</w:t>
            </w:r>
          </w:p>
        </w:tc>
      </w:tr>
      <w:tr>
        <w:tc>
          <w:tcPr>
            <w:tcW w:w="2159" w:type="dxa"/>
            <w:tcBorders>
              <w:top w:val="nil"/>
              <w:left w:val="nil"/>
              <w:bottom w:val="nil"/>
              <w:right w:val="nil"/>
            </w:tcBorders>
          </w:tcPr>
          <w:p>
            <w:pPr>
              <w:pStyle w:val="yTableNAm"/>
            </w:pPr>
            <w:r>
              <w:t>Bunbury</w:t>
            </w:r>
          </w:p>
        </w:tc>
        <w:tc>
          <w:tcPr>
            <w:tcW w:w="1810" w:type="dxa"/>
            <w:tcBorders>
              <w:top w:val="nil"/>
              <w:left w:val="nil"/>
              <w:bottom w:val="nil"/>
              <w:right w:val="nil"/>
            </w:tcBorders>
            <w:vAlign w:val="center"/>
          </w:tcPr>
          <w:p>
            <w:pPr>
              <w:pStyle w:val="yTableNAm"/>
              <w:jc w:val="center"/>
            </w:pPr>
            <w:r>
              <w:t>9.942</w:t>
            </w:r>
          </w:p>
        </w:tc>
        <w:tc>
          <w:tcPr>
            <w:tcW w:w="2268" w:type="dxa"/>
            <w:tcBorders>
              <w:top w:val="nil"/>
              <w:left w:val="nil"/>
              <w:bottom w:val="nil"/>
              <w:right w:val="nil"/>
            </w:tcBorders>
            <w:vAlign w:val="center"/>
          </w:tcPr>
          <w:p>
            <w:pPr>
              <w:pStyle w:val="yTableNAm"/>
              <w:jc w:val="center"/>
            </w:pPr>
            <w:r>
              <w:t>10.529</w:t>
            </w:r>
          </w:p>
        </w:tc>
      </w:tr>
      <w:tr>
        <w:tc>
          <w:tcPr>
            <w:tcW w:w="2159" w:type="dxa"/>
            <w:tcBorders>
              <w:top w:val="nil"/>
              <w:left w:val="nil"/>
              <w:bottom w:val="nil"/>
              <w:right w:val="nil"/>
            </w:tcBorders>
          </w:tcPr>
          <w:p>
            <w:pPr>
              <w:pStyle w:val="yTableNAm"/>
            </w:pPr>
            <w:r>
              <w:t>Burekup</w:t>
            </w:r>
          </w:p>
        </w:tc>
        <w:tc>
          <w:tcPr>
            <w:tcW w:w="1810" w:type="dxa"/>
            <w:tcBorders>
              <w:top w:val="nil"/>
              <w:left w:val="nil"/>
              <w:bottom w:val="nil"/>
              <w:right w:val="nil"/>
            </w:tcBorders>
            <w:vAlign w:val="center"/>
          </w:tcPr>
          <w:p>
            <w:pPr>
              <w:pStyle w:val="yTableNAm"/>
              <w:jc w:val="center"/>
            </w:pPr>
            <w:r>
              <w:t>9.514</w:t>
            </w:r>
          </w:p>
        </w:tc>
        <w:tc>
          <w:tcPr>
            <w:tcW w:w="2268" w:type="dxa"/>
            <w:tcBorders>
              <w:top w:val="nil"/>
              <w:left w:val="nil"/>
              <w:bottom w:val="nil"/>
              <w:right w:val="nil"/>
            </w:tcBorders>
            <w:vAlign w:val="center"/>
          </w:tcPr>
          <w:p>
            <w:pPr>
              <w:pStyle w:val="yTableNAm"/>
              <w:jc w:val="center"/>
            </w:pPr>
            <w:r>
              <w:t>11.393</w:t>
            </w:r>
          </w:p>
        </w:tc>
      </w:tr>
      <w:tr>
        <w:tc>
          <w:tcPr>
            <w:tcW w:w="2159" w:type="dxa"/>
            <w:tcBorders>
              <w:top w:val="nil"/>
              <w:left w:val="nil"/>
              <w:bottom w:val="nil"/>
              <w:right w:val="nil"/>
            </w:tcBorders>
          </w:tcPr>
          <w:p>
            <w:pPr>
              <w:pStyle w:val="yTableNAm"/>
            </w:pPr>
            <w:r>
              <w:t>Busselton</w:t>
            </w:r>
          </w:p>
        </w:tc>
        <w:tc>
          <w:tcPr>
            <w:tcW w:w="1810" w:type="dxa"/>
            <w:tcBorders>
              <w:top w:val="nil"/>
              <w:left w:val="nil"/>
              <w:bottom w:val="nil"/>
              <w:right w:val="nil"/>
            </w:tcBorders>
            <w:vAlign w:val="center"/>
          </w:tcPr>
          <w:p>
            <w:pPr>
              <w:pStyle w:val="yTableNAm"/>
              <w:jc w:val="center"/>
            </w:pPr>
            <w:r>
              <w:t>6.306</w:t>
            </w:r>
          </w:p>
        </w:tc>
        <w:tc>
          <w:tcPr>
            <w:tcW w:w="2268" w:type="dxa"/>
            <w:tcBorders>
              <w:top w:val="nil"/>
              <w:left w:val="nil"/>
              <w:bottom w:val="nil"/>
              <w:right w:val="nil"/>
            </w:tcBorders>
            <w:vAlign w:val="center"/>
          </w:tcPr>
          <w:p>
            <w:pPr>
              <w:pStyle w:val="yTableNAm"/>
              <w:jc w:val="center"/>
            </w:pPr>
            <w:r>
              <w:t>6.098</w:t>
            </w:r>
          </w:p>
        </w:tc>
      </w:tr>
      <w:tr>
        <w:tc>
          <w:tcPr>
            <w:tcW w:w="2159" w:type="dxa"/>
            <w:tcBorders>
              <w:top w:val="nil"/>
              <w:left w:val="nil"/>
              <w:bottom w:val="nil"/>
              <w:right w:val="nil"/>
            </w:tcBorders>
          </w:tcPr>
          <w:p>
            <w:pPr>
              <w:pStyle w:val="yTableNAm"/>
            </w:pPr>
            <w:r>
              <w:t>Capel</w:t>
            </w:r>
          </w:p>
        </w:tc>
        <w:tc>
          <w:tcPr>
            <w:tcW w:w="1810" w:type="dxa"/>
            <w:tcBorders>
              <w:top w:val="nil"/>
              <w:left w:val="nil"/>
              <w:bottom w:val="nil"/>
              <w:right w:val="nil"/>
            </w:tcBorders>
            <w:vAlign w:val="center"/>
          </w:tcPr>
          <w:p>
            <w:pPr>
              <w:pStyle w:val="yTableNAm"/>
              <w:jc w:val="center"/>
            </w:pPr>
            <w:r>
              <w:t>9.598</w:t>
            </w:r>
          </w:p>
        </w:tc>
        <w:tc>
          <w:tcPr>
            <w:tcW w:w="2268" w:type="dxa"/>
            <w:tcBorders>
              <w:top w:val="nil"/>
              <w:left w:val="nil"/>
              <w:bottom w:val="nil"/>
              <w:right w:val="nil"/>
            </w:tcBorders>
            <w:vAlign w:val="center"/>
          </w:tcPr>
          <w:p>
            <w:pPr>
              <w:pStyle w:val="yTableNAm"/>
              <w:jc w:val="center"/>
            </w:pPr>
            <w:r>
              <w:t>10.293</w:t>
            </w:r>
          </w:p>
        </w:tc>
      </w:tr>
      <w:tr>
        <w:tc>
          <w:tcPr>
            <w:tcW w:w="2159" w:type="dxa"/>
            <w:tcBorders>
              <w:top w:val="nil"/>
              <w:left w:val="nil"/>
              <w:bottom w:val="nil"/>
              <w:right w:val="nil"/>
            </w:tcBorders>
          </w:tcPr>
          <w:p>
            <w:pPr>
              <w:pStyle w:val="yTableNAm"/>
            </w:pPr>
            <w:r>
              <w:t>Carnarvon</w:t>
            </w:r>
          </w:p>
        </w:tc>
        <w:tc>
          <w:tcPr>
            <w:tcW w:w="1810" w:type="dxa"/>
            <w:tcBorders>
              <w:top w:val="nil"/>
              <w:left w:val="nil"/>
              <w:bottom w:val="nil"/>
              <w:right w:val="nil"/>
            </w:tcBorders>
            <w:vAlign w:val="center"/>
          </w:tcPr>
          <w:p>
            <w:pPr>
              <w:pStyle w:val="yTableNAm"/>
              <w:jc w:val="center"/>
            </w:pPr>
            <w:r>
              <w:t>10.560</w:t>
            </w:r>
          </w:p>
        </w:tc>
        <w:tc>
          <w:tcPr>
            <w:tcW w:w="2268" w:type="dxa"/>
            <w:tcBorders>
              <w:top w:val="nil"/>
              <w:left w:val="nil"/>
              <w:bottom w:val="nil"/>
              <w:right w:val="nil"/>
            </w:tcBorders>
            <w:vAlign w:val="center"/>
          </w:tcPr>
          <w:p>
            <w:pPr>
              <w:pStyle w:val="yTableNAm"/>
              <w:jc w:val="center"/>
            </w:pPr>
            <w:r>
              <w:t>23.667</w:t>
            </w:r>
          </w:p>
        </w:tc>
      </w:tr>
      <w:tr>
        <w:tc>
          <w:tcPr>
            <w:tcW w:w="2159" w:type="dxa"/>
            <w:tcBorders>
              <w:top w:val="nil"/>
              <w:left w:val="nil"/>
              <w:bottom w:val="nil"/>
              <w:right w:val="nil"/>
            </w:tcBorders>
          </w:tcPr>
          <w:p>
            <w:pPr>
              <w:pStyle w:val="yTableNAm"/>
            </w:pPr>
            <w:r>
              <w:t>Cervantes</w:t>
            </w:r>
          </w:p>
        </w:tc>
        <w:tc>
          <w:tcPr>
            <w:tcW w:w="1810" w:type="dxa"/>
            <w:tcBorders>
              <w:top w:val="nil"/>
              <w:left w:val="nil"/>
              <w:bottom w:val="nil"/>
              <w:right w:val="nil"/>
            </w:tcBorders>
            <w:vAlign w:val="center"/>
          </w:tcPr>
          <w:p>
            <w:pPr>
              <w:pStyle w:val="yTableNAm"/>
              <w:jc w:val="center"/>
            </w:pPr>
            <w:r>
              <w:t>12.480</w:t>
            </w:r>
          </w:p>
        </w:tc>
        <w:tc>
          <w:tcPr>
            <w:tcW w:w="2268" w:type="dxa"/>
            <w:tcBorders>
              <w:top w:val="nil"/>
              <w:left w:val="nil"/>
              <w:bottom w:val="nil"/>
              <w:right w:val="nil"/>
            </w:tcBorders>
            <w:vAlign w:val="center"/>
          </w:tcPr>
          <w:p>
            <w:pPr>
              <w:pStyle w:val="yTableNAm"/>
              <w:jc w:val="center"/>
            </w:pPr>
            <w:r>
              <w:t>12.450</w:t>
            </w:r>
          </w:p>
        </w:tc>
      </w:tr>
      <w:tr>
        <w:tc>
          <w:tcPr>
            <w:tcW w:w="2159" w:type="dxa"/>
            <w:tcBorders>
              <w:top w:val="nil"/>
              <w:left w:val="nil"/>
              <w:bottom w:val="nil"/>
              <w:right w:val="nil"/>
            </w:tcBorders>
          </w:tcPr>
          <w:p>
            <w:pPr>
              <w:pStyle w:val="yTableNAm"/>
            </w:pPr>
            <w:r>
              <w:t>Collie</w:t>
            </w:r>
          </w:p>
        </w:tc>
        <w:tc>
          <w:tcPr>
            <w:tcW w:w="1810" w:type="dxa"/>
            <w:tcBorders>
              <w:top w:val="nil"/>
              <w:left w:val="nil"/>
              <w:bottom w:val="nil"/>
              <w:right w:val="nil"/>
            </w:tcBorders>
            <w:vAlign w:val="center"/>
          </w:tcPr>
          <w:p>
            <w:pPr>
              <w:pStyle w:val="yTableNAm"/>
              <w:jc w:val="center"/>
            </w:pPr>
            <w:r>
              <w:t>17.403</w:t>
            </w:r>
          </w:p>
        </w:tc>
        <w:tc>
          <w:tcPr>
            <w:tcW w:w="2268" w:type="dxa"/>
            <w:tcBorders>
              <w:top w:val="nil"/>
              <w:left w:val="nil"/>
              <w:bottom w:val="nil"/>
              <w:right w:val="nil"/>
            </w:tcBorders>
            <w:vAlign w:val="center"/>
          </w:tcPr>
          <w:p>
            <w:pPr>
              <w:pStyle w:val="yTableNAm"/>
              <w:jc w:val="center"/>
            </w:pPr>
            <w:r>
              <w:t>33.628</w:t>
            </w:r>
          </w:p>
        </w:tc>
      </w:tr>
      <w:tr>
        <w:tc>
          <w:tcPr>
            <w:tcW w:w="2159" w:type="dxa"/>
            <w:tcBorders>
              <w:top w:val="nil"/>
              <w:left w:val="nil"/>
              <w:bottom w:val="nil"/>
              <w:right w:val="nil"/>
            </w:tcBorders>
          </w:tcPr>
          <w:p>
            <w:pPr>
              <w:pStyle w:val="yTableNAm"/>
            </w:pPr>
            <w:r>
              <w:t>Coral Bay</w:t>
            </w:r>
          </w:p>
        </w:tc>
        <w:tc>
          <w:tcPr>
            <w:tcW w:w="1810" w:type="dxa"/>
            <w:tcBorders>
              <w:top w:val="nil"/>
              <w:left w:val="nil"/>
              <w:bottom w:val="nil"/>
              <w:right w:val="nil"/>
            </w:tcBorders>
            <w:vAlign w:val="center"/>
          </w:tcPr>
          <w:p>
            <w:pPr>
              <w:pStyle w:val="yTableNAm"/>
              <w:jc w:val="center"/>
            </w:pPr>
            <w:r>
              <w:t>481.555</w:t>
            </w:r>
          </w:p>
        </w:tc>
        <w:tc>
          <w:tcPr>
            <w:tcW w:w="2268" w:type="dxa"/>
            <w:tcBorders>
              <w:top w:val="nil"/>
              <w:left w:val="nil"/>
              <w:bottom w:val="nil"/>
              <w:right w:val="nil"/>
            </w:tcBorders>
            <w:vAlign w:val="center"/>
          </w:tcPr>
          <w:p>
            <w:pPr>
              <w:pStyle w:val="yTableNAm"/>
              <w:jc w:val="center"/>
            </w:pPr>
            <w:r>
              <w:t>1 364.007</w:t>
            </w:r>
          </w:p>
        </w:tc>
      </w:tr>
      <w:tr>
        <w:tc>
          <w:tcPr>
            <w:tcW w:w="2159" w:type="dxa"/>
            <w:tcBorders>
              <w:top w:val="nil"/>
              <w:left w:val="nil"/>
              <w:bottom w:val="nil"/>
              <w:right w:val="nil"/>
            </w:tcBorders>
          </w:tcPr>
          <w:p>
            <w:pPr>
              <w:pStyle w:val="yTableNAm"/>
            </w:pPr>
            <w:r>
              <w:t>Corrigin</w:t>
            </w:r>
          </w:p>
        </w:tc>
        <w:tc>
          <w:tcPr>
            <w:tcW w:w="1810" w:type="dxa"/>
            <w:tcBorders>
              <w:top w:val="nil"/>
              <w:left w:val="nil"/>
              <w:bottom w:val="nil"/>
              <w:right w:val="nil"/>
            </w:tcBorders>
            <w:vAlign w:val="center"/>
          </w:tcPr>
          <w:p>
            <w:pPr>
              <w:pStyle w:val="yTableNAm"/>
              <w:jc w:val="center"/>
            </w:pPr>
            <w:r>
              <w:t>27.744</w:t>
            </w:r>
          </w:p>
        </w:tc>
        <w:tc>
          <w:tcPr>
            <w:tcW w:w="2268" w:type="dxa"/>
            <w:tcBorders>
              <w:top w:val="nil"/>
              <w:left w:val="nil"/>
              <w:bottom w:val="nil"/>
              <w:right w:val="nil"/>
            </w:tcBorders>
            <w:vAlign w:val="center"/>
          </w:tcPr>
          <w:p>
            <w:pPr>
              <w:pStyle w:val="yTableNAm"/>
              <w:jc w:val="center"/>
            </w:pPr>
            <w:r>
              <w:t>101.038</w:t>
            </w:r>
          </w:p>
        </w:tc>
      </w:tr>
      <w:tr>
        <w:tc>
          <w:tcPr>
            <w:tcW w:w="2159" w:type="dxa"/>
            <w:tcBorders>
              <w:top w:val="nil"/>
              <w:left w:val="nil"/>
              <w:bottom w:val="nil"/>
              <w:right w:val="nil"/>
            </w:tcBorders>
          </w:tcPr>
          <w:p>
            <w:pPr>
              <w:pStyle w:val="yTableNAm"/>
            </w:pPr>
            <w:r>
              <w:t>Cowaramup</w:t>
            </w:r>
          </w:p>
        </w:tc>
        <w:tc>
          <w:tcPr>
            <w:tcW w:w="1810" w:type="dxa"/>
            <w:tcBorders>
              <w:top w:val="nil"/>
              <w:left w:val="nil"/>
              <w:bottom w:val="nil"/>
              <w:right w:val="nil"/>
            </w:tcBorders>
            <w:vAlign w:val="center"/>
          </w:tcPr>
          <w:p>
            <w:pPr>
              <w:pStyle w:val="yTableNAm"/>
              <w:jc w:val="center"/>
            </w:pPr>
            <w:r>
              <w:t>5.914</w:t>
            </w:r>
          </w:p>
        </w:tc>
        <w:tc>
          <w:tcPr>
            <w:tcW w:w="2268" w:type="dxa"/>
            <w:tcBorders>
              <w:top w:val="nil"/>
              <w:left w:val="nil"/>
              <w:bottom w:val="nil"/>
              <w:right w:val="nil"/>
            </w:tcBorders>
            <w:vAlign w:val="center"/>
          </w:tcPr>
          <w:p>
            <w:pPr>
              <w:pStyle w:val="yTableNAm"/>
              <w:jc w:val="center"/>
            </w:pPr>
            <w:r>
              <w:t>7.750</w:t>
            </w:r>
          </w:p>
        </w:tc>
      </w:tr>
      <w:tr>
        <w:tc>
          <w:tcPr>
            <w:tcW w:w="2159" w:type="dxa"/>
            <w:tcBorders>
              <w:top w:val="nil"/>
              <w:left w:val="nil"/>
              <w:bottom w:val="nil"/>
              <w:right w:val="nil"/>
            </w:tcBorders>
          </w:tcPr>
          <w:p>
            <w:pPr>
              <w:pStyle w:val="yTableNAm"/>
            </w:pPr>
            <w:r>
              <w:t>Cranbrook</w:t>
            </w:r>
          </w:p>
        </w:tc>
        <w:tc>
          <w:tcPr>
            <w:tcW w:w="1810" w:type="dxa"/>
            <w:tcBorders>
              <w:top w:val="nil"/>
              <w:left w:val="nil"/>
              <w:bottom w:val="nil"/>
              <w:right w:val="nil"/>
            </w:tcBorders>
            <w:vAlign w:val="center"/>
          </w:tcPr>
          <w:p>
            <w:pPr>
              <w:pStyle w:val="yTableNAm"/>
              <w:jc w:val="center"/>
            </w:pPr>
            <w:r>
              <w:t>16.943</w:t>
            </w:r>
          </w:p>
        </w:tc>
        <w:tc>
          <w:tcPr>
            <w:tcW w:w="2268" w:type="dxa"/>
            <w:tcBorders>
              <w:top w:val="nil"/>
              <w:left w:val="nil"/>
              <w:bottom w:val="nil"/>
              <w:right w:val="nil"/>
            </w:tcBorders>
            <w:vAlign w:val="center"/>
          </w:tcPr>
          <w:p>
            <w:pPr>
              <w:pStyle w:val="yTableNAm"/>
              <w:jc w:val="center"/>
            </w:pPr>
            <w:r>
              <w:t>73.094</w:t>
            </w:r>
          </w:p>
        </w:tc>
      </w:tr>
      <w:tr>
        <w:tc>
          <w:tcPr>
            <w:tcW w:w="2159" w:type="dxa"/>
            <w:tcBorders>
              <w:top w:val="nil"/>
              <w:left w:val="nil"/>
              <w:bottom w:val="nil"/>
              <w:right w:val="nil"/>
            </w:tcBorders>
          </w:tcPr>
          <w:p>
            <w:pPr>
              <w:pStyle w:val="yTableNAm"/>
            </w:pPr>
            <w:r>
              <w:t>Cunderdin</w:t>
            </w:r>
          </w:p>
        </w:tc>
        <w:tc>
          <w:tcPr>
            <w:tcW w:w="1810" w:type="dxa"/>
            <w:tcBorders>
              <w:top w:val="nil"/>
              <w:left w:val="nil"/>
              <w:bottom w:val="nil"/>
              <w:right w:val="nil"/>
            </w:tcBorders>
            <w:vAlign w:val="center"/>
          </w:tcPr>
          <w:p>
            <w:pPr>
              <w:pStyle w:val="yTableNAm"/>
              <w:jc w:val="center"/>
            </w:pPr>
            <w:r>
              <w:t>23.249</w:t>
            </w:r>
          </w:p>
        </w:tc>
        <w:tc>
          <w:tcPr>
            <w:tcW w:w="2268" w:type="dxa"/>
            <w:tcBorders>
              <w:top w:val="nil"/>
              <w:left w:val="nil"/>
              <w:bottom w:val="nil"/>
              <w:right w:val="nil"/>
            </w:tcBorders>
            <w:vAlign w:val="center"/>
          </w:tcPr>
          <w:p>
            <w:pPr>
              <w:pStyle w:val="yTableNAm"/>
              <w:jc w:val="center"/>
            </w:pPr>
            <w:r>
              <w:t>55.658</w:t>
            </w:r>
          </w:p>
        </w:tc>
      </w:tr>
      <w:tr>
        <w:tc>
          <w:tcPr>
            <w:tcW w:w="2159" w:type="dxa"/>
            <w:tcBorders>
              <w:top w:val="nil"/>
              <w:left w:val="nil"/>
              <w:bottom w:val="nil"/>
              <w:right w:val="nil"/>
            </w:tcBorders>
          </w:tcPr>
          <w:p>
            <w:pPr>
              <w:pStyle w:val="yTableNAm"/>
            </w:pPr>
            <w:r>
              <w:t>Dalyellup</w:t>
            </w:r>
          </w:p>
        </w:tc>
        <w:tc>
          <w:tcPr>
            <w:tcW w:w="1810" w:type="dxa"/>
            <w:tcBorders>
              <w:top w:val="nil"/>
              <w:left w:val="nil"/>
              <w:bottom w:val="nil"/>
              <w:right w:val="nil"/>
            </w:tcBorders>
            <w:vAlign w:val="center"/>
          </w:tcPr>
          <w:p>
            <w:pPr>
              <w:pStyle w:val="yTableNAm"/>
              <w:jc w:val="center"/>
            </w:pPr>
            <w:r>
              <w:t>4.617</w:t>
            </w:r>
          </w:p>
        </w:tc>
        <w:tc>
          <w:tcPr>
            <w:tcW w:w="2268" w:type="dxa"/>
            <w:tcBorders>
              <w:top w:val="nil"/>
              <w:left w:val="nil"/>
              <w:bottom w:val="nil"/>
              <w:right w:val="nil"/>
            </w:tcBorders>
            <w:vAlign w:val="center"/>
          </w:tcPr>
          <w:p>
            <w:pPr>
              <w:pStyle w:val="yTableNAm"/>
              <w:jc w:val="center"/>
            </w:pPr>
            <w:r>
              <w:t>5.650</w:t>
            </w:r>
          </w:p>
        </w:tc>
      </w:tr>
      <w:tr>
        <w:tc>
          <w:tcPr>
            <w:tcW w:w="2159" w:type="dxa"/>
            <w:tcBorders>
              <w:top w:val="nil"/>
              <w:left w:val="nil"/>
              <w:bottom w:val="nil"/>
              <w:right w:val="nil"/>
            </w:tcBorders>
          </w:tcPr>
          <w:p>
            <w:pPr>
              <w:pStyle w:val="yTableNAm"/>
            </w:pPr>
            <w:r>
              <w:t>Dardanup</w:t>
            </w:r>
          </w:p>
        </w:tc>
        <w:tc>
          <w:tcPr>
            <w:tcW w:w="1810" w:type="dxa"/>
            <w:tcBorders>
              <w:top w:val="nil"/>
              <w:left w:val="nil"/>
              <w:bottom w:val="nil"/>
              <w:right w:val="nil"/>
            </w:tcBorders>
            <w:vAlign w:val="center"/>
          </w:tcPr>
          <w:p>
            <w:pPr>
              <w:pStyle w:val="yTableNAm"/>
              <w:jc w:val="center"/>
            </w:pPr>
            <w:r>
              <w:t>21.979</w:t>
            </w:r>
          </w:p>
        </w:tc>
        <w:tc>
          <w:tcPr>
            <w:tcW w:w="2268" w:type="dxa"/>
            <w:tcBorders>
              <w:top w:val="nil"/>
              <w:left w:val="nil"/>
              <w:bottom w:val="nil"/>
              <w:right w:val="nil"/>
            </w:tcBorders>
            <w:vAlign w:val="center"/>
          </w:tcPr>
          <w:p>
            <w:pPr>
              <w:pStyle w:val="yTableNAm"/>
              <w:jc w:val="center"/>
            </w:pPr>
            <w:r>
              <w:t>39.959</w:t>
            </w:r>
          </w:p>
        </w:tc>
      </w:tr>
      <w:tr>
        <w:tc>
          <w:tcPr>
            <w:tcW w:w="2159" w:type="dxa"/>
            <w:tcBorders>
              <w:top w:val="nil"/>
              <w:left w:val="nil"/>
              <w:bottom w:val="nil"/>
              <w:right w:val="nil"/>
            </w:tcBorders>
          </w:tcPr>
          <w:p>
            <w:pPr>
              <w:pStyle w:val="yTableNAm"/>
            </w:pPr>
            <w:r>
              <w:t>Denham</w:t>
            </w:r>
          </w:p>
        </w:tc>
        <w:tc>
          <w:tcPr>
            <w:tcW w:w="1810" w:type="dxa"/>
            <w:tcBorders>
              <w:top w:val="nil"/>
              <w:left w:val="nil"/>
              <w:bottom w:val="nil"/>
              <w:right w:val="nil"/>
            </w:tcBorders>
            <w:vAlign w:val="center"/>
          </w:tcPr>
          <w:p>
            <w:pPr>
              <w:pStyle w:val="yTableNAm"/>
              <w:jc w:val="center"/>
            </w:pPr>
            <w:r>
              <w:t>11.762</w:t>
            </w:r>
          </w:p>
        </w:tc>
        <w:tc>
          <w:tcPr>
            <w:tcW w:w="2268" w:type="dxa"/>
            <w:tcBorders>
              <w:top w:val="nil"/>
              <w:left w:val="nil"/>
              <w:bottom w:val="nil"/>
              <w:right w:val="nil"/>
            </w:tcBorders>
            <w:vAlign w:val="center"/>
          </w:tcPr>
          <w:p>
            <w:pPr>
              <w:pStyle w:val="yTableNAm"/>
              <w:jc w:val="center"/>
            </w:pPr>
            <w:r>
              <w:t>17.159</w:t>
            </w:r>
          </w:p>
        </w:tc>
      </w:tr>
      <w:tr>
        <w:tc>
          <w:tcPr>
            <w:tcW w:w="2159" w:type="dxa"/>
            <w:tcBorders>
              <w:top w:val="nil"/>
              <w:left w:val="nil"/>
              <w:bottom w:val="nil"/>
              <w:right w:val="nil"/>
            </w:tcBorders>
          </w:tcPr>
          <w:p>
            <w:pPr>
              <w:pStyle w:val="yTableNAm"/>
            </w:pPr>
            <w:r>
              <w:t>Denmark</w:t>
            </w:r>
          </w:p>
        </w:tc>
        <w:tc>
          <w:tcPr>
            <w:tcW w:w="1810" w:type="dxa"/>
            <w:tcBorders>
              <w:top w:val="nil"/>
              <w:left w:val="nil"/>
              <w:bottom w:val="nil"/>
              <w:right w:val="nil"/>
            </w:tcBorders>
            <w:vAlign w:val="center"/>
          </w:tcPr>
          <w:p>
            <w:pPr>
              <w:pStyle w:val="yTableNAm"/>
              <w:jc w:val="center"/>
            </w:pPr>
            <w:r>
              <w:t>23.123</w:t>
            </w:r>
          </w:p>
        </w:tc>
        <w:tc>
          <w:tcPr>
            <w:tcW w:w="2268" w:type="dxa"/>
            <w:tcBorders>
              <w:top w:val="nil"/>
              <w:left w:val="nil"/>
              <w:bottom w:val="nil"/>
              <w:right w:val="nil"/>
            </w:tcBorders>
            <w:vAlign w:val="center"/>
          </w:tcPr>
          <w:p>
            <w:pPr>
              <w:pStyle w:val="yTableNAm"/>
              <w:jc w:val="center"/>
            </w:pPr>
            <w:r>
              <w:t>48.681</w:t>
            </w:r>
          </w:p>
        </w:tc>
      </w:tr>
      <w:tr>
        <w:tc>
          <w:tcPr>
            <w:tcW w:w="2159" w:type="dxa"/>
            <w:tcBorders>
              <w:top w:val="nil"/>
              <w:left w:val="nil"/>
              <w:bottom w:val="nil"/>
              <w:right w:val="nil"/>
            </w:tcBorders>
          </w:tcPr>
          <w:p>
            <w:pPr>
              <w:pStyle w:val="yTableNAm"/>
            </w:pPr>
            <w:r>
              <w:t>Derby</w:t>
            </w:r>
          </w:p>
        </w:tc>
        <w:tc>
          <w:tcPr>
            <w:tcW w:w="1810" w:type="dxa"/>
            <w:tcBorders>
              <w:top w:val="nil"/>
              <w:left w:val="nil"/>
              <w:bottom w:val="nil"/>
              <w:right w:val="nil"/>
            </w:tcBorders>
            <w:vAlign w:val="center"/>
          </w:tcPr>
          <w:p>
            <w:pPr>
              <w:pStyle w:val="yTableNAm"/>
              <w:jc w:val="center"/>
            </w:pPr>
            <w:r>
              <w:t>11.765</w:t>
            </w:r>
          </w:p>
        </w:tc>
        <w:tc>
          <w:tcPr>
            <w:tcW w:w="2268" w:type="dxa"/>
            <w:tcBorders>
              <w:top w:val="nil"/>
              <w:left w:val="nil"/>
              <w:bottom w:val="nil"/>
              <w:right w:val="nil"/>
            </w:tcBorders>
            <w:vAlign w:val="center"/>
          </w:tcPr>
          <w:p>
            <w:pPr>
              <w:pStyle w:val="yTableNAm"/>
              <w:jc w:val="center"/>
            </w:pPr>
            <w:r>
              <w:t>16.059</w:t>
            </w:r>
          </w:p>
        </w:tc>
      </w:tr>
      <w:tr>
        <w:tc>
          <w:tcPr>
            <w:tcW w:w="2159" w:type="dxa"/>
            <w:tcBorders>
              <w:top w:val="nil"/>
              <w:left w:val="nil"/>
              <w:bottom w:val="nil"/>
              <w:right w:val="nil"/>
            </w:tcBorders>
          </w:tcPr>
          <w:p>
            <w:pPr>
              <w:pStyle w:val="yTableNAm"/>
            </w:pPr>
            <w:r>
              <w:t>Dongara/Denison</w:t>
            </w:r>
          </w:p>
        </w:tc>
        <w:tc>
          <w:tcPr>
            <w:tcW w:w="1810" w:type="dxa"/>
            <w:tcBorders>
              <w:top w:val="nil"/>
              <w:left w:val="nil"/>
              <w:bottom w:val="nil"/>
              <w:right w:val="nil"/>
            </w:tcBorders>
            <w:vAlign w:val="center"/>
          </w:tcPr>
          <w:p>
            <w:pPr>
              <w:pStyle w:val="yTableNAm"/>
              <w:jc w:val="center"/>
            </w:pPr>
            <w:r>
              <w:t>16.281</w:t>
            </w:r>
          </w:p>
        </w:tc>
        <w:tc>
          <w:tcPr>
            <w:tcW w:w="2268" w:type="dxa"/>
            <w:tcBorders>
              <w:top w:val="nil"/>
              <w:left w:val="nil"/>
              <w:bottom w:val="nil"/>
              <w:right w:val="nil"/>
            </w:tcBorders>
            <w:vAlign w:val="center"/>
          </w:tcPr>
          <w:p>
            <w:pPr>
              <w:pStyle w:val="yTableNAm"/>
              <w:jc w:val="center"/>
            </w:pPr>
            <w:r>
              <w:t>27.330</w:t>
            </w:r>
          </w:p>
        </w:tc>
      </w:tr>
      <w:tr>
        <w:tc>
          <w:tcPr>
            <w:tcW w:w="2159" w:type="dxa"/>
            <w:tcBorders>
              <w:top w:val="nil"/>
              <w:left w:val="nil"/>
              <w:bottom w:val="nil"/>
              <w:right w:val="nil"/>
            </w:tcBorders>
          </w:tcPr>
          <w:p>
            <w:pPr>
              <w:pStyle w:val="yTableNAm"/>
            </w:pPr>
            <w:r>
              <w:t>Donnybrook</w:t>
            </w:r>
          </w:p>
        </w:tc>
        <w:tc>
          <w:tcPr>
            <w:tcW w:w="1810" w:type="dxa"/>
            <w:tcBorders>
              <w:top w:val="nil"/>
              <w:left w:val="nil"/>
              <w:bottom w:val="nil"/>
              <w:right w:val="nil"/>
            </w:tcBorders>
            <w:vAlign w:val="center"/>
          </w:tcPr>
          <w:p>
            <w:pPr>
              <w:pStyle w:val="yTableNAm"/>
              <w:jc w:val="center"/>
            </w:pPr>
            <w:r>
              <w:t>34.764</w:t>
            </w:r>
          </w:p>
        </w:tc>
        <w:tc>
          <w:tcPr>
            <w:tcW w:w="2268" w:type="dxa"/>
            <w:tcBorders>
              <w:top w:val="nil"/>
              <w:left w:val="nil"/>
              <w:bottom w:val="nil"/>
              <w:right w:val="nil"/>
            </w:tcBorders>
            <w:vAlign w:val="center"/>
          </w:tcPr>
          <w:p>
            <w:pPr>
              <w:pStyle w:val="yTableNAm"/>
              <w:jc w:val="center"/>
            </w:pPr>
            <w:r>
              <w:t>84.989</w:t>
            </w:r>
          </w:p>
        </w:tc>
      </w:tr>
      <w:tr>
        <w:tc>
          <w:tcPr>
            <w:tcW w:w="2159" w:type="dxa"/>
            <w:tcBorders>
              <w:top w:val="nil"/>
              <w:left w:val="nil"/>
              <w:bottom w:val="nil"/>
              <w:right w:val="nil"/>
            </w:tcBorders>
          </w:tcPr>
          <w:p>
            <w:pPr>
              <w:pStyle w:val="yTableNAm"/>
            </w:pPr>
            <w:r>
              <w:t>Dunsborough</w:t>
            </w:r>
          </w:p>
        </w:tc>
        <w:tc>
          <w:tcPr>
            <w:tcW w:w="1810" w:type="dxa"/>
            <w:tcBorders>
              <w:top w:val="nil"/>
              <w:left w:val="nil"/>
              <w:bottom w:val="nil"/>
              <w:right w:val="nil"/>
            </w:tcBorders>
            <w:vAlign w:val="center"/>
          </w:tcPr>
          <w:p>
            <w:pPr>
              <w:pStyle w:val="yTableNAm"/>
              <w:jc w:val="center"/>
            </w:pPr>
            <w:r>
              <w:t>7.258</w:t>
            </w:r>
          </w:p>
        </w:tc>
        <w:tc>
          <w:tcPr>
            <w:tcW w:w="2268" w:type="dxa"/>
            <w:tcBorders>
              <w:top w:val="nil"/>
              <w:left w:val="nil"/>
              <w:bottom w:val="nil"/>
              <w:right w:val="nil"/>
            </w:tcBorders>
            <w:vAlign w:val="center"/>
          </w:tcPr>
          <w:p>
            <w:pPr>
              <w:pStyle w:val="yTableNAm"/>
              <w:jc w:val="center"/>
            </w:pPr>
            <w:r>
              <w:t>5.842</w:t>
            </w:r>
          </w:p>
        </w:tc>
      </w:tr>
      <w:tr>
        <w:tc>
          <w:tcPr>
            <w:tcW w:w="2159" w:type="dxa"/>
            <w:tcBorders>
              <w:top w:val="nil"/>
              <w:left w:val="nil"/>
              <w:bottom w:val="nil"/>
              <w:right w:val="nil"/>
            </w:tcBorders>
          </w:tcPr>
          <w:p>
            <w:pPr>
              <w:pStyle w:val="yTableNAm"/>
            </w:pPr>
            <w:r>
              <w:t>Eaton</w:t>
            </w:r>
          </w:p>
        </w:tc>
        <w:tc>
          <w:tcPr>
            <w:tcW w:w="1810" w:type="dxa"/>
            <w:tcBorders>
              <w:top w:val="nil"/>
              <w:left w:val="nil"/>
              <w:bottom w:val="nil"/>
              <w:right w:val="nil"/>
            </w:tcBorders>
            <w:vAlign w:val="center"/>
          </w:tcPr>
          <w:p>
            <w:pPr>
              <w:pStyle w:val="yTableNAm"/>
              <w:jc w:val="center"/>
            </w:pPr>
            <w:r>
              <w:t>7.799</w:t>
            </w:r>
          </w:p>
        </w:tc>
        <w:tc>
          <w:tcPr>
            <w:tcW w:w="2268" w:type="dxa"/>
            <w:tcBorders>
              <w:top w:val="nil"/>
              <w:left w:val="nil"/>
              <w:bottom w:val="nil"/>
              <w:right w:val="nil"/>
            </w:tcBorders>
            <w:vAlign w:val="center"/>
          </w:tcPr>
          <w:p>
            <w:pPr>
              <w:pStyle w:val="yTableNAm"/>
              <w:jc w:val="center"/>
            </w:pPr>
            <w:r>
              <w:t>8.286</w:t>
            </w:r>
          </w:p>
        </w:tc>
      </w:tr>
      <w:tr>
        <w:tc>
          <w:tcPr>
            <w:tcW w:w="2159" w:type="dxa"/>
            <w:tcBorders>
              <w:top w:val="nil"/>
              <w:left w:val="nil"/>
              <w:bottom w:val="nil"/>
              <w:right w:val="nil"/>
            </w:tcBorders>
          </w:tcPr>
          <w:p>
            <w:pPr>
              <w:pStyle w:val="yTableNAm"/>
            </w:pPr>
            <w:r>
              <w:t>Eneabba</w:t>
            </w:r>
          </w:p>
        </w:tc>
        <w:tc>
          <w:tcPr>
            <w:tcW w:w="1810" w:type="dxa"/>
            <w:tcBorders>
              <w:top w:val="nil"/>
              <w:left w:val="nil"/>
              <w:bottom w:val="nil"/>
              <w:right w:val="nil"/>
            </w:tcBorders>
            <w:vAlign w:val="center"/>
          </w:tcPr>
          <w:p>
            <w:pPr>
              <w:pStyle w:val="yTableNAm"/>
              <w:jc w:val="center"/>
            </w:pPr>
            <w:r>
              <w:t>32.871</w:t>
            </w:r>
          </w:p>
        </w:tc>
        <w:tc>
          <w:tcPr>
            <w:tcW w:w="2268" w:type="dxa"/>
            <w:tcBorders>
              <w:top w:val="nil"/>
              <w:left w:val="nil"/>
              <w:bottom w:val="nil"/>
              <w:right w:val="nil"/>
            </w:tcBorders>
            <w:vAlign w:val="center"/>
          </w:tcPr>
          <w:p>
            <w:pPr>
              <w:pStyle w:val="yTableNAm"/>
              <w:jc w:val="center"/>
            </w:pPr>
            <w:r>
              <w:t>222.998</w:t>
            </w:r>
          </w:p>
        </w:tc>
      </w:tr>
      <w:tr>
        <w:tc>
          <w:tcPr>
            <w:tcW w:w="2159" w:type="dxa"/>
            <w:tcBorders>
              <w:top w:val="nil"/>
              <w:left w:val="nil"/>
              <w:bottom w:val="nil"/>
              <w:right w:val="nil"/>
            </w:tcBorders>
          </w:tcPr>
          <w:p>
            <w:pPr>
              <w:pStyle w:val="yTableNAm"/>
            </w:pPr>
            <w:r>
              <w:t>Esperance</w:t>
            </w:r>
          </w:p>
        </w:tc>
        <w:tc>
          <w:tcPr>
            <w:tcW w:w="1810" w:type="dxa"/>
            <w:tcBorders>
              <w:top w:val="nil"/>
              <w:left w:val="nil"/>
              <w:bottom w:val="nil"/>
              <w:right w:val="nil"/>
            </w:tcBorders>
            <w:vAlign w:val="center"/>
          </w:tcPr>
          <w:p>
            <w:pPr>
              <w:pStyle w:val="yTableNAm"/>
              <w:jc w:val="center"/>
            </w:pPr>
            <w:r>
              <w:t>9.153</w:t>
            </w:r>
          </w:p>
        </w:tc>
        <w:tc>
          <w:tcPr>
            <w:tcW w:w="2268" w:type="dxa"/>
            <w:tcBorders>
              <w:top w:val="nil"/>
              <w:left w:val="nil"/>
              <w:bottom w:val="nil"/>
              <w:right w:val="nil"/>
            </w:tcBorders>
            <w:vAlign w:val="center"/>
          </w:tcPr>
          <w:p>
            <w:pPr>
              <w:pStyle w:val="yTableNAm"/>
              <w:jc w:val="center"/>
            </w:pPr>
            <w:r>
              <w:t>13.767</w:t>
            </w:r>
          </w:p>
        </w:tc>
      </w:tr>
      <w:tr>
        <w:tc>
          <w:tcPr>
            <w:tcW w:w="2159" w:type="dxa"/>
            <w:tcBorders>
              <w:top w:val="nil"/>
              <w:left w:val="nil"/>
              <w:bottom w:val="nil"/>
              <w:right w:val="nil"/>
            </w:tcBorders>
          </w:tcPr>
          <w:p>
            <w:pPr>
              <w:pStyle w:val="yTableNAm"/>
            </w:pPr>
            <w:r>
              <w:t>Exmouth</w:t>
            </w:r>
          </w:p>
        </w:tc>
        <w:tc>
          <w:tcPr>
            <w:tcW w:w="1810" w:type="dxa"/>
            <w:tcBorders>
              <w:top w:val="nil"/>
              <w:left w:val="nil"/>
              <w:bottom w:val="nil"/>
              <w:right w:val="nil"/>
            </w:tcBorders>
            <w:vAlign w:val="center"/>
          </w:tcPr>
          <w:p>
            <w:pPr>
              <w:pStyle w:val="yTableNAm"/>
              <w:jc w:val="center"/>
            </w:pPr>
            <w:r>
              <w:t>3.040</w:t>
            </w:r>
          </w:p>
        </w:tc>
        <w:tc>
          <w:tcPr>
            <w:tcW w:w="2268" w:type="dxa"/>
            <w:tcBorders>
              <w:top w:val="nil"/>
              <w:left w:val="nil"/>
              <w:bottom w:val="nil"/>
              <w:right w:val="nil"/>
            </w:tcBorders>
            <w:vAlign w:val="center"/>
          </w:tcPr>
          <w:p>
            <w:pPr>
              <w:pStyle w:val="yTableNAm"/>
              <w:jc w:val="center"/>
            </w:pPr>
            <w:r>
              <w:t>5.311</w:t>
            </w:r>
          </w:p>
        </w:tc>
      </w:tr>
      <w:tr>
        <w:tc>
          <w:tcPr>
            <w:tcW w:w="2159" w:type="dxa"/>
            <w:tcBorders>
              <w:top w:val="nil"/>
              <w:left w:val="nil"/>
              <w:bottom w:val="nil"/>
              <w:right w:val="nil"/>
            </w:tcBorders>
          </w:tcPr>
          <w:p>
            <w:pPr>
              <w:pStyle w:val="yTableNAm"/>
            </w:pPr>
            <w:r>
              <w:t>Fitzroy Crossing</w:t>
            </w:r>
          </w:p>
        </w:tc>
        <w:tc>
          <w:tcPr>
            <w:tcW w:w="1810" w:type="dxa"/>
            <w:tcBorders>
              <w:top w:val="nil"/>
              <w:left w:val="nil"/>
              <w:bottom w:val="nil"/>
              <w:right w:val="nil"/>
            </w:tcBorders>
            <w:vAlign w:val="center"/>
          </w:tcPr>
          <w:p>
            <w:pPr>
              <w:pStyle w:val="yTableNAm"/>
              <w:jc w:val="center"/>
            </w:pPr>
            <w:r>
              <w:t>8.429</w:t>
            </w:r>
          </w:p>
        </w:tc>
        <w:tc>
          <w:tcPr>
            <w:tcW w:w="2268" w:type="dxa"/>
            <w:tcBorders>
              <w:top w:val="nil"/>
              <w:left w:val="nil"/>
              <w:bottom w:val="nil"/>
              <w:right w:val="nil"/>
            </w:tcBorders>
            <w:vAlign w:val="center"/>
          </w:tcPr>
          <w:p>
            <w:pPr>
              <w:pStyle w:val="yTableNAm"/>
              <w:jc w:val="center"/>
            </w:pPr>
            <w:r>
              <w:t>15.091</w:t>
            </w:r>
          </w:p>
        </w:tc>
      </w:tr>
      <w:tr>
        <w:tc>
          <w:tcPr>
            <w:tcW w:w="2159" w:type="dxa"/>
            <w:tcBorders>
              <w:top w:val="nil"/>
              <w:left w:val="nil"/>
              <w:bottom w:val="nil"/>
              <w:right w:val="nil"/>
            </w:tcBorders>
          </w:tcPr>
          <w:p>
            <w:pPr>
              <w:pStyle w:val="yTableNAm"/>
            </w:pPr>
            <w:r>
              <w:t>Geraldton</w:t>
            </w:r>
          </w:p>
        </w:tc>
        <w:tc>
          <w:tcPr>
            <w:tcW w:w="1810" w:type="dxa"/>
            <w:tcBorders>
              <w:top w:val="nil"/>
              <w:left w:val="nil"/>
              <w:bottom w:val="nil"/>
              <w:right w:val="nil"/>
            </w:tcBorders>
            <w:vAlign w:val="center"/>
          </w:tcPr>
          <w:p>
            <w:pPr>
              <w:pStyle w:val="yTableNAm"/>
              <w:jc w:val="center"/>
            </w:pPr>
            <w:r>
              <w:t>10.486</w:t>
            </w:r>
          </w:p>
        </w:tc>
        <w:tc>
          <w:tcPr>
            <w:tcW w:w="2268" w:type="dxa"/>
            <w:tcBorders>
              <w:top w:val="nil"/>
              <w:left w:val="nil"/>
              <w:bottom w:val="nil"/>
              <w:right w:val="nil"/>
            </w:tcBorders>
            <w:vAlign w:val="center"/>
          </w:tcPr>
          <w:p>
            <w:pPr>
              <w:pStyle w:val="yTableNAm"/>
              <w:jc w:val="center"/>
            </w:pPr>
            <w:r>
              <w:t>14.402</w:t>
            </w:r>
          </w:p>
        </w:tc>
      </w:tr>
      <w:tr>
        <w:tc>
          <w:tcPr>
            <w:tcW w:w="2159" w:type="dxa"/>
            <w:tcBorders>
              <w:top w:val="nil"/>
              <w:left w:val="nil"/>
              <w:bottom w:val="nil"/>
              <w:right w:val="nil"/>
            </w:tcBorders>
          </w:tcPr>
          <w:p>
            <w:pPr>
              <w:pStyle w:val="yTableNAm"/>
            </w:pPr>
            <w:r>
              <w:t>Gnowangerup</w:t>
            </w:r>
          </w:p>
        </w:tc>
        <w:tc>
          <w:tcPr>
            <w:tcW w:w="1810" w:type="dxa"/>
            <w:tcBorders>
              <w:top w:val="nil"/>
              <w:left w:val="nil"/>
              <w:bottom w:val="nil"/>
              <w:right w:val="nil"/>
            </w:tcBorders>
            <w:vAlign w:val="center"/>
          </w:tcPr>
          <w:p>
            <w:pPr>
              <w:pStyle w:val="yTableNAm"/>
              <w:jc w:val="center"/>
            </w:pPr>
            <w:r>
              <w:t>16.848</w:t>
            </w:r>
          </w:p>
        </w:tc>
        <w:tc>
          <w:tcPr>
            <w:tcW w:w="2268" w:type="dxa"/>
            <w:tcBorders>
              <w:top w:val="nil"/>
              <w:left w:val="nil"/>
              <w:bottom w:val="nil"/>
              <w:right w:val="nil"/>
            </w:tcBorders>
            <w:vAlign w:val="center"/>
          </w:tcPr>
          <w:p>
            <w:pPr>
              <w:pStyle w:val="yTableNAm"/>
              <w:jc w:val="center"/>
            </w:pPr>
            <w:r>
              <w:t>44.929</w:t>
            </w:r>
          </w:p>
        </w:tc>
      </w:tr>
      <w:tr>
        <w:tc>
          <w:tcPr>
            <w:tcW w:w="2159" w:type="dxa"/>
            <w:tcBorders>
              <w:top w:val="nil"/>
              <w:left w:val="nil"/>
              <w:bottom w:val="nil"/>
              <w:right w:val="nil"/>
            </w:tcBorders>
          </w:tcPr>
          <w:p>
            <w:pPr>
              <w:pStyle w:val="yTableNAm"/>
            </w:pPr>
            <w:r>
              <w:t>Greenhead</w:t>
            </w:r>
          </w:p>
        </w:tc>
        <w:tc>
          <w:tcPr>
            <w:tcW w:w="1810" w:type="dxa"/>
            <w:tcBorders>
              <w:top w:val="nil"/>
              <w:left w:val="nil"/>
              <w:bottom w:val="nil"/>
              <w:right w:val="nil"/>
            </w:tcBorders>
            <w:vAlign w:val="center"/>
          </w:tcPr>
          <w:p>
            <w:pPr>
              <w:pStyle w:val="yTableNAm"/>
              <w:jc w:val="center"/>
            </w:pPr>
            <w:r>
              <w:t>8.518</w:t>
            </w:r>
          </w:p>
        </w:tc>
        <w:tc>
          <w:tcPr>
            <w:tcW w:w="2268" w:type="dxa"/>
            <w:tcBorders>
              <w:top w:val="nil"/>
              <w:left w:val="nil"/>
              <w:bottom w:val="nil"/>
              <w:right w:val="nil"/>
            </w:tcBorders>
            <w:vAlign w:val="center"/>
          </w:tcPr>
          <w:p>
            <w:pPr>
              <w:pStyle w:val="yTableNAm"/>
              <w:jc w:val="center"/>
            </w:pPr>
            <w:r>
              <w:t>18.928</w:t>
            </w:r>
          </w:p>
        </w:tc>
      </w:tr>
      <w:tr>
        <w:tc>
          <w:tcPr>
            <w:tcW w:w="2159" w:type="dxa"/>
            <w:tcBorders>
              <w:top w:val="nil"/>
              <w:left w:val="nil"/>
              <w:bottom w:val="nil"/>
              <w:right w:val="nil"/>
            </w:tcBorders>
          </w:tcPr>
          <w:p>
            <w:pPr>
              <w:pStyle w:val="yTableNAm"/>
            </w:pPr>
            <w:r>
              <w:t>Halls Creek</w:t>
            </w:r>
          </w:p>
        </w:tc>
        <w:tc>
          <w:tcPr>
            <w:tcW w:w="1810" w:type="dxa"/>
            <w:tcBorders>
              <w:top w:val="nil"/>
              <w:left w:val="nil"/>
              <w:bottom w:val="nil"/>
              <w:right w:val="nil"/>
            </w:tcBorders>
            <w:vAlign w:val="center"/>
          </w:tcPr>
          <w:p>
            <w:pPr>
              <w:pStyle w:val="yTableNAm"/>
              <w:jc w:val="center"/>
            </w:pPr>
            <w:r>
              <w:t>13.896</w:t>
            </w:r>
          </w:p>
        </w:tc>
        <w:tc>
          <w:tcPr>
            <w:tcW w:w="2268" w:type="dxa"/>
            <w:tcBorders>
              <w:top w:val="nil"/>
              <w:left w:val="nil"/>
              <w:bottom w:val="nil"/>
              <w:right w:val="nil"/>
            </w:tcBorders>
            <w:vAlign w:val="center"/>
          </w:tcPr>
          <w:p>
            <w:pPr>
              <w:pStyle w:val="yTableNAm"/>
              <w:jc w:val="center"/>
            </w:pPr>
            <w:r>
              <w:t>55.148</w:t>
            </w:r>
          </w:p>
        </w:tc>
      </w:tr>
      <w:tr>
        <w:tc>
          <w:tcPr>
            <w:tcW w:w="2159" w:type="dxa"/>
            <w:tcBorders>
              <w:top w:val="nil"/>
              <w:left w:val="nil"/>
              <w:bottom w:val="nil"/>
              <w:right w:val="nil"/>
            </w:tcBorders>
          </w:tcPr>
          <w:p>
            <w:pPr>
              <w:pStyle w:val="yTableNAm"/>
            </w:pPr>
            <w:r>
              <w:t>Harvey</w:t>
            </w:r>
          </w:p>
        </w:tc>
        <w:tc>
          <w:tcPr>
            <w:tcW w:w="1810" w:type="dxa"/>
            <w:tcBorders>
              <w:top w:val="nil"/>
              <w:left w:val="nil"/>
              <w:bottom w:val="nil"/>
              <w:right w:val="nil"/>
            </w:tcBorders>
            <w:vAlign w:val="center"/>
          </w:tcPr>
          <w:p>
            <w:pPr>
              <w:pStyle w:val="yTableNAm"/>
              <w:jc w:val="center"/>
            </w:pPr>
            <w:r>
              <w:t>10.202</w:t>
            </w:r>
          </w:p>
        </w:tc>
        <w:tc>
          <w:tcPr>
            <w:tcW w:w="2268" w:type="dxa"/>
            <w:tcBorders>
              <w:top w:val="nil"/>
              <w:left w:val="nil"/>
              <w:bottom w:val="nil"/>
              <w:right w:val="nil"/>
            </w:tcBorders>
            <w:vAlign w:val="center"/>
          </w:tcPr>
          <w:p>
            <w:pPr>
              <w:pStyle w:val="yTableNAm"/>
              <w:jc w:val="center"/>
            </w:pPr>
            <w:r>
              <w:t>15.056</w:t>
            </w:r>
          </w:p>
        </w:tc>
      </w:tr>
      <w:tr>
        <w:tc>
          <w:tcPr>
            <w:tcW w:w="2159" w:type="dxa"/>
            <w:tcBorders>
              <w:top w:val="nil"/>
              <w:left w:val="nil"/>
              <w:bottom w:val="nil"/>
              <w:right w:val="nil"/>
            </w:tcBorders>
          </w:tcPr>
          <w:p>
            <w:pPr>
              <w:pStyle w:val="yTableNAm"/>
            </w:pPr>
            <w:r>
              <w:t>Hopetoun</w:t>
            </w:r>
          </w:p>
        </w:tc>
        <w:tc>
          <w:tcPr>
            <w:tcW w:w="1810" w:type="dxa"/>
            <w:tcBorders>
              <w:top w:val="nil"/>
              <w:left w:val="nil"/>
              <w:bottom w:val="nil"/>
              <w:right w:val="nil"/>
            </w:tcBorders>
            <w:vAlign w:val="center"/>
          </w:tcPr>
          <w:p>
            <w:pPr>
              <w:pStyle w:val="yTableNAm"/>
              <w:jc w:val="center"/>
            </w:pPr>
            <w:r>
              <w:t>53.354</w:t>
            </w:r>
          </w:p>
        </w:tc>
        <w:tc>
          <w:tcPr>
            <w:tcW w:w="2268" w:type="dxa"/>
            <w:tcBorders>
              <w:top w:val="nil"/>
              <w:left w:val="nil"/>
              <w:bottom w:val="nil"/>
              <w:right w:val="nil"/>
            </w:tcBorders>
            <w:vAlign w:val="center"/>
          </w:tcPr>
          <w:p>
            <w:pPr>
              <w:pStyle w:val="yTableNAm"/>
              <w:jc w:val="center"/>
            </w:pPr>
            <w:r>
              <w:t>99.114</w:t>
            </w:r>
          </w:p>
        </w:tc>
      </w:tr>
      <w:tr>
        <w:tc>
          <w:tcPr>
            <w:tcW w:w="2159" w:type="dxa"/>
            <w:tcBorders>
              <w:top w:val="nil"/>
              <w:left w:val="nil"/>
              <w:bottom w:val="nil"/>
              <w:right w:val="nil"/>
            </w:tcBorders>
          </w:tcPr>
          <w:p>
            <w:pPr>
              <w:pStyle w:val="yTableNAm"/>
            </w:pPr>
            <w:r>
              <w:t>Horrocks</w:t>
            </w:r>
          </w:p>
        </w:tc>
        <w:tc>
          <w:tcPr>
            <w:tcW w:w="1810" w:type="dxa"/>
            <w:tcBorders>
              <w:top w:val="nil"/>
              <w:left w:val="nil"/>
              <w:bottom w:val="nil"/>
              <w:right w:val="nil"/>
            </w:tcBorders>
            <w:vAlign w:val="center"/>
          </w:tcPr>
          <w:p>
            <w:pPr>
              <w:pStyle w:val="yTableNAm"/>
              <w:jc w:val="center"/>
            </w:pPr>
            <w:r>
              <w:t>25.394</w:t>
            </w:r>
          </w:p>
        </w:tc>
        <w:tc>
          <w:tcPr>
            <w:tcW w:w="2268" w:type="dxa"/>
            <w:tcBorders>
              <w:top w:val="nil"/>
              <w:left w:val="nil"/>
              <w:bottom w:val="nil"/>
              <w:right w:val="nil"/>
            </w:tcBorders>
            <w:vAlign w:val="center"/>
          </w:tcPr>
          <w:p>
            <w:pPr>
              <w:pStyle w:val="yTableNAm"/>
              <w:jc w:val="center"/>
            </w:pPr>
            <w:r>
              <w:t>42.613</w:t>
            </w:r>
          </w:p>
        </w:tc>
      </w:tr>
      <w:tr>
        <w:tc>
          <w:tcPr>
            <w:tcW w:w="2159" w:type="dxa"/>
            <w:tcBorders>
              <w:top w:val="nil"/>
              <w:left w:val="nil"/>
              <w:bottom w:val="nil"/>
              <w:right w:val="nil"/>
            </w:tcBorders>
          </w:tcPr>
          <w:p>
            <w:pPr>
              <w:pStyle w:val="yTableNAm"/>
            </w:pPr>
            <w:r>
              <w:t>Hyden</w:t>
            </w:r>
          </w:p>
        </w:tc>
        <w:tc>
          <w:tcPr>
            <w:tcW w:w="1810" w:type="dxa"/>
            <w:tcBorders>
              <w:top w:val="nil"/>
              <w:left w:val="nil"/>
              <w:bottom w:val="nil"/>
              <w:right w:val="nil"/>
            </w:tcBorders>
            <w:vAlign w:val="center"/>
          </w:tcPr>
          <w:p>
            <w:pPr>
              <w:pStyle w:val="yTableNAm"/>
              <w:jc w:val="center"/>
            </w:pPr>
            <w:r>
              <w:t>88.177</w:t>
            </w:r>
          </w:p>
        </w:tc>
        <w:tc>
          <w:tcPr>
            <w:tcW w:w="2268" w:type="dxa"/>
            <w:tcBorders>
              <w:top w:val="nil"/>
              <w:left w:val="nil"/>
              <w:bottom w:val="nil"/>
              <w:right w:val="nil"/>
            </w:tcBorders>
            <w:vAlign w:val="center"/>
          </w:tcPr>
          <w:p>
            <w:pPr>
              <w:pStyle w:val="yTableNAm"/>
              <w:jc w:val="center"/>
            </w:pPr>
            <w:r>
              <w:t>260.033</w:t>
            </w:r>
          </w:p>
        </w:tc>
      </w:tr>
      <w:tr>
        <w:tc>
          <w:tcPr>
            <w:tcW w:w="2159" w:type="dxa"/>
            <w:tcBorders>
              <w:top w:val="nil"/>
              <w:left w:val="nil"/>
              <w:bottom w:val="nil"/>
              <w:right w:val="nil"/>
            </w:tcBorders>
          </w:tcPr>
          <w:p>
            <w:pPr>
              <w:pStyle w:val="yTableNAm"/>
            </w:pPr>
            <w:r>
              <w:t>Jurien</w:t>
            </w:r>
          </w:p>
        </w:tc>
        <w:tc>
          <w:tcPr>
            <w:tcW w:w="1810" w:type="dxa"/>
            <w:tcBorders>
              <w:top w:val="nil"/>
              <w:left w:val="nil"/>
              <w:bottom w:val="nil"/>
              <w:right w:val="nil"/>
            </w:tcBorders>
            <w:vAlign w:val="center"/>
          </w:tcPr>
          <w:p>
            <w:pPr>
              <w:pStyle w:val="yTableNAm"/>
              <w:jc w:val="center"/>
            </w:pPr>
            <w:r>
              <w:t>4.394</w:t>
            </w:r>
          </w:p>
        </w:tc>
        <w:tc>
          <w:tcPr>
            <w:tcW w:w="2268" w:type="dxa"/>
            <w:tcBorders>
              <w:top w:val="nil"/>
              <w:left w:val="nil"/>
              <w:bottom w:val="nil"/>
              <w:right w:val="nil"/>
            </w:tcBorders>
            <w:vAlign w:val="center"/>
          </w:tcPr>
          <w:p>
            <w:pPr>
              <w:pStyle w:val="yTableNAm"/>
              <w:jc w:val="center"/>
            </w:pPr>
            <w:r>
              <w:t>10.351</w:t>
            </w:r>
          </w:p>
        </w:tc>
      </w:tr>
      <w:tr>
        <w:tc>
          <w:tcPr>
            <w:tcW w:w="2159" w:type="dxa"/>
            <w:tcBorders>
              <w:top w:val="nil"/>
              <w:left w:val="nil"/>
              <w:bottom w:val="nil"/>
              <w:right w:val="nil"/>
            </w:tcBorders>
          </w:tcPr>
          <w:p>
            <w:pPr>
              <w:pStyle w:val="yTableNAm"/>
            </w:pPr>
            <w:r>
              <w:t>Kalbarri</w:t>
            </w:r>
          </w:p>
        </w:tc>
        <w:tc>
          <w:tcPr>
            <w:tcW w:w="1810" w:type="dxa"/>
            <w:tcBorders>
              <w:top w:val="nil"/>
              <w:left w:val="nil"/>
              <w:bottom w:val="nil"/>
              <w:right w:val="nil"/>
            </w:tcBorders>
            <w:vAlign w:val="center"/>
          </w:tcPr>
          <w:p>
            <w:pPr>
              <w:pStyle w:val="yTableNAm"/>
              <w:jc w:val="center"/>
            </w:pPr>
            <w:r>
              <w:t>10.557</w:t>
            </w:r>
          </w:p>
        </w:tc>
        <w:tc>
          <w:tcPr>
            <w:tcW w:w="2268" w:type="dxa"/>
            <w:tcBorders>
              <w:top w:val="nil"/>
              <w:left w:val="nil"/>
              <w:bottom w:val="nil"/>
              <w:right w:val="nil"/>
            </w:tcBorders>
            <w:vAlign w:val="center"/>
          </w:tcPr>
          <w:p>
            <w:pPr>
              <w:pStyle w:val="yTableNAm"/>
              <w:jc w:val="center"/>
            </w:pPr>
            <w:r>
              <w:t>20.663</w:t>
            </w:r>
          </w:p>
        </w:tc>
      </w:tr>
      <w:tr>
        <w:tc>
          <w:tcPr>
            <w:tcW w:w="2159" w:type="dxa"/>
            <w:tcBorders>
              <w:top w:val="nil"/>
              <w:left w:val="nil"/>
              <w:bottom w:val="nil"/>
              <w:right w:val="nil"/>
            </w:tcBorders>
          </w:tcPr>
          <w:p>
            <w:pPr>
              <w:pStyle w:val="yTableNAm"/>
            </w:pPr>
            <w:r>
              <w:t>Kambalda</w:t>
            </w:r>
          </w:p>
        </w:tc>
        <w:tc>
          <w:tcPr>
            <w:tcW w:w="1810" w:type="dxa"/>
            <w:tcBorders>
              <w:top w:val="nil"/>
              <w:left w:val="nil"/>
              <w:bottom w:val="nil"/>
              <w:right w:val="nil"/>
            </w:tcBorders>
            <w:vAlign w:val="center"/>
          </w:tcPr>
          <w:p>
            <w:pPr>
              <w:pStyle w:val="yTableNAm"/>
              <w:jc w:val="center"/>
            </w:pPr>
            <w:r>
              <w:t>7.205</w:t>
            </w:r>
          </w:p>
        </w:tc>
        <w:tc>
          <w:tcPr>
            <w:tcW w:w="2268" w:type="dxa"/>
            <w:tcBorders>
              <w:top w:val="nil"/>
              <w:left w:val="nil"/>
              <w:bottom w:val="nil"/>
              <w:right w:val="nil"/>
            </w:tcBorders>
            <w:vAlign w:val="center"/>
          </w:tcPr>
          <w:p>
            <w:pPr>
              <w:pStyle w:val="yTableNAm"/>
              <w:jc w:val="center"/>
            </w:pPr>
            <w:r>
              <w:t>44.696</w:t>
            </w:r>
          </w:p>
        </w:tc>
      </w:tr>
      <w:tr>
        <w:tc>
          <w:tcPr>
            <w:tcW w:w="2159" w:type="dxa"/>
            <w:tcBorders>
              <w:top w:val="nil"/>
              <w:left w:val="nil"/>
              <w:bottom w:val="nil"/>
              <w:right w:val="nil"/>
            </w:tcBorders>
          </w:tcPr>
          <w:p>
            <w:pPr>
              <w:pStyle w:val="yTableNAm"/>
            </w:pPr>
            <w:r>
              <w:t>Karratha</w:t>
            </w:r>
          </w:p>
        </w:tc>
        <w:tc>
          <w:tcPr>
            <w:tcW w:w="1810" w:type="dxa"/>
            <w:tcBorders>
              <w:top w:val="nil"/>
              <w:left w:val="nil"/>
              <w:bottom w:val="nil"/>
              <w:right w:val="nil"/>
            </w:tcBorders>
            <w:vAlign w:val="center"/>
          </w:tcPr>
          <w:p>
            <w:pPr>
              <w:pStyle w:val="yTableNAm"/>
              <w:jc w:val="center"/>
            </w:pPr>
            <w:r>
              <w:t>4.275</w:t>
            </w:r>
          </w:p>
        </w:tc>
        <w:tc>
          <w:tcPr>
            <w:tcW w:w="2268" w:type="dxa"/>
            <w:tcBorders>
              <w:top w:val="nil"/>
              <w:left w:val="nil"/>
              <w:bottom w:val="nil"/>
              <w:right w:val="nil"/>
            </w:tcBorders>
            <w:vAlign w:val="center"/>
          </w:tcPr>
          <w:p>
            <w:pPr>
              <w:pStyle w:val="yTableNAm"/>
              <w:jc w:val="center"/>
            </w:pPr>
            <w:r>
              <w:t>10.573</w:t>
            </w:r>
          </w:p>
        </w:tc>
      </w:tr>
      <w:tr>
        <w:tc>
          <w:tcPr>
            <w:tcW w:w="2159" w:type="dxa"/>
            <w:tcBorders>
              <w:top w:val="nil"/>
              <w:left w:val="nil"/>
              <w:bottom w:val="nil"/>
              <w:right w:val="nil"/>
            </w:tcBorders>
          </w:tcPr>
          <w:p>
            <w:pPr>
              <w:pStyle w:val="yTableNAm"/>
            </w:pPr>
            <w:r>
              <w:t>Katanning</w:t>
            </w:r>
          </w:p>
        </w:tc>
        <w:tc>
          <w:tcPr>
            <w:tcW w:w="1810" w:type="dxa"/>
            <w:tcBorders>
              <w:top w:val="nil"/>
              <w:left w:val="nil"/>
              <w:bottom w:val="nil"/>
              <w:right w:val="nil"/>
            </w:tcBorders>
            <w:vAlign w:val="center"/>
          </w:tcPr>
          <w:p>
            <w:pPr>
              <w:pStyle w:val="yTableNAm"/>
              <w:jc w:val="center"/>
            </w:pPr>
            <w:r>
              <w:t>15.452</w:t>
            </w:r>
          </w:p>
        </w:tc>
        <w:tc>
          <w:tcPr>
            <w:tcW w:w="2268" w:type="dxa"/>
            <w:tcBorders>
              <w:top w:val="nil"/>
              <w:left w:val="nil"/>
              <w:bottom w:val="nil"/>
              <w:right w:val="nil"/>
            </w:tcBorders>
            <w:vAlign w:val="center"/>
          </w:tcPr>
          <w:p>
            <w:pPr>
              <w:pStyle w:val="yTableNAm"/>
              <w:jc w:val="center"/>
            </w:pPr>
            <w:r>
              <w:t>69.716</w:t>
            </w:r>
          </w:p>
        </w:tc>
      </w:tr>
      <w:tr>
        <w:tc>
          <w:tcPr>
            <w:tcW w:w="2159" w:type="dxa"/>
            <w:tcBorders>
              <w:top w:val="nil"/>
              <w:left w:val="nil"/>
              <w:bottom w:val="nil"/>
              <w:right w:val="nil"/>
            </w:tcBorders>
          </w:tcPr>
          <w:p>
            <w:pPr>
              <w:pStyle w:val="yTableNAm"/>
            </w:pPr>
            <w:r>
              <w:t>Kellerberrin</w:t>
            </w:r>
          </w:p>
        </w:tc>
        <w:tc>
          <w:tcPr>
            <w:tcW w:w="1810" w:type="dxa"/>
            <w:tcBorders>
              <w:top w:val="nil"/>
              <w:left w:val="nil"/>
              <w:bottom w:val="nil"/>
              <w:right w:val="nil"/>
            </w:tcBorders>
            <w:vAlign w:val="center"/>
          </w:tcPr>
          <w:p>
            <w:pPr>
              <w:pStyle w:val="yTableNAm"/>
              <w:jc w:val="center"/>
            </w:pPr>
            <w:r>
              <w:t>29.811</w:t>
            </w:r>
          </w:p>
        </w:tc>
        <w:tc>
          <w:tcPr>
            <w:tcW w:w="2268" w:type="dxa"/>
            <w:tcBorders>
              <w:top w:val="nil"/>
              <w:left w:val="nil"/>
              <w:bottom w:val="nil"/>
              <w:right w:val="nil"/>
            </w:tcBorders>
            <w:vAlign w:val="center"/>
          </w:tcPr>
          <w:p>
            <w:pPr>
              <w:pStyle w:val="yTableNAm"/>
              <w:jc w:val="center"/>
            </w:pPr>
            <w:r>
              <w:t>252.860</w:t>
            </w:r>
          </w:p>
        </w:tc>
      </w:tr>
      <w:tr>
        <w:tc>
          <w:tcPr>
            <w:tcW w:w="2159" w:type="dxa"/>
            <w:tcBorders>
              <w:top w:val="nil"/>
              <w:left w:val="nil"/>
              <w:bottom w:val="nil"/>
              <w:right w:val="nil"/>
            </w:tcBorders>
          </w:tcPr>
          <w:p>
            <w:pPr>
              <w:pStyle w:val="yTableNAm"/>
            </w:pPr>
            <w:r>
              <w:t>Kojonup</w:t>
            </w:r>
          </w:p>
        </w:tc>
        <w:tc>
          <w:tcPr>
            <w:tcW w:w="1810" w:type="dxa"/>
            <w:tcBorders>
              <w:top w:val="nil"/>
              <w:left w:val="nil"/>
              <w:bottom w:val="nil"/>
              <w:right w:val="nil"/>
            </w:tcBorders>
            <w:vAlign w:val="center"/>
          </w:tcPr>
          <w:p>
            <w:pPr>
              <w:pStyle w:val="yTableNAm"/>
              <w:jc w:val="center"/>
            </w:pPr>
            <w:r>
              <w:t>19.430</w:t>
            </w:r>
          </w:p>
        </w:tc>
        <w:tc>
          <w:tcPr>
            <w:tcW w:w="2268" w:type="dxa"/>
            <w:tcBorders>
              <w:top w:val="nil"/>
              <w:left w:val="nil"/>
              <w:bottom w:val="nil"/>
              <w:right w:val="nil"/>
            </w:tcBorders>
            <w:vAlign w:val="center"/>
          </w:tcPr>
          <w:p>
            <w:pPr>
              <w:pStyle w:val="yTableNAm"/>
              <w:jc w:val="center"/>
            </w:pPr>
            <w:r>
              <w:t>62.309</w:t>
            </w:r>
          </w:p>
        </w:tc>
      </w:tr>
      <w:tr>
        <w:tc>
          <w:tcPr>
            <w:tcW w:w="2159" w:type="dxa"/>
            <w:tcBorders>
              <w:top w:val="nil"/>
              <w:left w:val="nil"/>
              <w:bottom w:val="nil"/>
              <w:right w:val="nil"/>
            </w:tcBorders>
          </w:tcPr>
          <w:p>
            <w:pPr>
              <w:pStyle w:val="yTableNAm"/>
            </w:pPr>
            <w:r>
              <w:t>Kulin</w:t>
            </w:r>
          </w:p>
        </w:tc>
        <w:tc>
          <w:tcPr>
            <w:tcW w:w="1810" w:type="dxa"/>
            <w:tcBorders>
              <w:top w:val="nil"/>
              <w:left w:val="nil"/>
              <w:bottom w:val="nil"/>
              <w:right w:val="nil"/>
            </w:tcBorders>
            <w:vAlign w:val="center"/>
          </w:tcPr>
          <w:p>
            <w:pPr>
              <w:pStyle w:val="yTableNAm"/>
              <w:jc w:val="center"/>
            </w:pPr>
            <w:r>
              <w:t>46.297</w:t>
            </w:r>
          </w:p>
        </w:tc>
        <w:tc>
          <w:tcPr>
            <w:tcW w:w="2268" w:type="dxa"/>
            <w:tcBorders>
              <w:top w:val="nil"/>
              <w:left w:val="nil"/>
              <w:bottom w:val="nil"/>
              <w:right w:val="nil"/>
            </w:tcBorders>
            <w:vAlign w:val="center"/>
          </w:tcPr>
          <w:p>
            <w:pPr>
              <w:pStyle w:val="yTableNAm"/>
              <w:jc w:val="center"/>
            </w:pPr>
            <w:r>
              <w:t>401.661</w:t>
            </w:r>
          </w:p>
        </w:tc>
      </w:tr>
      <w:tr>
        <w:tc>
          <w:tcPr>
            <w:tcW w:w="2159" w:type="dxa"/>
            <w:tcBorders>
              <w:top w:val="nil"/>
              <w:left w:val="nil"/>
              <w:bottom w:val="nil"/>
              <w:right w:val="nil"/>
            </w:tcBorders>
          </w:tcPr>
          <w:p>
            <w:pPr>
              <w:pStyle w:val="yTableNAm"/>
            </w:pPr>
            <w:r>
              <w:t>Kununurra</w:t>
            </w:r>
          </w:p>
        </w:tc>
        <w:tc>
          <w:tcPr>
            <w:tcW w:w="1810" w:type="dxa"/>
            <w:tcBorders>
              <w:top w:val="nil"/>
              <w:left w:val="nil"/>
              <w:bottom w:val="nil"/>
              <w:right w:val="nil"/>
            </w:tcBorders>
            <w:vAlign w:val="center"/>
          </w:tcPr>
          <w:p>
            <w:pPr>
              <w:pStyle w:val="yTableNAm"/>
              <w:jc w:val="center"/>
            </w:pPr>
            <w:r>
              <w:t>8.055</w:t>
            </w:r>
          </w:p>
        </w:tc>
        <w:tc>
          <w:tcPr>
            <w:tcW w:w="2268" w:type="dxa"/>
            <w:tcBorders>
              <w:top w:val="nil"/>
              <w:left w:val="nil"/>
              <w:bottom w:val="nil"/>
              <w:right w:val="nil"/>
            </w:tcBorders>
            <w:vAlign w:val="center"/>
          </w:tcPr>
          <w:p>
            <w:pPr>
              <w:pStyle w:val="yTableNAm"/>
              <w:jc w:val="center"/>
            </w:pPr>
            <w:r>
              <w:t>15.682</w:t>
            </w:r>
          </w:p>
        </w:tc>
      </w:tr>
      <w:tr>
        <w:tc>
          <w:tcPr>
            <w:tcW w:w="2159" w:type="dxa"/>
            <w:tcBorders>
              <w:top w:val="nil"/>
              <w:left w:val="nil"/>
              <w:bottom w:val="nil"/>
              <w:right w:val="nil"/>
            </w:tcBorders>
          </w:tcPr>
          <w:p>
            <w:pPr>
              <w:pStyle w:val="yTableNAm"/>
            </w:pPr>
            <w:r>
              <w:t>Lancelin</w:t>
            </w:r>
          </w:p>
        </w:tc>
        <w:tc>
          <w:tcPr>
            <w:tcW w:w="1810" w:type="dxa"/>
            <w:tcBorders>
              <w:top w:val="nil"/>
              <w:left w:val="nil"/>
              <w:bottom w:val="nil"/>
              <w:right w:val="nil"/>
            </w:tcBorders>
            <w:vAlign w:val="center"/>
          </w:tcPr>
          <w:p>
            <w:pPr>
              <w:pStyle w:val="yTableNAm"/>
              <w:jc w:val="center"/>
            </w:pPr>
            <w:r>
              <w:t>19.482</w:t>
            </w:r>
          </w:p>
        </w:tc>
        <w:tc>
          <w:tcPr>
            <w:tcW w:w="2268" w:type="dxa"/>
            <w:tcBorders>
              <w:top w:val="nil"/>
              <w:left w:val="nil"/>
              <w:bottom w:val="nil"/>
              <w:right w:val="nil"/>
            </w:tcBorders>
            <w:vAlign w:val="center"/>
          </w:tcPr>
          <w:p>
            <w:pPr>
              <w:pStyle w:val="yTableNAm"/>
              <w:jc w:val="center"/>
            </w:pPr>
            <w:r>
              <w:t>11.129</w:t>
            </w:r>
          </w:p>
        </w:tc>
      </w:tr>
      <w:tr>
        <w:tc>
          <w:tcPr>
            <w:tcW w:w="2159" w:type="dxa"/>
            <w:tcBorders>
              <w:top w:val="nil"/>
              <w:left w:val="nil"/>
              <w:bottom w:val="nil"/>
              <w:right w:val="nil"/>
            </w:tcBorders>
          </w:tcPr>
          <w:p>
            <w:pPr>
              <w:pStyle w:val="yTableNAm"/>
            </w:pPr>
            <w:r>
              <w:t>Laverton</w:t>
            </w:r>
          </w:p>
        </w:tc>
        <w:tc>
          <w:tcPr>
            <w:tcW w:w="1810" w:type="dxa"/>
            <w:tcBorders>
              <w:top w:val="nil"/>
              <w:left w:val="nil"/>
              <w:bottom w:val="nil"/>
              <w:right w:val="nil"/>
            </w:tcBorders>
            <w:vAlign w:val="center"/>
          </w:tcPr>
          <w:p>
            <w:pPr>
              <w:pStyle w:val="yTableNAm"/>
              <w:jc w:val="center"/>
            </w:pPr>
            <w:r>
              <w:t>25.683</w:t>
            </w:r>
          </w:p>
        </w:tc>
        <w:tc>
          <w:tcPr>
            <w:tcW w:w="2268" w:type="dxa"/>
            <w:tcBorders>
              <w:top w:val="nil"/>
              <w:left w:val="nil"/>
              <w:bottom w:val="nil"/>
              <w:right w:val="nil"/>
            </w:tcBorders>
            <w:vAlign w:val="center"/>
          </w:tcPr>
          <w:p>
            <w:pPr>
              <w:pStyle w:val="yTableNAm"/>
              <w:jc w:val="center"/>
            </w:pPr>
            <w:r>
              <w:t>601.603</w:t>
            </w:r>
          </w:p>
        </w:tc>
      </w:tr>
      <w:tr>
        <w:tc>
          <w:tcPr>
            <w:tcW w:w="2159" w:type="dxa"/>
            <w:tcBorders>
              <w:top w:val="nil"/>
              <w:left w:val="nil"/>
              <w:bottom w:val="nil"/>
              <w:right w:val="nil"/>
            </w:tcBorders>
          </w:tcPr>
          <w:p>
            <w:pPr>
              <w:pStyle w:val="yTableNAm"/>
            </w:pPr>
            <w:r>
              <w:t>Ledge Point</w:t>
            </w:r>
          </w:p>
        </w:tc>
        <w:tc>
          <w:tcPr>
            <w:tcW w:w="1810" w:type="dxa"/>
            <w:tcBorders>
              <w:top w:val="nil"/>
              <w:left w:val="nil"/>
              <w:bottom w:val="nil"/>
              <w:right w:val="nil"/>
            </w:tcBorders>
            <w:vAlign w:val="center"/>
          </w:tcPr>
          <w:p>
            <w:pPr>
              <w:pStyle w:val="yTableNAm"/>
              <w:jc w:val="center"/>
            </w:pPr>
            <w:r>
              <w:t>8.342</w:t>
            </w:r>
          </w:p>
        </w:tc>
        <w:tc>
          <w:tcPr>
            <w:tcW w:w="2268" w:type="dxa"/>
            <w:tcBorders>
              <w:top w:val="nil"/>
              <w:left w:val="nil"/>
              <w:bottom w:val="nil"/>
              <w:right w:val="nil"/>
            </w:tcBorders>
            <w:vAlign w:val="center"/>
          </w:tcPr>
          <w:p>
            <w:pPr>
              <w:pStyle w:val="yTableNAm"/>
              <w:jc w:val="center"/>
            </w:pPr>
            <w:r>
              <w:t>9.525</w:t>
            </w:r>
          </w:p>
        </w:tc>
      </w:tr>
      <w:tr>
        <w:tc>
          <w:tcPr>
            <w:tcW w:w="2159" w:type="dxa"/>
            <w:tcBorders>
              <w:top w:val="nil"/>
              <w:left w:val="nil"/>
              <w:bottom w:val="nil"/>
              <w:right w:val="nil"/>
            </w:tcBorders>
          </w:tcPr>
          <w:p>
            <w:pPr>
              <w:pStyle w:val="yTableNAm"/>
            </w:pPr>
            <w:r>
              <w:t>Leeman</w:t>
            </w:r>
          </w:p>
        </w:tc>
        <w:tc>
          <w:tcPr>
            <w:tcW w:w="1810" w:type="dxa"/>
            <w:tcBorders>
              <w:top w:val="nil"/>
              <w:left w:val="nil"/>
              <w:bottom w:val="nil"/>
              <w:right w:val="nil"/>
            </w:tcBorders>
            <w:vAlign w:val="center"/>
          </w:tcPr>
          <w:p>
            <w:pPr>
              <w:pStyle w:val="yTableNAm"/>
              <w:jc w:val="center"/>
            </w:pPr>
            <w:r>
              <w:t>15.197</w:t>
            </w:r>
          </w:p>
        </w:tc>
        <w:tc>
          <w:tcPr>
            <w:tcW w:w="2268" w:type="dxa"/>
            <w:tcBorders>
              <w:top w:val="nil"/>
              <w:left w:val="nil"/>
              <w:bottom w:val="nil"/>
              <w:right w:val="nil"/>
            </w:tcBorders>
            <w:vAlign w:val="center"/>
          </w:tcPr>
          <w:p>
            <w:pPr>
              <w:pStyle w:val="yTableNAm"/>
              <w:jc w:val="center"/>
            </w:pPr>
            <w:r>
              <w:t>25.098</w:t>
            </w:r>
          </w:p>
        </w:tc>
      </w:tr>
      <w:tr>
        <w:tc>
          <w:tcPr>
            <w:tcW w:w="2159" w:type="dxa"/>
            <w:tcBorders>
              <w:top w:val="nil"/>
              <w:left w:val="nil"/>
              <w:bottom w:val="nil"/>
              <w:right w:val="nil"/>
            </w:tcBorders>
          </w:tcPr>
          <w:p>
            <w:pPr>
              <w:pStyle w:val="yTableNAm"/>
            </w:pPr>
            <w:r>
              <w:t>Leonora</w:t>
            </w:r>
          </w:p>
        </w:tc>
        <w:tc>
          <w:tcPr>
            <w:tcW w:w="1810" w:type="dxa"/>
            <w:tcBorders>
              <w:top w:val="nil"/>
              <w:left w:val="nil"/>
              <w:bottom w:val="nil"/>
              <w:right w:val="nil"/>
            </w:tcBorders>
            <w:vAlign w:val="center"/>
          </w:tcPr>
          <w:p>
            <w:pPr>
              <w:pStyle w:val="yTableNAm"/>
              <w:jc w:val="center"/>
            </w:pPr>
            <w:r>
              <w:t>2.697</w:t>
            </w:r>
          </w:p>
        </w:tc>
        <w:tc>
          <w:tcPr>
            <w:tcW w:w="2268" w:type="dxa"/>
            <w:tcBorders>
              <w:top w:val="nil"/>
              <w:left w:val="nil"/>
              <w:bottom w:val="nil"/>
              <w:right w:val="nil"/>
            </w:tcBorders>
            <w:vAlign w:val="center"/>
          </w:tcPr>
          <w:p>
            <w:pPr>
              <w:pStyle w:val="yTableNAm"/>
              <w:jc w:val="center"/>
            </w:pPr>
            <w:r>
              <w:t>24.551</w:t>
            </w:r>
          </w:p>
        </w:tc>
      </w:tr>
      <w:tr>
        <w:tc>
          <w:tcPr>
            <w:tcW w:w="2159" w:type="dxa"/>
            <w:tcBorders>
              <w:top w:val="nil"/>
              <w:left w:val="nil"/>
              <w:bottom w:val="nil"/>
              <w:right w:val="nil"/>
            </w:tcBorders>
          </w:tcPr>
          <w:p>
            <w:pPr>
              <w:pStyle w:val="yTableNAm"/>
            </w:pPr>
            <w:r>
              <w:t>Mandurah</w:t>
            </w:r>
          </w:p>
        </w:tc>
        <w:tc>
          <w:tcPr>
            <w:tcW w:w="1810" w:type="dxa"/>
            <w:tcBorders>
              <w:top w:val="nil"/>
              <w:left w:val="nil"/>
              <w:bottom w:val="nil"/>
              <w:right w:val="nil"/>
            </w:tcBorders>
            <w:vAlign w:val="center"/>
          </w:tcPr>
          <w:p>
            <w:pPr>
              <w:pStyle w:val="yTableNAm"/>
              <w:jc w:val="center"/>
            </w:pPr>
            <w:r>
              <w:t>7.799</w:t>
            </w:r>
          </w:p>
        </w:tc>
        <w:tc>
          <w:tcPr>
            <w:tcW w:w="2268" w:type="dxa"/>
            <w:tcBorders>
              <w:top w:val="nil"/>
              <w:left w:val="nil"/>
              <w:bottom w:val="nil"/>
              <w:right w:val="nil"/>
            </w:tcBorders>
            <w:vAlign w:val="center"/>
          </w:tcPr>
          <w:p>
            <w:pPr>
              <w:pStyle w:val="yTableNAm"/>
              <w:jc w:val="center"/>
            </w:pPr>
            <w:r>
              <w:t>6.967</w:t>
            </w:r>
          </w:p>
        </w:tc>
      </w:tr>
      <w:tr>
        <w:tc>
          <w:tcPr>
            <w:tcW w:w="2159" w:type="dxa"/>
            <w:tcBorders>
              <w:top w:val="nil"/>
              <w:left w:val="nil"/>
              <w:bottom w:val="nil"/>
              <w:right w:val="nil"/>
            </w:tcBorders>
          </w:tcPr>
          <w:p>
            <w:pPr>
              <w:pStyle w:val="yTableNAm"/>
            </w:pPr>
            <w:r>
              <w:t>Manjimup</w:t>
            </w:r>
          </w:p>
        </w:tc>
        <w:tc>
          <w:tcPr>
            <w:tcW w:w="1810" w:type="dxa"/>
            <w:tcBorders>
              <w:top w:val="nil"/>
              <w:left w:val="nil"/>
              <w:bottom w:val="nil"/>
              <w:right w:val="nil"/>
            </w:tcBorders>
            <w:vAlign w:val="center"/>
          </w:tcPr>
          <w:p>
            <w:pPr>
              <w:pStyle w:val="yTableNAm"/>
              <w:jc w:val="center"/>
            </w:pPr>
            <w:r>
              <w:t>17.507</w:t>
            </w:r>
          </w:p>
        </w:tc>
        <w:tc>
          <w:tcPr>
            <w:tcW w:w="2268" w:type="dxa"/>
            <w:tcBorders>
              <w:top w:val="nil"/>
              <w:left w:val="nil"/>
              <w:bottom w:val="nil"/>
              <w:right w:val="nil"/>
            </w:tcBorders>
            <w:vAlign w:val="center"/>
          </w:tcPr>
          <w:p>
            <w:pPr>
              <w:pStyle w:val="yTableNAm"/>
              <w:jc w:val="center"/>
            </w:pPr>
            <w:r>
              <w:t>33.971</w:t>
            </w:r>
          </w:p>
        </w:tc>
      </w:tr>
      <w:tr>
        <w:tc>
          <w:tcPr>
            <w:tcW w:w="2159" w:type="dxa"/>
            <w:tcBorders>
              <w:top w:val="nil"/>
              <w:left w:val="nil"/>
              <w:bottom w:val="nil"/>
              <w:right w:val="nil"/>
            </w:tcBorders>
          </w:tcPr>
          <w:p>
            <w:pPr>
              <w:pStyle w:val="yTableNAm"/>
            </w:pPr>
            <w:r>
              <w:t>Margaret River</w:t>
            </w:r>
          </w:p>
        </w:tc>
        <w:tc>
          <w:tcPr>
            <w:tcW w:w="1810" w:type="dxa"/>
            <w:tcBorders>
              <w:top w:val="nil"/>
              <w:left w:val="nil"/>
              <w:bottom w:val="nil"/>
              <w:right w:val="nil"/>
            </w:tcBorders>
            <w:vAlign w:val="center"/>
          </w:tcPr>
          <w:p>
            <w:pPr>
              <w:pStyle w:val="yTableNAm"/>
              <w:jc w:val="center"/>
            </w:pPr>
            <w:r>
              <w:t>13.346</w:t>
            </w:r>
          </w:p>
        </w:tc>
        <w:tc>
          <w:tcPr>
            <w:tcW w:w="2268" w:type="dxa"/>
            <w:tcBorders>
              <w:top w:val="nil"/>
              <w:left w:val="nil"/>
              <w:bottom w:val="nil"/>
              <w:right w:val="nil"/>
            </w:tcBorders>
            <w:vAlign w:val="center"/>
          </w:tcPr>
          <w:p>
            <w:pPr>
              <w:pStyle w:val="yTableNAm"/>
              <w:jc w:val="center"/>
            </w:pPr>
            <w:r>
              <w:t>25.471</w:t>
            </w:r>
          </w:p>
        </w:tc>
      </w:tr>
      <w:tr>
        <w:tc>
          <w:tcPr>
            <w:tcW w:w="2159" w:type="dxa"/>
            <w:tcBorders>
              <w:top w:val="nil"/>
              <w:left w:val="nil"/>
              <w:bottom w:val="nil"/>
              <w:right w:val="nil"/>
            </w:tcBorders>
          </w:tcPr>
          <w:p>
            <w:pPr>
              <w:pStyle w:val="yTableNAm"/>
            </w:pPr>
            <w:r>
              <w:t>Meckering</w:t>
            </w:r>
          </w:p>
        </w:tc>
        <w:tc>
          <w:tcPr>
            <w:tcW w:w="1810" w:type="dxa"/>
            <w:tcBorders>
              <w:top w:val="nil"/>
              <w:left w:val="nil"/>
              <w:bottom w:val="nil"/>
              <w:right w:val="nil"/>
            </w:tcBorders>
            <w:vAlign w:val="center"/>
          </w:tcPr>
          <w:p>
            <w:pPr>
              <w:pStyle w:val="yTableNAm"/>
              <w:jc w:val="center"/>
            </w:pPr>
            <w:r>
              <w:t>97.688</w:t>
            </w:r>
          </w:p>
        </w:tc>
        <w:tc>
          <w:tcPr>
            <w:tcW w:w="2268" w:type="dxa"/>
            <w:tcBorders>
              <w:top w:val="nil"/>
              <w:left w:val="nil"/>
              <w:bottom w:val="nil"/>
              <w:right w:val="nil"/>
            </w:tcBorders>
            <w:vAlign w:val="center"/>
          </w:tcPr>
          <w:p>
            <w:pPr>
              <w:pStyle w:val="yTableNAm"/>
              <w:jc w:val="center"/>
            </w:pPr>
            <w:r>
              <w:t>262.650</w:t>
            </w:r>
          </w:p>
        </w:tc>
      </w:tr>
      <w:tr>
        <w:tc>
          <w:tcPr>
            <w:tcW w:w="2159" w:type="dxa"/>
            <w:tcBorders>
              <w:top w:val="nil"/>
              <w:left w:val="nil"/>
              <w:bottom w:val="nil"/>
              <w:right w:val="nil"/>
            </w:tcBorders>
          </w:tcPr>
          <w:p>
            <w:pPr>
              <w:pStyle w:val="yTableNAm"/>
            </w:pPr>
            <w:r>
              <w:t>Merredin</w:t>
            </w:r>
          </w:p>
        </w:tc>
        <w:tc>
          <w:tcPr>
            <w:tcW w:w="1810" w:type="dxa"/>
            <w:tcBorders>
              <w:top w:val="nil"/>
              <w:left w:val="nil"/>
              <w:bottom w:val="nil"/>
              <w:right w:val="nil"/>
            </w:tcBorders>
            <w:vAlign w:val="center"/>
          </w:tcPr>
          <w:p>
            <w:pPr>
              <w:pStyle w:val="yTableNAm"/>
              <w:jc w:val="center"/>
            </w:pPr>
            <w:r>
              <w:t>15.151</w:t>
            </w:r>
          </w:p>
        </w:tc>
        <w:tc>
          <w:tcPr>
            <w:tcW w:w="2268" w:type="dxa"/>
            <w:tcBorders>
              <w:top w:val="nil"/>
              <w:left w:val="nil"/>
              <w:bottom w:val="nil"/>
              <w:right w:val="nil"/>
            </w:tcBorders>
            <w:vAlign w:val="center"/>
          </w:tcPr>
          <w:p>
            <w:pPr>
              <w:pStyle w:val="yTableNAm"/>
              <w:jc w:val="center"/>
            </w:pPr>
            <w:r>
              <w:t>55.593</w:t>
            </w:r>
          </w:p>
        </w:tc>
      </w:tr>
      <w:tr>
        <w:tc>
          <w:tcPr>
            <w:tcW w:w="2159" w:type="dxa"/>
            <w:tcBorders>
              <w:top w:val="nil"/>
              <w:left w:val="nil"/>
              <w:bottom w:val="nil"/>
              <w:right w:val="nil"/>
            </w:tcBorders>
          </w:tcPr>
          <w:p>
            <w:pPr>
              <w:pStyle w:val="yTableNAm"/>
            </w:pPr>
            <w:r>
              <w:t>Mount Barker</w:t>
            </w:r>
          </w:p>
        </w:tc>
        <w:tc>
          <w:tcPr>
            <w:tcW w:w="1810" w:type="dxa"/>
            <w:tcBorders>
              <w:top w:val="nil"/>
              <w:left w:val="nil"/>
              <w:bottom w:val="nil"/>
              <w:right w:val="nil"/>
            </w:tcBorders>
            <w:vAlign w:val="center"/>
          </w:tcPr>
          <w:p>
            <w:pPr>
              <w:pStyle w:val="yTableNAm"/>
              <w:jc w:val="center"/>
            </w:pPr>
            <w:r>
              <w:t>14.542</w:t>
            </w:r>
          </w:p>
        </w:tc>
        <w:tc>
          <w:tcPr>
            <w:tcW w:w="2268" w:type="dxa"/>
            <w:tcBorders>
              <w:top w:val="nil"/>
              <w:left w:val="nil"/>
              <w:bottom w:val="nil"/>
              <w:right w:val="nil"/>
            </w:tcBorders>
            <w:vAlign w:val="center"/>
          </w:tcPr>
          <w:p>
            <w:pPr>
              <w:pStyle w:val="yTableNAm"/>
              <w:jc w:val="center"/>
            </w:pPr>
            <w:r>
              <w:t>27.878</w:t>
            </w:r>
          </w:p>
        </w:tc>
      </w:tr>
      <w:tr>
        <w:tc>
          <w:tcPr>
            <w:tcW w:w="2159" w:type="dxa"/>
            <w:tcBorders>
              <w:top w:val="nil"/>
              <w:left w:val="nil"/>
              <w:bottom w:val="nil"/>
              <w:right w:val="nil"/>
            </w:tcBorders>
          </w:tcPr>
          <w:p>
            <w:pPr>
              <w:pStyle w:val="yTableNAm"/>
            </w:pPr>
            <w:r>
              <w:t>Mukinbudin</w:t>
            </w:r>
          </w:p>
        </w:tc>
        <w:tc>
          <w:tcPr>
            <w:tcW w:w="1810" w:type="dxa"/>
            <w:tcBorders>
              <w:top w:val="nil"/>
              <w:left w:val="nil"/>
              <w:bottom w:val="nil"/>
              <w:right w:val="nil"/>
            </w:tcBorders>
            <w:vAlign w:val="center"/>
          </w:tcPr>
          <w:p>
            <w:pPr>
              <w:pStyle w:val="yTableNAm"/>
              <w:jc w:val="center"/>
            </w:pPr>
            <w:r>
              <w:t>35.234</w:t>
            </w:r>
          </w:p>
        </w:tc>
        <w:tc>
          <w:tcPr>
            <w:tcW w:w="2268" w:type="dxa"/>
            <w:tcBorders>
              <w:top w:val="nil"/>
              <w:left w:val="nil"/>
              <w:bottom w:val="nil"/>
              <w:right w:val="nil"/>
            </w:tcBorders>
            <w:vAlign w:val="center"/>
          </w:tcPr>
          <w:p>
            <w:pPr>
              <w:pStyle w:val="yTableNAm"/>
              <w:jc w:val="center"/>
            </w:pPr>
            <w:r>
              <w:t>262.984</w:t>
            </w:r>
          </w:p>
        </w:tc>
      </w:tr>
      <w:tr>
        <w:tc>
          <w:tcPr>
            <w:tcW w:w="2159" w:type="dxa"/>
            <w:tcBorders>
              <w:top w:val="nil"/>
              <w:left w:val="nil"/>
              <w:bottom w:val="nil"/>
              <w:right w:val="nil"/>
            </w:tcBorders>
          </w:tcPr>
          <w:p>
            <w:pPr>
              <w:pStyle w:val="yTableNAm"/>
            </w:pPr>
            <w:r>
              <w:t>Nannup</w:t>
            </w:r>
          </w:p>
        </w:tc>
        <w:tc>
          <w:tcPr>
            <w:tcW w:w="1810" w:type="dxa"/>
            <w:tcBorders>
              <w:top w:val="nil"/>
              <w:left w:val="nil"/>
              <w:bottom w:val="nil"/>
              <w:right w:val="nil"/>
            </w:tcBorders>
            <w:vAlign w:val="center"/>
          </w:tcPr>
          <w:p>
            <w:pPr>
              <w:pStyle w:val="yTableNAm"/>
              <w:jc w:val="center"/>
            </w:pPr>
            <w:r>
              <w:t>12.205</w:t>
            </w:r>
          </w:p>
        </w:tc>
        <w:tc>
          <w:tcPr>
            <w:tcW w:w="2268" w:type="dxa"/>
            <w:tcBorders>
              <w:top w:val="nil"/>
              <w:left w:val="nil"/>
              <w:bottom w:val="nil"/>
              <w:right w:val="nil"/>
            </w:tcBorders>
            <w:vAlign w:val="center"/>
          </w:tcPr>
          <w:p>
            <w:pPr>
              <w:pStyle w:val="yTableNAm"/>
              <w:jc w:val="center"/>
            </w:pPr>
            <w:r>
              <w:t>19.128</w:t>
            </w:r>
          </w:p>
        </w:tc>
      </w:tr>
      <w:tr>
        <w:tc>
          <w:tcPr>
            <w:tcW w:w="2159" w:type="dxa"/>
            <w:tcBorders>
              <w:top w:val="nil"/>
              <w:left w:val="nil"/>
              <w:bottom w:val="nil"/>
              <w:right w:val="nil"/>
            </w:tcBorders>
          </w:tcPr>
          <w:p>
            <w:pPr>
              <w:pStyle w:val="yTableNAm"/>
            </w:pPr>
            <w:r>
              <w:t>Narembeen</w:t>
            </w:r>
          </w:p>
        </w:tc>
        <w:tc>
          <w:tcPr>
            <w:tcW w:w="1810" w:type="dxa"/>
            <w:tcBorders>
              <w:top w:val="nil"/>
              <w:left w:val="nil"/>
              <w:bottom w:val="nil"/>
              <w:right w:val="nil"/>
            </w:tcBorders>
            <w:vAlign w:val="center"/>
          </w:tcPr>
          <w:p>
            <w:pPr>
              <w:pStyle w:val="yTableNAm"/>
              <w:jc w:val="center"/>
            </w:pPr>
            <w:r>
              <w:t>31.286</w:t>
            </w:r>
          </w:p>
        </w:tc>
        <w:tc>
          <w:tcPr>
            <w:tcW w:w="2268" w:type="dxa"/>
            <w:tcBorders>
              <w:top w:val="nil"/>
              <w:left w:val="nil"/>
              <w:bottom w:val="nil"/>
              <w:right w:val="nil"/>
            </w:tcBorders>
            <w:vAlign w:val="center"/>
          </w:tcPr>
          <w:p>
            <w:pPr>
              <w:pStyle w:val="yTableNAm"/>
              <w:jc w:val="center"/>
            </w:pPr>
            <w:r>
              <w:t>166.221</w:t>
            </w:r>
          </w:p>
        </w:tc>
      </w:tr>
      <w:tr>
        <w:tc>
          <w:tcPr>
            <w:tcW w:w="2159" w:type="dxa"/>
            <w:tcBorders>
              <w:top w:val="nil"/>
              <w:left w:val="nil"/>
              <w:bottom w:val="nil"/>
              <w:right w:val="nil"/>
            </w:tcBorders>
          </w:tcPr>
          <w:p>
            <w:pPr>
              <w:pStyle w:val="yTableNAm"/>
            </w:pPr>
            <w:r>
              <w:t>Narrogin</w:t>
            </w:r>
          </w:p>
        </w:tc>
        <w:tc>
          <w:tcPr>
            <w:tcW w:w="1810" w:type="dxa"/>
            <w:tcBorders>
              <w:top w:val="nil"/>
              <w:left w:val="nil"/>
              <w:bottom w:val="nil"/>
              <w:right w:val="nil"/>
            </w:tcBorders>
            <w:vAlign w:val="center"/>
          </w:tcPr>
          <w:p>
            <w:pPr>
              <w:pStyle w:val="yTableNAm"/>
              <w:jc w:val="center"/>
            </w:pPr>
            <w:r>
              <w:t>11.593</w:t>
            </w:r>
          </w:p>
        </w:tc>
        <w:tc>
          <w:tcPr>
            <w:tcW w:w="2268" w:type="dxa"/>
            <w:tcBorders>
              <w:top w:val="nil"/>
              <w:left w:val="nil"/>
              <w:bottom w:val="nil"/>
              <w:right w:val="nil"/>
            </w:tcBorders>
            <w:vAlign w:val="center"/>
          </w:tcPr>
          <w:p>
            <w:pPr>
              <w:pStyle w:val="yTableNAm"/>
              <w:jc w:val="center"/>
            </w:pPr>
            <w:r>
              <w:t>21.817</w:t>
            </w:r>
          </w:p>
        </w:tc>
      </w:tr>
      <w:tr>
        <w:tc>
          <w:tcPr>
            <w:tcW w:w="2159" w:type="dxa"/>
            <w:tcBorders>
              <w:top w:val="nil"/>
              <w:left w:val="nil"/>
              <w:bottom w:val="nil"/>
              <w:right w:val="nil"/>
            </w:tcBorders>
          </w:tcPr>
          <w:p>
            <w:pPr>
              <w:pStyle w:val="yTableNAm"/>
            </w:pPr>
            <w:r>
              <w:t>Newdegate</w:t>
            </w:r>
          </w:p>
        </w:tc>
        <w:tc>
          <w:tcPr>
            <w:tcW w:w="1810" w:type="dxa"/>
            <w:tcBorders>
              <w:top w:val="nil"/>
              <w:left w:val="nil"/>
              <w:bottom w:val="nil"/>
              <w:right w:val="nil"/>
            </w:tcBorders>
            <w:vAlign w:val="center"/>
          </w:tcPr>
          <w:p>
            <w:pPr>
              <w:pStyle w:val="yTableNAm"/>
              <w:jc w:val="center"/>
            </w:pPr>
            <w:r>
              <w:t>37.585</w:t>
            </w:r>
          </w:p>
        </w:tc>
        <w:tc>
          <w:tcPr>
            <w:tcW w:w="2268" w:type="dxa"/>
            <w:tcBorders>
              <w:top w:val="nil"/>
              <w:left w:val="nil"/>
              <w:bottom w:val="nil"/>
              <w:right w:val="nil"/>
            </w:tcBorders>
            <w:vAlign w:val="center"/>
          </w:tcPr>
          <w:p>
            <w:pPr>
              <w:pStyle w:val="yTableNAm"/>
              <w:jc w:val="center"/>
            </w:pPr>
            <w:r>
              <w:t>317.247</w:t>
            </w:r>
          </w:p>
        </w:tc>
      </w:tr>
      <w:tr>
        <w:tc>
          <w:tcPr>
            <w:tcW w:w="2159" w:type="dxa"/>
            <w:tcBorders>
              <w:top w:val="nil"/>
              <w:left w:val="nil"/>
              <w:bottom w:val="nil"/>
              <w:right w:val="nil"/>
            </w:tcBorders>
          </w:tcPr>
          <w:p>
            <w:pPr>
              <w:pStyle w:val="yTableNAm"/>
            </w:pPr>
            <w:r>
              <w:t>Newman</w:t>
            </w:r>
          </w:p>
        </w:tc>
        <w:tc>
          <w:tcPr>
            <w:tcW w:w="1810" w:type="dxa"/>
            <w:tcBorders>
              <w:top w:val="nil"/>
              <w:left w:val="nil"/>
              <w:bottom w:val="nil"/>
              <w:right w:val="nil"/>
            </w:tcBorders>
            <w:vAlign w:val="center"/>
          </w:tcPr>
          <w:p>
            <w:pPr>
              <w:pStyle w:val="yTableNAm"/>
              <w:jc w:val="center"/>
            </w:pPr>
            <w:r>
              <w:t>1.177</w:t>
            </w:r>
          </w:p>
        </w:tc>
        <w:tc>
          <w:tcPr>
            <w:tcW w:w="2268" w:type="dxa"/>
            <w:tcBorders>
              <w:top w:val="nil"/>
              <w:left w:val="nil"/>
              <w:bottom w:val="nil"/>
              <w:right w:val="nil"/>
            </w:tcBorders>
            <w:vAlign w:val="center"/>
          </w:tcPr>
          <w:p>
            <w:pPr>
              <w:pStyle w:val="yTableNAm"/>
              <w:jc w:val="center"/>
            </w:pPr>
            <w:r>
              <w:t>1.022</w:t>
            </w:r>
          </w:p>
        </w:tc>
      </w:tr>
      <w:tr>
        <w:tc>
          <w:tcPr>
            <w:tcW w:w="2159" w:type="dxa"/>
            <w:tcBorders>
              <w:top w:val="nil"/>
              <w:left w:val="nil"/>
              <w:bottom w:val="nil"/>
              <w:right w:val="nil"/>
            </w:tcBorders>
          </w:tcPr>
          <w:p>
            <w:pPr>
              <w:pStyle w:val="yTableNAm"/>
            </w:pPr>
            <w:r>
              <w:t>Northam</w:t>
            </w:r>
          </w:p>
        </w:tc>
        <w:tc>
          <w:tcPr>
            <w:tcW w:w="1810" w:type="dxa"/>
            <w:tcBorders>
              <w:top w:val="nil"/>
              <w:left w:val="nil"/>
              <w:bottom w:val="nil"/>
              <w:right w:val="nil"/>
            </w:tcBorders>
            <w:vAlign w:val="center"/>
          </w:tcPr>
          <w:p>
            <w:pPr>
              <w:pStyle w:val="yTableNAm"/>
              <w:jc w:val="center"/>
            </w:pPr>
            <w:r>
              <w:t>12.073</w:t>
            </w:r>
          </w:p>
        </w:tc>
        <w:tc>
          <w:tcPr>
            <w:tcW w:w="2268" w:type="dxa"/>
            <w:tcBorders>
              <w:top w:val="nil"/>
              <w:left w:val="nil"/>
              <w:bottom w:val="nil"/>
              <w:right w:val="nil"/>
            </w:tcBorders>
            <w:vAlign w:val="center"/>
          </w:tcPr>
          <w:p>
            <w:pPr>
              <w:pStyle w:val="yTableNAm"/>
              <w:jc w:val="center"/>
            </w:pPr>
            <w:r>
              <w:t>32.713</w:t>
            </w:r>
          </w:p>
        </w:tc>
      </w:tr>
      <w:tr>
        <w:tc>
          <w:tcPr>
            <w:tcW w:w="2159" w:type="dxa"/>
            <w:tcBorders>
              <w:top w:val="nil"/>
              <w:left w:val="nil"/>
              <w:bottom w:val="nil"/>
              <w:right w:val="nil"/>
            </w:tcBorders>
          </w:tcPr>
          <w:p>
            <w:pPr>
              <w:pStyle w:val="yTableNAm"/>
            </w:pPr>
            <w:r>
              <w:t>Onslow</w:t>
            </w:r>
          </w:p>
        </w:tc>
        <w:tc>
          <w:tcPr>
            <w:tcW w:w="1810" w:type="dxa"/>
            <w:tcBorders>
              <w:top w:val="nil"/>
              <w:left w:val="nil"/>
              <w:bottom w:val="nil"/>
              <w:right w:val="nil"/>
            </w:tcBorders>
            <w:vAlign w:val="center"/>
          </w:tcPr>
          <w:p>
            <w:pPr>
              <w:pStyle w:val="yTableNAm"/>
              <w:jc w:val="center"/>
            </w:pPr>
            <w:r>
              <w:t>2.923</w:t>
            </w:r>
          </w:p>
        </w:tc>
        <w:tc>
          <w:tcPr>
            <w:tcW w:w="2268" w:type="dxa"/>
            <w:tcBorders>
              <w:top w:val="nil"/>
              <w:left w:val="nil"/>
              <w:bottom w:val="nil"/>
              <w:right w:val="nil"/>
            </w:tcBorders>
            <w:vAlign w:val="center"/>
          </w:tcPr>
          <w:p>
            <w:pPr>
              <w:pStyle w:val="yTableNAm"/>
              <w:jc w:val="center"/>
            </w:pPr>
            <w:r>
              <w:t>18.222</w:t>
            </w:r>
          </w:p>
        </w:tc>
      </w:tr>
      <w:tr>
        <w:tc>
          <w:tcPr>
            <w:tcW w:w="2159" w:type="dxa"/>
            <w:tcBorders>
              <w:top w:val="nil"/>
              <w:left w:val="nil"/>
              <w:bottom w:val="nil"/>
              <w:right w:val="nil"/>
            </w:tcBorders>
          </w:tcPr>
          <w:p>
            <w:pPr>
              <w:pStyle w:val="yTableNAm"/>
            </w:pPr>
            <w:r>
              <w:t>Pemberton</w:t>
            </w:r>
          </w:p>
        </w:tc>
        <w:tc>
          <w:tcPr>
            <w:tcW w:w="1810" w:type="dxa"/>
            <w:tcBorders>
              <w:top w:val="nil"/>
              <w:left w:val="nil"/>
              <w:bottom w:val="nil"/>
              <w:right w:val="nil"/>
            </w:tcBorders>
            <w:vAlign w:val="center"/>
          </w:tcPr>
          <w:p>
            <w:pPr>
              <w:pStyle w:val="yTableNAm"/>
              <w:jc w:val="center"/>
            </w:pPr>
            <w:r>
              <w:t>32.352</w:t>
            </w:r>
          </w:p>
        </w:tc>
        <w:tc>
          <w:tcPr>
            <w:tcW w:w="2268" w:type="dxa"/>
            <w:tcBorders>
              <w:top w:val="nil"/>
              <w:left w:val="nil"/>
              <w:bottom w:val="nil"/>
              <w:right w:val="nil"/>
            </w:tcBorders>
            <w:vAlign w:val="center"/>
          </w:tcPr>
          <w:p>
            <w:pPr>
              <w:pStyle w:val="yTableNAm"/>
              <w:jc w:val="center"/>
            </w:pPr>
            <w:r>
              <w:t>67.670</w:t>
            </w:r>
          </w:p>
        </w:tc>
      </w:tr>
      <w:tr>
        <w:tc>
          <w:tcPr>
            <w:tcW w:w="2159" w:type="dxa"/>
            <w:tcBorders>
              <w:top w:val="nil"/>
              <w:left w:val="nil"/>
              <w:bottom w:val="nil"/>
              <w:right w:val="nil"/>
            </w:tcBorders>
          </w:tcPr>
          <w:p>
            <w:pPr>
              <w:pStyle w:val="yTableNAm"/>
            </w:pPr>
            <w:r>
              <w:t>Pingelly</w:t>
            </w:r>
          </w:p>
        </w:tc>
        <w:tc>
          <w:tcPr>
            <w:tcW w:w="1810" w:type="dxa"/>
            <w:tcBorders>
              <w:top w:val="nil"/>
              <w:left w:val="nil"/>
              <w:bottom w:val="nil"/>
              <w:right w:val="nil"/>
            </w:tcBorders>
            <w:vAlign w:val="center"/>
          </w:tcPr>
          <w:p>
            <w:pPr>
              <w:pStyle w:val="yTableNAm"/>
              <w:jc w:val="center"/>
            </w:pPr>
            <w:r>
              <w:t>19.400</w:t>
            </w:r>
          </w:p>
        </w:tc>
        <w:tc>
          <w:tcPr>
            <w:tcW w:w="2268" w:type="dxa"/>
            <w:tcBorders>
              <w:top w:val="nil"/>
              <w:left w:val="nil"/>
              <w:bottom w:val="nil"/>
              <w:right w:val="nil"/>
            </w:tcBorders>
            <w:vAlign w:val="center"/>
          </w:tcPr>
          <w:p>
            <w:pPr>
              <w:pStyle w:val="yTableNAm"/>
              <w:jc w:val="center"/>
            </w:pPr>
            <w:r>
              <w:t>64.781</w:t>
            </w:r>
          </w:p>
        </w:tc>
      </w:tr>
      <w:tr>
        <w:tc>
          <w:tcPr>
            <w:tcW w:w="2159" w:type="dxa"/>
            <w:tcBorders>
              <w:top w:val="nil"/>
              <w:left w:val="nil"/>
              <w:bottom w:val="nil"/>
              <w:right w:val="nil"/>
            </w:tcBorders>
          </w:tcPr>
          <w:p>
            <w:pPr>
              <w:pStyle w:val="yTableNAm"/>
            </w:pPr>
            <w:r>
              <w:t>Pinjarra</w:t>
            </w:r>
          </w:p>
        </w:tc>
        <w:tc>
          <w:tcPr>
            <w:tcW w:w="1810" w:type="dxa"/>
            <w:tcBorders>
              <w:top w:val="nil"/>
              <w:left w:val="nil"/>
              <w:bottom w:val="nil"/>
              <w:right w:val="nil"/>
            </w:tcBorders>
            <w:vAlign w:val="center"/>
          </w:tcPr>
          <w:p>
            <w:pPr>
              <w:pStyle w:val="yTableNAm"/>
              <w:jc w:val="center"/>
            </w:pPr>
            <w:r>
              <w:t>11.124</w:t>
            </w:r>
          </w:p>
        </w:tc>
        <w:tc>
          <w:tcPr>
            <w:tcW w:w="2268" w:type="dxa"/>
            <w:tcBorders>
              <w:top w:val="nil"/>
              <w:left w:val="nil"/>
              <w:bottom w:val="nil"/>
              <w:right w:val="nil"/>
            </w:tcBorders>
            <w:vAlign w:val="center"/>
          </w:tcPr>
          <w:p>
            <w:pPr>
              <w:pStyle w:val="yTableNAm"/>
              <w:jc w:val="center"/>
            </w:pPr>
            <w:r>
              <w:t>8.911</w:t>
            </w:r>
          </w:p>
        </w:tc>
      </w:tr>
      <w:tr>
        <w:tc>
          <w:tcPr>
            <w:tcW w:w="2159" w:type="dxa"/>
            <w:tcBorders>
              <w:top w:val="nil"/>
              <w:left w:val="nil"/>
              <w:bottom w:val="nil"/>
              <w:right w:val="nil"/>
            </w:tcBorders>
          </w:tcPr>
          <w:p>
            <w:pPr>
              <w:pStyle w:val="yTableNAm"/>
            </w:pPr>
            <w:r>
              <w:t>Port Hedland</w:t>
            </w:r>
          </w:p>
        </w:tc>
        <w:tc>
          <w:tcPr>
            <w:tcW w:w="1810" w:type="dxa"/>
            <w:tcBorders>
              <w:top w:val="nil"/>
              <w:left w:val="nil"/>
              <w:bottom w:val="nil"/>
              <w:right w:val="nil"/>
            </w:tcBorders>
            <w:vAlign w:val="center"/>
          </w:tcPr>
          <w:p>
            <w:pPr>
              <w:pStyle w:val="yTableNAm"/>
              <w:jc w:val="center"/>
            </w:pPr>
            <w:r>
              <w:t>8.747</w:t>
            </w:r>
          </w:p>
        </w:tc>
        <w:tc>
          <w:tcPr>
            <w:tcW w:w="2268" w:type="dxa"/>
            <w:tcBorders>
              <w:top w:val="nil"/>
              <w:left w:val="nil"/>
              <w:bottom w:val="nil"/>
              <w:right w:val="nil"/>
            </w:tcBorders>
            <w:vAlign w:val="center"/>
          </w:tcPr>
          <w:p>
            <w:pPr>
              <w:pStyle w:val="yTableNAm"/>
              <w:jc w:val="center"/>
            </w:pPr>
            <w:r>
              <w:t>33.246</w:t>
            </w:r>
          </w:p>
        </w:tc>
      </w:tr>
      <w:tr>
        <w:tc>
          <w:tcPr>
            <w:tcW w:w="2159" w:type="dxa"/>
            <w:tcBorders>
              <w:top w:val="nil"/>
              <w:left w:val="nil"/>
              <w:bottom w:val="nil"/>
              <w:right w:val="nil"/>
            </w:tcBorders>
          </w:tcPr>
          <w:p>
            <w:pPr>
              <w:pStyle w:val="yTableNAm"/>
            </w:pPr>
            <w:r>
              <w:t>Prevelly</w:t>
            </w:r>
          </w:p>
        </w:tc>
        <w:tc>
          <w:tcPr>
            <w:tcW w:w="1810" w:type="dxa"/>
            <w:tcBorders>
              <w:top w:val="nil"/>
              <w:left w:val="nil"/>
              <w:bottom w:val="nil"/>
              <w:right w:val="nil"/>
            </w:tcBorders>
            <w:vAlign w:val="center"/>
          </w:tcPr>
          <w:p>
            <w:pPr>
              <w:pStyle w:val="yTableNAm"/>
              <w:jc w:val="center"/>
            </w:pPr>
            <w:r>
              <w:t>9.162</w:t>
            </w:r>
          </w:p>
        </w:tc>
        <w:tc>
          <w:tcPr>
            <w:tcW w:w="2268" w:type="dxa"/>
            <w:tcBorders>
              <w:top w:val="nil"/>
              <w:left w:val="nil"/>
              <w:bottom w:val="nil"/>
              <w:right w:val="nil"/>
            </w:tcBorders>
            <w:vAlign w:val="center"/>
          </w:tcPr>
          <w:p>
            <w:pPr>
              <w:pStyle w:val="yTableNAm"/>
              <w:jc w:val="center"/>
            </w:pPr>
            <w:r>
              <w:t>11.738</w:t>
            </w:r>
          </w:p>
        </w:tc>
      </w:tr>
      <w:tr>
        <w:tc>
          <w:tcPr>
            <w:tcW w:w="2159" w:type="dxa"/>
            <w:tcBorders>
              <w:top w:val="nil"/>
              <w:left w:val="nil"/>
              <w:bottom w:val="nil"/>
              <w:right w:val="nil"/>
            </w:tcBorders>
          </w:tcPr>
          <w:p>
            <w:pPr>
              <w:pStyle w:val="yTableNAm"/>
            </w:pPr>
            <w:r>
              <w:t>Quairading</w:t>
            </w:r>
          </w:p>
        </w:tc>
        <w:tc>
          <w:tcPr>
            <w:tcW w:w="1810" w:type="dxa"/>
            <w:tcBorders>
              <w:top w:val="nil"/>
              <w:left w:val="nil"/>
              <w:bottom w:val="nil"/>
              <w:right w:val="nil"/>
            </w:tcBorders>
            <w:vAlign w:val="center"/>
          </w:tcPr>
          <w:p>
            <w:pPr>
              <w:pStyle w:val="yTableNAm"/>
              <w:jc w:val="center"/>
            </w:pPr>
            <w:r>
              <w:t>26.314</w:t>
            </w:r>
          </w:p>
        </w:tc>
        <w:tc>
          <w:tcPr>
            <w:tcW w:w="2268" w:type="dxa"/>
            <w:tcBorders>
              <w:top w:val="nil"/>
              <w:left w:val="nil"/>
              <w:bottom w:val="nil"/>
              <w:right w:val="nil"/>
            </w:tcBorders>
            <w:vAlign w:val="center"/>
          </w:tcPr>
          <w:p>
            <w:pPr>
              <w:pStyle w:val="yTableNAm"/>
              <w:jc w:val="center"/>
            </w:pPr>
            <w:r>
              <w:t>67.174</w:t>
            </w:r>
          </w:p>
        </w:tc>
      </w:tr>
      <w:tr>
        <w:tc>
          <w:tcPr>
            <w:tcW w:w="2159" w:type="dxa"/>
            <w:tcBorders>
              <w:top w:val="nil"/>
              <w:left w:val="nil"/>
              <w:bottom w:val="nil"/>
              <w:right w:val="nil"/>
            </w:tcBorders>
          </w:tcPr>
          <w:p>
            <w:pPr>
              <w:pStyle w:val="yTableNAm"/>
            </w:pPr>
            <w:r>
              <w:t>Roebourne</w:t>
            </w:r>
          </w:p>
        </w:tc>
        <w:tc>
          <w:tcPr>
            <w:tcW w:w="1810" w:type="dxa"/>
            <w:tcBorders>
              <w:top w:val="nil"/>
              <w:left w:val="nil"/>
              <w:bottom w:val="nil"/>
              <w:right w:val="nil"/>
            </w:tcBorders>
            <w:vAlign w:val="center"/>
          </w:tcPr>
          <w:p>
            <w:pPr>
              <w:pStyle w:val="yTableNAm"/>
              <w:jc w:val="center"/>
            </w:pPr>
            <w:r>
              <w:t>38.476</w:t>
            </w:r>
          </w:p>
        </w:tc>
        <w:tc>
          <w:tcPr>
            <w:tcW w:w="2268" w:type="dxa"/>
            <w:tcBorders>
              <w:top w:val="nil"/>
              <w:left w:val="nil"/>
              <w:bottom w:val="nil"/>
              <w:right w:val="nil"/>
            </w:tcBorders>
            <w:vAlign w:val="center"/>
          </w:tcPr>
          <w:p>
            <w:pPr>
              <w:pStyle w:val="yTableNAm"/>
              <w:jc w:val="center"/>
            </w:pPr>
            <w:r>
              <w:t>213.107</w:t>
            </w:r>
          </w:p>
        </w:tc>
      </w:tr>
      <w:tr>
        <w:tc>
          <w:tcPr>
            <w:tcW w:w="2159" w:type="dxa"/>
            <w:tcBorders>
              <w:top w:val="nil"/>
              <w:left w:val="nil"/>
              <w:bottom w:val="nil"/>
              <w:right w:val="nil"/>
            </w:tcBorders>
          </w:tcPr>
          <w:p>
            <w:pPr>
              <w:pStyle w:val="yTableNAm"/>
            </w:pPr>
            <w:r>
              <w:t>Seabird</w:t>
            </w:r>
          </w:p>
        </w:tc>
        <w:tc>
          <w:tcPr>
            <w:tcW w:w="1810" w:type="dxa"/>
            <w:tcBorders>
              <w:top w:val="nil"/>
              <w:left w:val="nil"/>
              <w:bottom w:val="nil"/>
              <w:right w:val="nil"/>
            </w:tcBorders>
            <w:vAlign w:val="center"/>
          </w:tcPr>
          <w:p>
            <w:pPr>
              <w:pStyle w:val="yTableNAm"/>
              <w:jc w:val="center"/>
            </w:pPr>
            <w:r>
              <w:t>64.299</w:t>
            </w:r>
          </w:p>
        </w:tc>
        <w:tc>
          <w:tcPr>
            <w:tcW w:w="2268" w:type="dxa"/>
            <w:tcBorders>
              <w:top w:val="nil"/>
              <w:left w:val="nil"/>
              <w:bottom w:val="nil"/>
              <w:right w:val="nil"/>
            </w:tcBorders>
            <w:vAlign w:val="center"/>
          </w:tcPr>
          <w:p>
            <w:pPr>
              <w:pStyle w:val="yTableNAm"/>
              <w:jc w:val="center"/>
            </w:pPr>
            <w:r>
              <w:t>94.813</w:t>
            </w:r>
          </w:p>
        </w:tc>
      </w:tr>
      <w:tr>
        <w:tc>
          <w:tcPr>
            <w:tcW w:w="2159" w:type="dxa"/>
            <w:tcBorders>
              <w:top w:val="nil"/>
              <w:left w:val="nil"/>
              <w:bottom w:val="nil"/>
              <w:right w:val="nil"/>
            </w:tcBorders>
          </w:tcPr>
          <w:p>
            <w:pPr>
              <w:pStyle w:val="yTableNAm"/>
            </w:pPr>
            <w:r>
              <w:t>Tambellup</w:t>
            </w:r>
          </w:p>
        </w:tc>
        <w:tc>
          <w:tcPr>
            <w:tcW w:w="1810" w:type="dxa"/>
            <w:tcBorders>
              <w:top w:val="nil"/>
              <w:left w:val="nil"/>
              <w:bottom w:val="nil"/>
              <w:right w:val="nil"/>
            </w:tcBorders>
            <w:vAlign w:val="center"/>
          </w:tcPr>
          <w:p>
            <w:pPr>
              <w:pStyle w:val="yTableNAm"/>
              <w:jc w:val="center"/>
            </w:pPr>
            <w:r>
              <w:t>51.163</w:t>
            </w:r>
          </w:p>
        </w:tc>
        <w:tc>
          <w:tcPr>
            <w:tcW w:w="2268" w:type="dxa"/>
            <w:tcBorders>
              <w:top w:val="nil"/>
              <w:left w:val="nil"/>
              <w:bottom w:val="nil"/>
              <w:right w:val="nil"/>
            </w:tcBorders>
            <w:vAlign w:val="center"/>
          </w:tcPr>
          <w:p>
            <w:pPr>
              <w:pStyle w:val="yTableNAm"/>
              <w:jc w:val="center"/>
            </w:pPr>
            <w:r>
              <w:t>260.002</w:t>
            </w:r>
          </w:p>
        </w:tc>
      </w:tr>
      <w:tr>
        <w:tc>
          <w:tcPr>
            <w:tcW w:w="2159" w:type="dxa"/>
            <w:tcBorders>
              <w:top w:val="nil"/>
              <w:left w:val="nil"/>
              <w:bottom w:val="nil"/>
              <w:right w:val="nil"/>
            </w:tcBorders>
          </w:tcPr>
          <w:p>
            <w:pPr>
              <w:pStyle w:val="yTableNAm"/>
            </w:pPr>
            <w:r>
              <w:t>Three Springs</w:t>
            </w:r>
          </w:p>
        </w:tc>
        <w:tc>
          <w:tcPr>
            <w:tcW w:w="1810" w:type="dxa"/>
            <w:tcBorders>
              <w:top w:val="nil"/>
              <w:left w:val="nil"/>
              <w:bottom w:val="nil"/>
              <w:right w:val="nil"/>
            </w:tcBorders>
            <w:vAlign w:val="center"/>
          </w:tcPr>
          <w:p>
            <w:pPr>
              <w:pStyle w:val="yTableNAm"/>
              <w:jc w:val="center"/>
            </w:pPr>
            <w:r>
              <w:t>4.935</w:t>
            </w:r>
          </w:p>
        </w:tc>
        <w:tc>
          <w:tcPr>
            <w:tcW w:w="2268" w:type="dxa"/>
            <w:tcBorders>
              <w:top w:val="nil"/>
              <w:left w:val="nil"/>
              <w:bottom w:val="nil"/>
              <w:right w:val="nil"/>
            </w:tcBorders>
            <w:vAlign w:val="center"/>
          </w:tcPr>
          <w:p>
            <w:pPr>
              <w:pStyle w:val="yTableNAm"/>
              <w:jc w:val="center"/>
            </w:pPr>
            <w:r>
              <w:t>76.678</w:t>
            </w:r>
          </w:p>
        </w:tc>
      </w:tr>
      <w:tr>
        <w:tc>
          <w:tcPr>
            <w:tcW w:w="2159" w:type="dxa"/>
            <w:tcBorders>
              <w:top w:val="nil"/>
              <w:left w:val="nil"/>
              <w:bottom w:val="nil"/>
              <w:right w:val="nil"/>
            </w:tcBorders>
          </w:tcPr>
          <w:p>
            <w:pPr>
              <w:pStyle w:val="yTableNAm"/>
            </w:pPr>
            <w:r>
              <w:t>Toodyay</w:t>
            </w:r>
          </w:p>
        </w:tc>
        <w:tc>
          <w:tcPr>
            <w:tcW w:w="1810" w:type="dxa"/>
            <w:tcBorders>
              <w:top w:val="nil"/>
              <w:left w:val="nil"/>
              <w:bottom w:val="nil"/>
              <w:right w:val="nil"/>
            </w:tcBorders>
            <w:vAlign w:val="center"/>
          </w:tcPr>
          <w:p>
            <w:pPr>
              <w:pStyle w:val="yTableNAm"/>
              <w:jc w:val="center"/>
            </w:pPr>
            <w:r>
              <w:t>11.295</w:t>
            </w:r>
          </w:p>
        </w:tc>
        <w:tc>
          <w:tcPr>
            <w:tcW w:w="2268" w:type="dxa"/>
            <w:tcBorders>
              <w:top w:val="nil"/>
              <w:left w:val="nil"/>
              <w:bottom w:val="nil"/>
              <w:right w:val="nil"/>
            </w:tcBorders>
            <w:vAlign w:val="center"/>
          </w:tcPr>
          <w:p>
            <w:pPr>
              <w:pStyle w:val="yTableNAm"/>
              <w:jc w:val="center"/>
            </w:pPr>
            <w:r>
              <w:t>35.415</w:t>
            </w:r>
          </w:p>
        </w:tc>
      </w:tr>
      <w:tr>
        <w:tc>
          <w:tcPr>
            <w:tcW w:w="2159" w:type="dxa"/>
            <w:tcBorders>
              <w:top w:val="nil"/>
              <w:left w:val="nil"/>
              <w:bottom w:val="nil"/>
              <w:right w:val="nil"/>
            </w:tcBorders>
          </w:tcPr>
          <w:p>
            <w:pPr>
              <w:pStyle w:val="yTableNAm"/>
            </w:pPr>
            <w:r>
              <w:t>Wagin</w:t>
            </w:r>
          </w:p>
        </w:tc>
        <w:tc>
          <w:tcPr>
            <w:tcW w:w="1810" w:type="dxa"/>
            <w:tcBorders>
              <w:top w:val="nil"/>
              <w:left w:val="nil"/>
              <w:bottom w:val="nil"/>
              <w:right w:val="nil"/>
            </w:tcBorders>
            <w:vAlign w:val="center"/>
          </w:tcPr>
          <w:p>
            <w:pPr>
              <w:pStyle w:val="yTableNAm"/>
              <w:jc w:val="center"/>
            </w:pPr>
            <w:r>
              <w:t>17.447</w:t>
            </w:r>
          </w:p>
        </w:tc>
        <w:tc>
          <w:tcPr>
            <w:tcW w:w="2268" w:type="dxa"/>
            <w:tcBorders>
              <w:top w:val="nil"/>
              <w:left w:val="nil"/>
              <w:bottom w:val="nil"/>
              <w:right w:val="nil"/>
            </w:tcBorders>
            <w:vAlign w:val="center"/>
          </w:tcPr>
          <w:p>
            <w:pPr>
              <w:pStyle w:val="yTableNAm"/>
              <w:jc w:val="center"/>
            </w:pPr>
            <w:r>
              <w:t>41.882</w:t>
            </w:r>
          </w:p>
        </w:tc>
      </w:tr>
      <w:tr>
        <w:tc>
          <w:tcPr>
            <w:tcW w:w="2159" w:type="dxa"/>
            <w:tcBorders>
              <w:top w:val="nil"/>
              <w:left w:val="nil"/>
              <w:bottom w:val="nil"/>
              <w:right w:val="nil"/>
            </w:tcBorders>
          </w:tcPr>
          <w:p>
            <w:pPr>
              <w:pStyle w:val="yTableNAm"/>
            </w:pPr>
            <w:r>
              <w:t>Walpole</w:t>
            </w:r>
          </w:p>
        </w:tc>
        <w:tc>
          <w:tcPr>
            <w:tcW w:w="1810" w:type="dxa"/>
            <w:tcBorders>
              <w:top w:val="nil"/>
              <w:left w:val="nil"/>
              <w:bottom w:val="nil"/>
              <w:right w:val="nil"/>
            </w:tcBorders>
            <w:vAlign w:val="center"/>
          </w:tcPr>
          <w:p>
            <w:pPr>
              <w:pStyle w:val="yTableNAm"/>
              <w:jc w:val="center"/>
            </w:pPr>
            <w:r>
              <w:t>23.918</w:t>
            </w:r>
          </w:p>
        </w:tc>
        <w:tc>
          <w:tcPr>
            <w:tcW w:w="2268" w:type="dxa"/>
            <w:tcBorders>
              <w:top w:val="nil"/>
              <w:left w:val="nil"/>
              <w:bottom w:val="nil"/>
              <w:right w:val="nil"/>
            </w:tcBorders>
            <w:vAlign w:val="center"/>
          </w:tcPr>
          <w:p>
            <w:pPr>
              <w:pStyle w:val="yTableNAm"/>
              <w:jc w:val="center"/>
            </w:pPr>
            <w:r>
              <w:t>39.134</w:t>
            </w:r>
          </w:p>
        </w:tc>
      </w:tr>
      <w:tr>
        <w:tc>
          <w:tcPr>
            <w:tcW w:w="2159" w:type="dxa"/>
            <w:tcBorders>
              <w:top w:val="nil"/>
              <w:left w:val="nil"/>
              <w:bottom w:val="nil"/>
              <w:right w:val="nil"/>
            </w:tcBorders>
          </w:tcPr>
          <w:p>
            <w:pPr>
              <w:pStyle w:val="yTableNAm"/>
            </w:pPr>
            <w:r>
              <w:t>Waroona</w:t>
            </w:r>
          </w:p>
        </w:tc>
        <w:tc>
          <w:tcPr>
            <w:tcW w:w="1810" w:type="dxa"/>
            <w:tcBorders>
              <w:top w:val="nil"/>
              <w:left w:val="nil"/>
              <w:bottom w:val="nil"/>
              <w:right w:val="nil"/>
            </w:tcBorders>
            <w:vAlign w:val="center"/>
          </w:tcPr>
          <w:p>
            <w:pPr>
              <w:pStyle w:val="yTableNAm"/>
              <w:jc w:val="center"/>
            </w:pPr>
            <w:r>
              <w:t>8.756</w:t>
            </w:r>
          </w:p>
        </w:tc>
        <w:tc>
          <w:tcPr>
            <w:tcW w:w="2268" w:type="dxa"/>
            <w:tcBorders>
              <w:top w:val="nil"/>
              <w:left w:val="nil"/>
              <w:bottom w:val="nil"/>
              <w:right w:val="nil"/>
            </w:tcBorders>
            <w:vAlign w:val="center"/>
          </w:tcPr>
          <w:p>
            <w:pPr>
              <w:pStyle w:val="yTableNAm"/>
              <w:jc w:val="center"/>
            </w:pPr>
            <w:r>
              <w:t>15.655</w:t>
            </w:r>
          </w:p>
        </w:tc>
      </w:tr>
      <w:tr>
        <w:tc>
          <w:tcPr>
            <w:tcW w:w="2159" w:type="dxa"/>
            <w:tcBorders>
              <w:top w:val="nil"/>
              <w:left w:val="nil"/>
              <w:bottom w:val="nil"/>
              <w:right w:val="nil"/>
            </w:tcBorders>
          </w:tcPr>
          <w:p>
            <w:pPr>
              <w:pStyle w:val="yTableNAm"/>
            </w:pPr>
            <w:r>
              <w:t>Wickham</w:t>
            </w:r>
          </w:p>
        </w:tc>
        <w:tc>
          <w:tcPr>
            <w:tcW w:w="1810" w:type="dxa"/>
            <w:tcBorders>
              <w:top w:val="nil"/>
              <w:left w:val="nil"/>
              <w:bottom w:val="nil"/>
              <w:right w:val="nil"/>
            </w:tcBorders>
            <w:vAlign w:val="center"/>
          </w:tcPr>
          <w:p>
            <w:pPr>
              <w:pStyle w:val="yTableNAm"/>
              <w:jc w:val="center"/>
            </w:pPr>
            <w:r>
              <w:t>11.123</w:t>
            </w:r>
          </w:p>
        </w:tc>
        <w:tc>
          <w:tcPr>
            <w:tcW w:w="2268" w:type="dxa"/>
            <w:tcBorders>
              <w:top w:val="nil"/>
              <w:left w:val="nil"/>
              <w:bottom w:val="nil"/>
              <w:right w:val="nil"/>
            </w:tcBorders>
            <w:vAlign w:val="center"/>
          </w:tcPr>
          <w:p>
            <w:pPr>
              <w:pStyle w:val="yTableNAm"/>
              <w:jc w:val="center"/>
            </w:pPr>
            <w:r>
              <w:t>70.772</w:t>
            </w:r>
          </w:p>
        </w:tc>
      </w:tr>
      <w:tr>
        <w:tc>
          <w:tcPr>
            <w:tcW w:w="2159" w:type="dxa"/>
            <w:tcBorders>
              <w:top w:val="nil"/>
              <w:left w:val="nil"/>
              <w:bottom w:val="nil"/>
              <w:right w:val="nil"/>
            </w:tcBorders>
          </w:tcPr>
          <w:p>
            <w:pPr>
              <w:pStyle w:val="yTableNAm"/>
            </w:pPr>
            <w:r>
              <w:t>Williams</w:t>
            </w:r>
          </w:p>
        </w:tc>
        <w:tc>
          <w:tcPr>
            <w:tcW w:w="1810" w:type="dxa"/>
            <w:tcBorders>
              <w:top w:val="nil"/>
              <w:left w:val="nil"/>
              <w:bottom w:val="nil"/>
              <w:right w:val="nil"/>
            </w:tcBorders>
            <w:vAlign w:val="center"/>
          </w:tcPr>
          <w:p>
            <w:pPr>
              <w:pStyle w:val="yTableNAm"/>
              <w:jc w:val="center"/>
            </w:pPr>
            <w:r>
              <w:t>22.933</w:t>
            </w:r>
          </w:p>
        </w:tc>
        <w:tc>
          <w:tcPr>
            <w:tcW w:w="2268" w:type="dxa"/>
            <w:tcBorders>
              <w:top w:val="nil"/>
              <w:left w:val="nil"/>
              <w:bottom w:val="nil"/>
              <w:right w:val="nil"/>
            </w:tcBorders>
            <w:vAlign w:val="center"/>
          </w:tcPr>
          <w:p>
            <w:pPr>
              <w:pStyle w:val="yTableNAm"/>
              <w:jc w:val="center"/>
            </w:pPr>
            <w:r>
              <w:t>32.122</w:t>
            </w:r>
          </w:p>
        </w:tc>
      </w:tr>
      <w:tr>
        <w:tc>
          <w:tcPr>
            <w:tcW w:w="2159" w:type="dxa"/>
            <w:tcBorders>
              <w:top w:val="nil"/>
              <w:left w:val="nil"/>
              <w:bottom w:val="nil"/>
              <w:right w:val="nil"/>
            </w:tcBorders>
          </w:tcPr>
          <w:p>
            <w:pPr>
              <w:pStyle w:val="yTableNAm"/>
            </w:pPr>
            <w:r>
              <w:t>Wiluna</w:t>
            </w:r>
          </w:p>
        </w:tc>
        <w:tc>
          <w:tcPr>
            <w:tcW w:w="1810" w:type="dxa"/>
            <w:tcBorders>
              <w:top w:val="nil"/>
              <w:left w:val="nil"/>
              <w:bottom w:val="nil"/>
              <w:right w:val="nil"/>
            </w:tcBorders>
            <w:vAlign w:val="center"/>
          </w:tcPr>
          <w:p>
            <w:pPr>
              <w:pStyle w:val="yTableNAm"/>
              <w:jc w:val="center"/>
            </w:pPr>
            <w:r>
              <w:t>15.091</w:t>
            </w:r>
          </w:p>
        </w:tc>
        <w:tc>
          <w:tcPr>
            <w:tcW w:w="2268" w:type="dxa"/>
            <w:tcBorders>
              <w:top w:val="nil"/>
              <w:left w:val="nil"/>
              <w:bottom w:val="nil"/>
              <w:right w:val="nil"/>
            </w:tcBorders>
            <w:vAlign w:val="center"/>
          </w:tcPr>
          <w:p>
            <w:pPr>
              <w:pStyle w:val="yTableNAm"/>
              <w:jc w:val="center"/>
            </w:pPr>
            <w:r>
              <w:t>14.442</w:t>
            </w:r>
          </w:p>
        </w:tc>
      </w:tr>
      <w:tr>
        <w:tc>
          <w:tcPr>
            <w:tcW w:w="2159" w:type="dxa"/>
            <w:tcBorders>
              <w:top w:val="nil"/>
              <w:left w:val="nil"/>
              <w:bottom w:val="nil"/>
              <w:right w:val="nil"/>
            </w:tcBorders>
          </w:tcPr>
          <w:p>
            <w:pPr>
              <w:pStyle w:val="yTableNAm"/>
            </w:pPr>
            <w:r>
              <w:t>Wongan Hills</w:t>
            </w:r>
          </w:p>
        </w:tc>
        <w:tc>
          <w:tcPr>
            <w:tcW w:w="1810" w:type="dxa"/>
            <w:tcBorders>
              <w:top w:val="nil"/>
              <w:left w:val="nil"/>
              <w:bottom w:val="nil"/>
              <w:right w:val="nil"/>
            </w:tcBorders>
            <w:vAlign w:val="center"/>
          </w:tcPr>
          <w:p>
            <w:pPr>
              <w:pStyle w:val="yTableNAm"/>
              <w:jc w:val="center"/>
            </w:pPr>
            <w:r>
              <w:t>18.083</w:t>
            </w:r>
          </w:p>
        </w:tc>
        <w:tc>
          <w:tcPr>
            <w:tcW w:w="2268" w:type="dxa"/>
            <w:tcBorders>
              <w:top w:val="nil"/>
              <w:left w:val="nil"/>
              <w:bottom w:val="nil"/>
              <w:right w:val="nil"/>
            </w:tcBorders>
            <w:vAlign w:val="center"/>
          </w:tcPr>
          <w:p>
            <w:pPr>
              <w:pStyle w:val="yTableNAm"/>
              <w:jc w:val="center"/>
            </w:pPr>
            <w:r>
              <w:t>36.504</w:t>
            </w:r>
          </w:p>
        </w:tc>
      </w:tr>
      <w:tr>
        <w:tc>
          <w:tcPr>
            <w:tcW w:w="2159" w:type="dxa"/>
            <w:tcBorders>
              <w:top w:val="nil"/>
              <w:left w:val="nil"/>
              <w:bottom w:val="nil"/>
              <w:right w:val="nil"/>
            </w:tcBorders>
          </w:tcPr>
          <w:p>
            <w:pPr>
              <w:pStyle w:val="yTableNAm"/>
            </w:pPr>
            <w:r>
              <w:t>Wundowie</w:t>
            </w:r>
          </w:p>
        </w:tc>
        <w:tc>
          <w:tcPr>
            <w:tcW w:w="1810" w:type="dxa"/>
            <w:tcBorders>
              <w:top w:val="nil"/>
              <w:left w:val="nil"/>
              <w:bottom w:val="nil"/>
              <w:right w:val="nil"/>
            </w:tcBorders>
            <w:vAlign w:val="center"/>
          </w:tcPr>
          <w:p>
            <w:pPr>
              <w:pStyle w:val="yTableNAm"/>
              <w:jc w:val="center"/>
            </w:pPr>
            <w:r>
              <w:t>17.552</w:t>
            </w:r>
          </w:p>
        </w:tc>
        <w:tc>
          <w:tcPr>
            <w:tcW w:w="2268" w:type="dxa"/>
            <w:tcBorders>
              <w:top w:val="nil"/>
              <w:left w:val="nil"/>
              <w:bottom w:val="nil"/>
              <w:right w:val="nil"/>
            </w:tcBorders>
            <w:vAlign w:val="center"/>
          </w:tcPr>
          <w:p>
            <w:pPr>
              <w:pStyle w:val="yTableNAm"/>
              <w:jc w:val="center"/>
            </w:pPr>
            <w:r>
              <w:t>28.367</w:t>
            </w:r>
          </w:p>
        </w:tc>
      </w:tr>
      <w:tr>
        <w:tc>
          <w:tcPr>
            <w:tcW w:w="2159" w:type="dxa"/>
            <w:tcBorders>
              <w:top w:val="nil"/>
              <w:left w:val="nil"/>
              <w:bottom w:val="nil"/>
              <w:right w:val="nil"/>
            </w:tcBorders>
          </w:tcPr>
          <w:p>
            <w:pPr>
              <w:pStyle w:val="yTableNAm"/>
            </w:pPr>
            <w:r>
              <w:t>Wyalkatchem</w:t>
            </w:r>
          </w:p>
        </w:tc>
        <w:tc>
          <w:tcPr>
            <w:tcW w:w="1810" w:type="dxa"/>
            <w:tcBorders>
              <w:top w:val="nil"/>
              <w:left w:val="nil"/>
              <w:bottom w:val="nil"/>
              <w:right w:val="nil"/>
            </w:tcBorders>
            <w:vAlign w:val="center"/>
          </w:tcPr>
          <w:p>
            <w:pPr>
              <w:pStyle w:val="yTableNAm"/>
              <w:jc w:val="center"/>
            </w:pPr>
            <w:r>
              <w:t>38.374</w:t>
            </w:r>
          </w:p>
        </w:tc>
        <w:tc>
          <w:tcPr>
            <w:tcW w:w="2268" w:type="dxa"/>
            <w:tcBorders>
              <w:top w:val="nil"/>
              <w:left w:val="nil"/>
              <w:bottom w:val="nil"/>
              <w:right w:val="nil"/>
            </w:tcBorders>
            <w:vAlign w:val="center"/>
          </w:tcPr>
          <w:p>
            <w:pPr>
              <w:pStyle w:val="yTableNAm"/>
              <w:jc w:val="center"/>
            </w:pPr>
            <w:r>
              <w:t>187.182</w:t>
            </w:r>
          </w:p>
        </w:tc>
      </w:tr>
      <w:tr>
        <w:tc>
          <w:tcPr>
            <w:tcW w:w="2159" w:type="dxa"/>
            <w:tcBorders>
              <w:top w:val="nil"/>
              <w:left w:val="nil"/>
              <w:bottom w:val="nil"/>
              <w:right w:val="nil"/>
            </w:tcBorders>
          </w:tcPr>
          <w:p>
            <w:pPr>
              <w:pStyle w:val="yTableNAm"/>
            </w:pPr>
            <w:r>
              <w:t>Wyndham</w:t>
            </w:r>
          </w:p>
        </w:tc>
        <w:tc>
          <w:tcPr>
            <w:tcW w:w="1810" w:type="dxa"/>
            <w:tcBorders>
              <w:top w:val="nil"/>
              <w:left w:val="nil"/>
              <w:bottom w:val="nil"/>
              <w:right w:val="nil"/>
            </w:tcBorders>
            <w:vAlign w:val="center"/>
          </w:tcPr>
          <w:p>
            <w:pPr>
              <w:pStyle w:val="yTableNAm"/>
              <w:jc w:val="center"/>
            </w:pPr>
            <w:r>
              <w:t>49.693</w:t>
            </w:r>
          </w:p>
        </w:tc>
        <w:tc>
          <w:tcPr>
            <w:tcW w:w="2268" w:type="dxa"/>
            <w:tcBorders>
              <w:top w:val="nil"/>
              <w:left w:val="nil"/>
              <w:bottom w:val="nil"/>
              <w:right w:val="nil"/>
            </w:tcBorders>
            <w:vAlign w:val="center"/>
          </w:tcPr>
          <w:p>
            <w:pPr>
              <w:pStyle w:val="yTableNAm"/>
              <w:jc w:val="center"/>
            </w:pPr>
            <w:r>
              <w:t>205.779</w:t>
            </w:r>
          </w:p>
        </w:tc>
      </w:tr>
      <w:tr>
        <w:tc>
          <w:tcPr>
            <w:tcW w:w="2159" w:type="dxa"/>
            <w:tcBorders>
              <w:top w:val="nil"/>
              <w:left w:val="nil"/>
              <w:bottom w:val="nil"/>
              <w:right w:val="nil"/>
            </w:tcBorders>
          </w:tcPr>
          <w:p>
            <w:pPr>
              <w:pStyle w:val="yTableNAm"/>
            </w:pPr>
            <w:r>
              <w:t>York</w:t>
            </w:r>
          </w:p>
        </w:tc>
        <w:tc>
          <w:tcPr>
            <w:tcW w:w="1810" w:type="dxa"/>
            <w:tcBorders>
              <w:top w:val="nil"/>
              <w:left w:val="nil"/>
              <w:bottom w:val="nil"/>
              <w:right w:val="nil"/>
            </w:tcBorders>
            <w:vAlign w:val="center"/>
          </w:tcPr>
          <w:p>
            <w:pPr>
              <w:pStyle w:val="yTableNAm"/>
              <w:jc w:val="center"/>
            </w:pPr>
            <w:r>
              <w:t>1.537</w:t>
            </w:r>
          </w:p>
        </w:tc>
        <w:tc>
          <w:tcPr>
            <w:tcW w:w="2268" w:type="dxa"/>
            <w:tcBorders>
              <w:top w:val="nil"/>
              <w:left w:val="nil"/>
              <w:bottom w:val="nil"/>
              <w:right w:val="nil"/>
            </w:tcBorders>
            <w:vAlign w:val="center"/>
          </w:tcPr>
          <w:p>
            <w:pPr>
              <w:pStyle w:val="yTableNAm"/>
              <w:jc w:val="center"/>
            </w:pPr>
            <w:r>
              <w:t>3.222</w:t>
            </w:r>
          </w:p>
        </w:tc>
      </w:tr>
      <w:tr>
        <w:tc>
          <w:tcPr>
            <w:tcW w:w="2159" w:type="dxa"/>
            <w:tcBorders>
              <w:top w:val="nil"/>
              <w:left w:val="nil"/>
              <w:bottom w:val="single" w:sz="4" w:space="0" w:color="auto"/>
              <w:right w:val="nil"/>
            </w:tcBorders>
          </w:tcPr>
          <w:p>
            <w:pPr>
              <w:pStyle w:val="yTableNAm"/>
            </w:pPr>
            <w:r>
              <w:t>Yunderup</w:t>
            </w:r>
          </w:p>
        </w:tc>
        <w:tc>
          <w:tcPr>
            <w:tcW w:w="1810" w:type="dxa"/>
            <w:tcBorders>
              <w:top w:val="nil"/>
              <w:left w:val="nil"/>
              <w:bottom w:val="single" w:sz="4" w:space="0" w:color="auto"/>
              <w:right w:val="nil"/>
            </w:tcBorders>
            <w:vAlign w:val="center"/>
          </w:tcPr>
          <w:p>
            <w:pPr>
              <w:pStyle w:val="yTableNAm"/>
              <w:jc w:val="center"/>
            </w:pPr>
            <w:r>
              <w:t>7.115</w:t>
            </w:r>
          </w:p>
        </w:tc>
        <w:tc>
          <w:tcPr>
            <w:tcW w:w="2268" w:type="dxa"/>
            <w:tcBorders>
              <w:top w:val="nil"/>
              <w:left w:val="nil"/>
              <w:bottom w:val="single" w:sz="4" w:space="0" w:color="auto"/>
              <w:right w:val="nil"/>
            </w:tcBorders>
            <w:vAlign w:val="center"/>
          </w:tcPr>
          <w:p>
            <w:pPr>
              <w:pStyle w:val="yTableNAm"/>
              <w:jc w:val="center"/>
            </w:pPr>
            <w:r>
              <w:t>8.490</w:t>
            </w:r>
          </w:p>
        </w:tc>
      </w:tr>
    </w:tbl>
    <w:p>
      <w:pPr>
        <w:pStyle w:val="yFootnotesection"/>
      </w:pPr>
      <w:bookmarkStart w:id="595" w:name="_Toc10034268"/>
      <w:bookmarkStart w:id="596" w:name="_Toc10034428"/>
      <w:bookmarkStart w:id="597" w:name="_Toc10107748"/>
      <w:bookmarkStart w:id="598" w:name="_Toc10107908"/>
      <w:bookmarkStart w:id="599" w:name="_Toc10121215"/>
      <w:bookmarkStart w:id="600" w:name="_Toc10124600"/>
      <w:bookmarkStart w:id="601" w:name="_Toc10193885"/>
      <w:bookmarkStart w:id="602" w:name="_Toc10203672"/>
      <w:bookmarkStart w:id="603" w:name="_Toc10203828"/>
      <w:bookmarkStart w:id="604" w:name="_Toc10534982"/>
      <w:bookmarkStart w:id="605" w:name="_Toc10535855"/>
      <w:bookmarkStart w:id="606" w:name="_Toc10642266"/>
      <w:r>
        <w:tab/>
        <w:t>[Division 1 inserted: Gazette 14 Jun 2019 p. 1953</w:t>
      </w:r>
      <w:r>
        <w:noBreakHyphen/>
        <w:t>62.]</w:t>
      </w:r>
    </w:p>
    <w:p>
      <w:pPr>
        <w:pStyle w:val="yHeading3"/>
        <w:rPr>
          <w:rStyle w:val="CharSDivText"/>
        </w:rPr>
      </w:pPr>
      <w:bookmarkStart w:id="607" w:name="_Toc11835753"/>
      <w:bookmarkStart w:id="608" w:name="_Toc12273830"/>
      <w:bookmarkStart w:id="609" w:name="_Toc12277658"/>
      <w:r>
        <w:rPr>
          <w:rStyle w:val="CharSDivNo"/>
        </w:rPr>
        <w:t>Division 2</w:t>
      </w:r>
      <w:r>
        <w:t> — </w:t>
      </w:r>
      <w:r>
        <w:rPr>
          <w:rStyle w:val="CharSDivText"/>
        </w:rPr>
        <w:t>Combined charges for certain non</w:t>
      </w:r>
      <w:r>
        <w:rPr>
          <w:rStyle w:val="CharSDivText"/>
        </w:rPr>
        <w:noBreakHyphen/>
        <w:t>residential property</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yFootnoteheading"/>
        <w:spacing w:after="120"/>
      </w:pPr>
      <w:bookmarkStart w:id="610" w:name="_Toc10034269"/>
      <w:bookmarkStart w:id="611" w:name="_Toc10034429"/>
      <w:bookmarkStart w:id="612" w:name="_Toc10107749"/>
      <w:bookmarkStart w:id="613" w:name="_Toc10107909"/>
      <w:bookmarkStart w:id="614" w:name="_Toc10121216"/>
      <w:bookmarkStart w:id="615" w:name="_Toc10124601"/>
      <w:bookmarkStart w:id="616" w:name="_Toc10193886"/>
      <w:bookmarkStart w:id="617" w:name="_Toc10203673"/>
      <w:bookmarkStart w:id="618" w:name="_Toc10203829"/>
      <w:bookmarkStart w:id="619" w:name="_Toc10534983"/>
      <w:bookmarkStart w:id="620" w:name="_Toc10535856"/>
      <w:bookmarkStart w:id="621" w:name="_Toc10642267"/>
      <w:r>
        <w:tab/>
        <w:t>[Heading inserted: Gazette 14 Jun 2019 p. 1962.]</w:t>
      </w:r>
    </w:p>
    <w:p>
      <w:pPr>
        <w:pStyle w:val="yHeading4"/>
      </w:pPr>
      <w:bookmarkStart w:id="622" w:name="_Toc11835754"/>
      <w:bookmarkStart w:id="623" w:name="_Toc12273831"/>
      <w:bookmarkStart w:id="624" w:name="_Toc12277659"/>
      <w:r>
        <w:t>Subdivision 1 — Preliminary</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yFootnoteheading"/>
        <w:spacing w:after="120"/>
      </w:pPr>
      <w:bookmarkStart w:id="625" w:name="_Toc10193887"/>
      <w:bookmarkStart w:id="626" w:name="_Toc10642268"/>
      <w:r>
        <w:tab/>
        <w:t>[Heading inserted: Gazette 14 Jun 2019 p. 1962.]</w:t>
      </w:r>
    </w:p>
    <w:p>
      <w:pPr>
        <w:pStyle w:val="yHeading5"/>
      </w:pPr>
      <w:bookmarkStart w:id="627" w:name="_Toc12277660"/>
      <w:r>
        <w:rPr>
          <w:rStyle w:val="CharSClsNo"/>
        </w:rPr>
        <w:t>12</w:t>
      </w:r>
      <w:r>
        <w:t>.</w:t>
      </w:r>
      <w:r>
        <w:tab/>
        <w:t>Combined charges for 2019/20 year and subsequent years</w:t>
      </w:r>
      <w:bookmarkEnd w:id="625"/>
      <w:bookmarkEnd w:id="626"/>
      <w:bookmarkEnd w:id="627"/>
    </w:p>
    <w:p>
      <w:pPr>
        <w:pStyle w:val="yMiscellaneousBody"/>
        <w:tabs>
          <w:tab w:val="left" w:pos="284"/>
          <w:tab w:val="right" w:leader="dot" w:pos="6804"/>
        </w:tabs>
        <w:ind w:left="851" w:hanging="851"/>
      </w:pPr>
      <w:r>
        <w:tab/>
      </w:r>
      <w:r>
        <w:tab/>
        <w:t xml:space="preserve">The charges set out in this Division apply for sewerage services provided and wastewater discharged in the </w:t>
      </w:r>
      <w:r>
        <w:rPr>
          <w:szCs w:val="22"/>
        </w:rPr>
        <w:t>2019/20</w:t>
      </w:r>
      <w:r>
        <w:t> financial year and each subsequent year.</w:t>
      </w:r>
    </w:p>
    <w:p>
      <w:pPr>
        <w:pStyle w:val="yHeading4"/>
      </w:pPr>
      <w:bookmarkStart w:id="628" w:name="_Toc10034271"/>
      <w:bookmarkStart w:id="629" w:name="_Toc10034431"/>
      <w:bookmarkStart w:id="630" w:name="_Toc10107751"/>
      <w:bookmarkStart w:id="631" w:name="_Toc10107911"/>
      <w:bookmarkStart w:id="632" w:name="_Toc10121218"/>
      <w:bookmarkStart w:id="633" w:name="_Toc10124603"/>
      <w:bookmarkStart w:id="634" w:name="_Toc10193888"/>
      <w:bookmarkStart w:id="635" w:name="_Toc10203675"/>
      <w:bookmarkStart w:id="636" w:name="_Toc10203831"/>
      <w:bookmarkStart w:id="637" w:name="_Toc10534985"/>
      <w:bookmarkStart w:id="638" w:name="_Toc10535858"/>
      <w:bookmarkStart w:id="639" w:name="_Toc10642269"/>
      <w:bookmarkStart w:id="640" w:name="_Toc11835756"/>
      <w:bookmarkStart w:id="641" w:name="_Toc12273833"/>
      <w:bookmarkStart w:id="642" w:name="_Toc12277661"/>
      <w:r>
        <w:t>Subdivision 2 — Combined charges: metropolitan</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yFootnoteheading"/>
        <w:spacing w:after="120"/>
      </w:pPr>
      <w:bookmarkStart w:id="643" w:name="_Toc10193889"/>
      <w:bookmarkStart w:id="644" w:name="_Toc10642270"/>
      <w:r>
        <w:tab/>
        <w:t>[Heading inserted: Gazette 14 Jun 2019 p. 1962.]</w:t>
      </w:r>
    </w:p>
    <w:p>
      <w:pPr>
        <w:pStyle w:val="yHeading5"/>
      </w:pPr>
      <w:bookmarkStart w:id="645" w:name="_Toc12277662"/>
      <w:r>
        <w:rPr>
          <w:rStyle w:val="CharSClsNo"/>
        </w:rPr>
        <w:t>13</w:t>
      </w:r>
      <w:r>
        <w:t>.</w:t>
      </w:r>
      <w:r>
        <w:tab/>
        <w:t>Metropolitan non</w:t>
      </w:r>
      <w:r>
        <w:noBreakHyphen/>
        <w:t>residential</w:t>
      </w:r>
      <w:bookmarkEnd w:id="643"/>
      <w:bookmarkEnd w:id="644"/>
      <w:bookmarkEnd w:id="645"/>
    </w:p>
    <w:p>
      <w:pPr>
        <w:pStyle w:val="yMiscellaneousBody"/>
        <w:tabs>
          <w:tab w:val="left" w:pos="284"/>
          <w:tab w:val="right" w:leader="dot" w:pos="6804"/>
        </w:tabs>
        <w:ind w:left="851" w:hanging="851"/>
      </w:pPr>
      <w:r>
        <w:tab/>
      </w:r>
      <w:r>
        <w:tab/>
        <w:t>For land in the metropolitan area that —</w:t>
      </w:r>
    </w:p>
    <w:p>
      <w:pPr>
        <w:pStyle w:val="yMiscellaneousBody"/>
        <w:tabs>
          <w:tab w:val="left" w:pos="992"/>
          <w:tab w:val="right" w:leader="dot" w:pos="6804"/>
        </w:tabs>
        <w:ind w:left="1559" w:hanging="1559"/>
      </w:pPr>
      <w:r>
        <w:tab/>
        <w:t>(a)</w:t>
      </w:r>
      <w:r>
        <w:tab/>
        <w:t>is not contained in a residential property; and</w:t>
      </w:r>
    </w:p>
    <w:p>
      <w:pPr>
        <w:pStyle w:val="yMiscellaneousBody"/>
        <w:keepNext/>
        <w:tabs>
          <w:tab w:val="left" w:pos="992"/>
          <w:tab w:val="right" w:leader="dot" w:pos="6804"/>
        </w:tabs>
        <w:ind w:left="1559" w:hanging="1559"/>
      </w:pPr>
      <w:r>
        <w:tab/>
        <w:t>(b)</w:t>
      </w:r>
      <w:r>
        <w:tab/>
        <w:t>is not covered by item 3, 4, 5, 6, 14, 15, 16 or 17,</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P</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418"/>
        </w:tabs>
        <w:ind w:left="851" w:hanging="851"/>
      </w:pPr>
      <w:r>
        <w:tab/>
      </w:r>
      <w:r>
        <w:tab/>
      </w:r>
      <w:r>
        <w:rPr>
          <w:b/>
        </w:rPr>
        <w:t>P</w:t>
      </w:r>
      <w:r>
        <w:t xml:space="preserve"> =</w:t>
      </w:r>
      <w:r>
        <w:tab/>
        <w:t>the service charge calculated in accordance with item 18;</w:t>
      </w:r>
    </w:p>
    <w:p>
      <w:pPr>
        <w:pStyle w:val="yMiscellaneousBody"/>
        <w:tabs>
          <w:tab w:val="left" w:pos="284"/>
          <w:tab w:val="left" w:pos="1418"/>
        </w:tabs>
        <w:ind w:left="851" w:hanging="851"/>
      </w:pPr>
      <w:r>
        <w:tab/>
      </w:r>
      <w:r>
        <w:tab/>
      </w:r>
      <w:r>
        <w:rPr>
          <w:b/>
        </w:rPr>
        <w:t>Q</w:t>
      </w:r>
      <w:r>
        <w:t xml:space="preserve"> =</w:t>
      </w:r>
      <w:r>
        <w:tab/>
        <w:t>the discharge charge calculated in accordance with item 19.</w:t>
      </w:r>
    </w:p>
    <w:p>
      <w:pPr>
        <w:pStyle w:val="yHeading5"/>
      </w:pPr>
      <w:bookmarkStart w:id="646" w:name="_Toc10193890"/>
      <w:bookmarkStart w:id="647" w:name="_Toc10642271"/>
      <w:bookmarkStart w:id="648" w:name="_Toc12277663"/>
      <w:r>
        <w:rPr>
          <w:rStyle w:val="CharSClsNo"/>
        </w:rPr>
        <w:t>14</w:t>
      </w:r>
      <w:r>
        <w:t>.</w:t>
      </w:r>
      <w:r>
        <w:tab/>
        <w:t>Metropolitan government trading organisation and non</w:t>
      </w:r>
      <w:r>
        <w:noBreakHyphen/>
        <w:t>commercial government property</w:t>
      </w:r>
      <w:bookmarkEnd w:id="646"/>
      <w:bookmarkEnd w:id="647"/>
      <w:bookmarkEnd w:id="648"/>
    </w:p>
    <w:p>
      <w:pPr>
        <w:pStyle w:val="yMiscellaneousBody"/>
        <w:tabs>
          <w:tab w:val="left" w:pos="284"/>
          <w:tab w:val="left" w:pos="1418"/>
        </w:tabs>
        <w:ind w:left="851" w:hanging="851"/>
      </w:pPr>
      <w:r>
        <w:tab/>
        <w:t>(1)</w:t>
      </w:r>
      <w:r>
        <w:tab/>
        <w:t>For land in the metropolitan area held by a government trading organisation or a public authority that holds non</w:t>
      </w:r>
      <w:r>
        <w:noBreakHyphen/>
        <w:t>commercial government property, the charge is —</w:t>
      </w:r>
    </w:p>
    <w:p>
      <w:pPr>
        <w:pStyle w:val="yMiscellaneousBody"/>
        <w:tabs>
          <w:tab w:val="left" w:pos="284"/>
          <w:tab w:val="right" w:leader="dot" w:pos="6804"/>
        </w:tabs>
        <w:ind w:left="851" w:hanging="851"/>
      </w:pPr>
      <w:r>
        <w:tab/>
      </w:r>
      <w:r>
        <w:tab/>
      </w:r>
      <w:r>
        <w:rPr>
          <w:b/>
        </w:rPr>
        <w:t>Y</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Y</w:t>
      </w:r>
      <w:r>
        <w:t xml:space="preserve"> =</w:t>
      </w:r>
      <w:r>
        <w:tab/>
        <w:t>the charge according to the number of connected major fixtures calculated in accordance with item 18;</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19.</w:t>
      </w:r>
    </w:p>
    <w:p>
      <w:pPr>
        <w:pStyle w:val="yMiscellaneousBody"/>
        <w:tabs>
          <w:tab w:val="left" w:pos="284"/>
          <w:tab w:val="left" w:pos="1418"/>
        </w:tabs>
        <w:ind w:left="851" w:hanging="851"/>
      </w:pPr>
      <w:r>
        <w:tab/>
        <w:t>(2)</w:t>
      </w:r>
      <w:r>
        <w:tab/>
        <w:t>Sub</w:t>
      </w:r>
      <w:r>
        <w:noBreakHyphen/>
        <w:t>item (1) does not apply to public land.</w:t>
      </w:r>
    </w:p>
    <w:p>
      <w:pPr>
        <w:pStyle w:val="yHeading5"/>
      </w:pPr>
      <w:bookmarkStart w:id="649" w:name="_Toc10193891"/>
      <w:bookmarkStart w:id="650" w:name="_Toc10642272"/>
      <w:bookmarkStart w:id="651" w:name="_Toc12277664"/>
      <w:r>
        <w:rPr>
          <w:rStyle w:val="CharSClsNo"/>
        </w:rPr>
        <w:t>15</w:t>
      </w:r>
      <w:r>
        <w:t>.</w:t>
      </w:r>
      <w:r>
        <w:tab/>
        <w:t>Metropolitan non</w:t>
      </w:r>
      <w:r>
        <w:noBreakHyphen/>
        <w:t>strata titled caravan park with long</w:t>
      </w:r>
      <w:r>
        <w:noBreakHyphen/>
        <w:t>term residential caravan bays</w:t>
      </w:r>
      <w:bookmarkEnd w:id="649"/>
      <w:bookmarkEnd w:id="650"/>
      <w:bookmarkEnd w:id="651"/>
    </w:p>
    <w:p>
      <w:pPr>
        <w:pStyle w:val="yMiscellaneousBody"/>
        <w:tabs>
          <w:tab w:val="left" w:pos="284"/>
          <w:tab w:val="left" w:pos="1418"/>
        </w:tabs>
        <w:ind w:left="851" w:hanging="851"/>
      </w:pPr>
      <w:r>
        <w:tab/>
      </w:r>
      <w:r>
        <w:tab/>
        <w:t>For a caravan park in the metropolitan area that —</w:t>
      </w:r>
    </w:p>
    <w:p>
      <w:pPr>
        <w:pStyle w:val="yMiscellaneousBody"/>
        <w:tabs>
          <w:tab w:val="left" w:pos="992"/>
          <w:tab w:val="right" w:leader="dot" w:pos="6804"/>
        </w:tabs>
        <w:ind w:left="1559" w:hanging="1559"/>
      </w:pPr>
      <w:r>
        <w:tab/>
        <w:t>(a)</w:t>
      </w:r>
      <w:r>
        <w:tab/>
        <w:t>does not consist wholly of strata</w:t>
      </w:r>
      <w:r>
        <w:noBreakHyphen/>
        <w:t>titled caravan bays; and</w:t>
      </w:r>
    </w:p>
    <w:p>
      <w:pPr>
        <w:pStyle w:val="yMiscellaneousBody"/>
        <w:tabs>
          <w:tab w:val="left" w:pos="992"/>
          <w:tab w:val="right" w:leader="dot" w:pos="6804"/>
        </w:tabs>
        <w:ind w:left="1559" w:hanging="1559"/>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AA</w:t>
      </w:r>
      <w:r>
        <w:t xml:space="preserve"> =</w:t>
      </w:r>
      <w:r>
        <w:tab/>
      </w:r>
      <w:r>
        <w:rPr>
          <w:szCs w:val="22"/>
        </w:rPr>
        <w:t>$337.</w:t>
      </w:r>
      <w:r>
        <w:t>18</w:t>
      </w:r>
      <w:r>
        <w:rPr>
          <w:szCs w:val="22"/>
        </w:rPr>
        <w:t xml:space="preserve"> </w:t>
      </w:r>
      <w:r>
        <w:t>for each long</w:t>
      </w:r>
      <w:r>
        <w:noBreakHyphen/>
        <w:t>term residential caravan bay;</w:t>
      </w:r>
    </w:p>
    <w:p>
      <w:pPr>
        <w:pStyle w:val="yMiscellaneousBody"/>
        <w:tabs>
          <w:tab w:val="left" w:pos="284"/>
          <w:tab w:val="left" w:pos="1134"/>
          <w:tab w:val="left" w:pos="1701"/>
        </w:tabs>
        <w:ind w:left="1701" w:hanging="1701"/>
      </w:pPr>
      <w:r>
        <w:tab/>
      </w:r>
      <w:r>
        <w:tab/>
      </w:r>
      <w:r>
        <w:rPr>
          <w:b/>
        </w:rPr>
        <w:t>AB</w:t>
      </w:r>
      <w:r>
        <w:t xml:space="preserve"> =</w:t>
      </w:r>
      <w:r>
        <w:tab/>
        <w:t>for those parts of the caravan park not contained in long</w:t>
      </w:r>
      <w:r>
        <w:noBreakHyphen/>
        <w:t xml:space="preserve">term residential caravan bays — </w:t>
      </w:r>
    </w:p>
    <w:p>
      <w:pPr>
        <w:pStyle w:val="yMiscellaneousBody"/>
        <w:tabs>
          <w:tab w:val="left" w:pos="284"/>
          <w:tab w:val="left" w:pos="1134"/>
          <w:tab w:val="left" w:pos="1701"/>
        </w:tabs>
        <w:ind w:left="1701" w:hanging="1701"/>
      </w:pPr>
      <w:r>
        <w:tab/>
      </w:r>
      <w:r>
        <w:tab/>
      </w:r>
      <w:r>
        <w:tab/>
      </w:r>
      <w:r>
        <w:rPr>
          <w:b/>
        </w:rPr>
        <w:t>Y</w:t>
      </w:r>
      <w:r>
        <w:t xml:space="preserve"> + </w:t>
      </w:r>
      <w:r>
        <w:rPr>
          <w:b/>
        </w:rPr>
        <w:t>Q</w:t>
      </w:r>
    </w:p>
    <w:p>
      <w:pPr>
        <w:pStyle w:val="yMiscellaneousBody"/>
        <w:tabs>
          <w:tab w:val="left" w:pos="284"/>
          <w:tab w:val="left" w:pos="1134"/>
          <w:tab w:val="left" w:pos="1701"/>
        </w:tabs>
        <w:ind w:left="1701" w:hanging="1701"/>
      </w:pPr>
      <w:r>
        <w:tab/>
      </w:r>
      <w:r>
        <w:tab/>
      </w:r>
      <w:r>
        <w:tab/>
        <w:t xml:space="preserve">where — </w:t>
      </w:r>
    </w:p>
    <w:p>
      <w:pPr>
        <w:pStyle w:val="yMiscellaneousBody"/>
        <w:tabs>
          <w:tab w:val="left" w:pos="284"/>
          <w:tab w:val="left" w:pos="1985"/>
          <w:tab w:val="left" w:pos="2590"/>
        </w:tabs>
        <w:ind w:left="2576" w:hanging="2576"/>
      </w:pPr>
      <w:r>
        <w:tab/>
      </w:r>
      <w:r>
        <w:tab/>
      </w:r>
      <w:r>
        <w:rPr>
          <w:b/>
        </w:rPr>
        <w:t>Y</w:t>
      </w:r>
      <w:r>
        <w:t xml:space="preserve"> =</w:t>
      </w:r>
      <w:r>
        <w:tab/>
        <w:t>the charge according to the number of connected major fixtures calculated in accordance with item 18;</w:t>
      </w:r>
    </w:p>
    <w:p>
      <w:pPr>
        <w:pStyle w:val="yMiscellaneousBody"/>
        <w:tabs>
          <w:tab w:val="left" w:pos="284"/>
          <w:tab w:val="left" w:pos="1985"/>
          <w:tab w:val="left" w:pos="2590"/>
        </w:tabs>
        <w:ind w:left="2576" w:hanging="2576"/>
      </w:pPr>
      <w:r>
        <w:tab/>
      </w:r>
      <w:r>
        <w:tab/>
      </w:r>
      <w:r>
        <w:rPr>
          <w:b/>
        </w:rPr>
        <w:t>Q</w:t>
      </w:r>
      <w:r>
        <w:t xml:space="preserve"> =</w:t>
      </w:r>
      <w:r>
        <w:tab/>
        <w:t>the discharge charge calculated in accordance with item 19.</w:t>
      </w:r>
    </w:p>
    <w:p>
      <w:pPr>
        <w:pStyle w:val="yHeading5"/>
      </w:pPr>
      <w:bookmarkStart w:id="652" w:name="_Toc10193892"/>
      <w:bookmarkStart w:id="653" w:name="_Toc10642273"/>
      <w:bookmarkStart w:id="654" w:name="_Toc12277665"/>
      <w:r>
        <w:rPr>
          <w:rStyle w:val="CharSClsNo"/>
        </w:rPr>
        <w:t>16</w:t>
      </w:r>
      <w:r>
        <w:t>.</w:t>
      </w:r>
      <w:r>
        <w:tab/>
        <w:t>Metropolitan nursing home</w:t>
      </w:r>
      <w:bookmarkEnd w:id="652"/>
      <w:bookmarkEnd w:id="653"/>
      <w:bookmarkEnd w:id="654"/>
    </w:p>
    <w:p>
      <w:pPr>
        <w:pStyle w:val="yMiscellaneousBody"/>
        <w:tabs>
          <w:tab w:val="left" w:pos="284"/>
          <w:tab w:val="left" w:pos="1418"/>
        </w:tabs>
        <w:ind w:left="851" w:hanging="851"/>
      </w:pPr>
      <w:r>
        <w:tab/>
      </w:r>
      <w:r>
        <w:tab/>
        <w:t>For a nursing home in the metropolitan area, other than a nursing home that is, or is part of, an aged home, 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19;</w:t>
      </w:r>
    </w:p>
    <w:p>
      <w:pPr>
        <w:pStyle w:val="yMiscellaneousBody"/>
        <w:tabs>
          <w:tab w:val="left" w:pos="284"/>
          <w:tab w:val="left" w:pos="1134"/>
          <w:tab w:val="left" w:pos="1701"/>
        </w:tabs>
        <w:ind w:left="1701" w:hanging="1701"/>
      </w:pPr>
      <w:r>
        <w:tab/>
      </w: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284"/>
          <w:tab w:val="left" w:pos="1134"/>
          <w:tab w:val="left" w:pos="1701"/>
        </w:tabs>
        <w:ind w:left="1701" w:hanging="1701"/>
      </w:pPr>
      <w:r>
        <w:tab/>
      </w:r>
      <w:r>
        <w:tab/>
      </w:r>
      <w:r>
        <w:rPr>
          <w:b/>
        </w:rPr>
        <w:t>U</w:t>
      </w:r>
      <w:r>
        <w:t xml:space="preserve"> =</w:t>
      </w:r>
      <w:r>
        <w:tab/>
        <w:t>the number of beds in the nursing home;</w:t>
      </w:r>
    </w:p>
    <w:p>
      <w:pPr>
        <w:pStyle w:val="yMiscellaneousBody"/>
        <w:tabs>
          <w:tab w:val="left" w:pos="284"/>
          <w:tab w:val="left" w:pos="1134"/>
          <w:tab w:val="left" w:pos="1701"/>
        </w:tabs>
        <w:ind w:left="1701" w:hanging="1701"/>
      </w:pPr>
      <w:r>
        <w:tab/>
      </w:r>
      <w:r>
        <w:tab/>
      </w:r>
      <w:r>
        <w:rPr>
          <w:b/>
        </w:rPr>
        <w:t>V</w:t>
      </w:r>
      <w:r>
        <w:t xml:space="preserve"> =</w:t>
      </w:r>
      <w:r>
        <w:tab/>
      </w:r>
      <w:r>
        <w:rPr>
          <w:szCs w:val="22"/>
        </w:rPr>
        <w:t>$184.78</w:t>
      </w:r>
      <w:r>
        <w:t>.</w:t>
      </w:r>
    </w:p>
    <w:p>
      <w:pPr>
        <w:pStyle w:val="yHeading5"/>
      </w:pPr>
      <w:bookmarkStart w:id="655" w:name="_Toc10193893"/>
      <w:bookmarkStart w:id="656" w:name="_Toc10642274"/>
      <w:bookmarkStart w:id="657" w:name="_Toc12277666"/>
      <w:r>
        <w:rPr>
          <w:rStyle w:val="CharSClsNo"/>
        </w:rPr>
        <w:t>17</w:t>
      </w:r>
      <w:r>
        <w:t>.</w:t>
      </w:r>
      <w:r>
        <w:tab/>
        <w:t>Certain metropolitan strata</w:t>
      </w:r>
      <w:r>
        <w:noBreakHyphen/>
        <w:t>titled units</w:t>
      </w:r>
      <w:bookmarkEnd w:id="655"/>
      <w:bookmarkEnd w:id="656"/>
      <w:bookmarkEnd w:id="657"/>
    </w:p>
    <w:p>
      <w:pPr>
        <w:pStyle w:val="yMiscellaneousBody"/>
        <w:tabs>
          <w:tab w:val="left" w:pos="284"/>
          <w:tab w:val="right" w:leader="dot" w:pos="6804"/>
        </w:tabs>
        <w:ind w:left="851" w:hanging="851"/>
      </w:pPr>
      <w:r>
        <w:tab/>
      </w:r>
      <w:r>
        <w:tab/>
        <w:t>For land in the metropolitan area that —</w:t>
      </w:r>
    </w:p>
    <w:p>
      <w:pPr>
        <w:pStyle w:val="yMiscellaneousBody"/>
        <w:tabs>
          <w:tab w:val="left" w:pos="992"/>
          <w:tab w:val="right" w:leader="dot" w:pos="6804"/>
        </w:tabs>
        <w:ind w:left="1559" w:hanging="1559"/>
      </w:pPr>
      <w:r>
        <w:tab/>
        <w:t>(a)</w:t>
      </w:r>
      <w:r>
        <w:tab/>
        <w:t>is contained in a lot; and</w:t>
      </w:r>
    </w:p>
    <w:p>
      <w:pPr>
        <w:pStyle w:val="yMiscellaneousBody"/>
        <w:tabs>
          <w:tab w:val="left" w:pos="992"/>
          <w:tab w:val="right" w:leader="dot" w:pos="6804"/>
        </w:tabs>
        <w:ind w:left="1559" w:hanging="1559"/>
      </w:pPr>
      <w:r>
        <w:tab/>
        <w:t>(b)</w:t>
      </w:r>
      <w:r>
        <w:tab/>
        <w:t>is classified as non</w:t>
      </w:r>
      <w:r>
        <w:noBreakHyphen/>
        <w:t>residential; and</w:t>
      </w:r>
    </w:p>
    <w:p>
      <w:pPr>
        <w:pStyle w:val="yMiscellaneousBody"/>
        <w:tabs>
          <w:tab w:val="left" w:pos="992"/>
          <w:tab w:val="right" w:leader="dot" w:pos="6804"/>
        </w:tabs>
        <w:ind w:left="1559" w:hanging="1559"/>
      </w:pPr>
      <w:r>
        <w:tab/>
        <w:t>(c)</w:t>
      </w:r>
      <w:r>
        <w:tab/>
        <w:t>is not covered by item 5 or 6; and</w:t>
      </w:r>
    </w:p>
    <w:p>
      <w:pPr>
        <w:pStyle w:val="yMiscellaneousBody"/>
        <w:tabs>
          <w:tab w:val="left" w:pos="992"/>
          <w:tab w:val="right" w:leader="dot" w:pos="6804"/>
        </w:tabs>
        <w:ind w:left="1559" w:hanging="1559"/>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992"/>
          <w:tab w:val="right" w:leader="dot" w:pos="6804"/>
        </w:tabs>
        <w:ind w:left="1559" w:hanging="1559"/>
      </w:pPr>
      <w:r>
        <w:tab/>
        <w:t>(e)</w:t>
      </w:r>
      <w:r>
        <w:tab/>
        <w:t>the number of major fixtures shared by all units on the relevant strata plan is less than the number of those units,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T</w:t>
      </w:r>
      <w:r>
        <w:t xml:space="preserve"> =</w:t>
      </w:r>
      <w:r>
        <w:tab/>
      </w:r>
      <w:r>
        <w:rPr>
          <w:szCs w:val="22"/>
        </w:rPr>
        <w:t>$634.81</w:t>
      </w:r>
      <w:r>
        <w:t>;</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19.</w:t>
      </w:r>
    </w:p>
    <w:p>
      <w:pPr>
        <w:pStyle w:val="yHeading4"/>
      </w:pPr>
      <w:bookmarkStart w:id="658" w:name="_Toc10034277"/>
      <w:bookmarkStart w:id="659" w:name="_Toc10034437"/>
      <w:bookmarkStart w:id="660" w:name="_Toc10107757"/>
      <w:bookmarkStart w:id="661" w:name="_Toc10107917"/>
      <w:bookmarkStart w:id="662" w:name="_Toc10121224"/>
      <w:bookmarkStart w:id="663" w:name="_Toc10124609"/>
      <w:bookmarkStart w:id="664" w:name="_Toc10193894"/>
      <w:bookmarkStart w:id="665" w:name="_Toc10203681"/>
      <w:bookmarkStart w:id="666" w:name="_Toc10203837"/>
      <w:bookmarkStart w:id="667" w:name="_Toc10534991"/>
      <w:bookmarkStart w:id="668" w:name="_Toc10535864"/>
      <w:bookmarkStart w:id="669" w:name="_Toc10642275"/>
      <w:bookmarkStart w:id="670" w:name="_Toc11835762"/>
      <w:bookmarkStart w:id="671" w:name="_Toc12273839"/>
      <w:bookmarkStart w:id="672" w:name="_Toc12277667"/>
      <w:r>
        <w:t>Subdivision 3 — Calculation of certain factors for the purposes of Subdivision 2</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yFootnoteheading"/>
        <w:spacing w:after="120"/>
      </w:pPr>
      <w:bookmarkStart w:id="673" w:name="_Toc10193895"/>
      <w:bookmarkStart w:id="674" w:name="_Toc10642276"/>
      <w:r>
        <w:tab/>
        <w:t>[Heading inserted: Gazette 14 Jun 2019 p. 1965.]</w:t>
      </w:r>
    </w:p>
    <w:p>
      <w:pPr>
        <w:pStyle w:val="yHeading5"/>
      </w:pPr>
      <w:bookmarkStart w:id="675" w:name="_Toc12277668"/>
      <w:r>
        <w:rPr>
          <w:rStyle w:val="CharSClsNo"/>
        </w:rPr>
        <w:t>18</w:t>
      </w:r>
      <w:r>
        <w:t>.</w:t>
      </w:r>
      <w:r>
        <w:tab/>
        <w:t>Service charge</w:t>
      </w:r>
      <w:bookmarkEnd w:id="673"/>
      <w:bookmarkEnd w:id="674"/>
      <w:bookmarkEnd w:id="675"/>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the charge, according to the number of major fixtures for the land, that is the sum of the charges for each fixture as set out in the Table.</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rPr>
                <w:b/>
              </w:rPr>
            </w:pPr>
          </w:p>
        </w:tc>
        <w:tc>
          <w:tcPr>
            <w:tcW w:w="2268" w:type="dxa"/>
            <w:tcBorders>
              <w:top w:val="single" w:sz="4" w:space="0" w:color="auto"/>
              <w:bottom w:val="single" w:sz="4" w:space="0" w:color="auto"/>
            </w:tcBorders>
          </w:tcPr>
          <w:p>
            <w:pPr>
              <w:pStyle w:val="yTableNAm"/>
              <w:keepNext/>
              <w:jc w:val="center"/>
              <w:rPr>
                <w:b/>
              </w:rPr>
            </w:pPr>
            <w:r>
              <w:rPr>
                <w:b/>
              </w:rPr>
              <w:t>Charge</w:t>
            </w:r>
          </w:p>
        </w:tc>
      </w:tr>
      <w:tr>
        <w:tc>
          <w:tcPr>
            <w:tcW w:w="2268" w:type="dxa"/>
            <w:tcMar>
              <w:left w:w="482"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tcPr>
          <w:p>
            <w:pPr>
              <w:pStyle w:val="yTableNAm"/>
              <w:jc w:val="center"/>
            </w:pPr>
            <w:r>
              <w:rPr>
                <w:szCs w:val="22"/>
              </w:rPr>
              <w:t>$1 021.18</w:t>
            </w:r>
          </w:p>
        </w:tc>
      </w:tr>
      <w:tr>
        <w:tc>
          <w:tcPr>
            <w:tcW w:w="2268" w:type="dxa"/>
            <w:tcMar>
              <w:left w:w="482" w:type="dxa"/>
            </w:tcMar>
          </w:tcPr>
          <w:p>
            <w:pPr>
              <w:pStyle w:val="yTableNAm"/>
              <w:tabs>
                <w:tab w:val="clear" w:pos="567"/>
                <w:tab w:val="left" w:pos="384"/>
              </w:tabs>
              <w:ind w:left="370" w:hanging="370"/>
            </w:pPr>
            <w:r>
              <w:t>2</w:t>
            </w:r>
            <w:r>
              <w:rPr>
                <w:vertAlign w:val="superscript"/>
              </w:rPr>
              <w:t>nd</w:t>
            </w:r>
            <w:r>
              <w:tab/>
              <w:t>fixture</w:t>
            </w:r>
          </w:p>
        </w:tc>
        <w:tc>
          <w:tcPr>
            <w:tcW w:w="2268" w:type="dxa"/>
          </w:tcPr>
          <w:p>
            <w:pPr>
              <w:pStyle w:val="yTableNAm"/>
              <w:jc w:val="center"/>
            </w:pPr>
            <w:r>
              <w:rPr>
                <w:szCs w:val="22"/>
              </w:rPr>
              <w:t>$437.12</w:t>
            </w:r>
          </w:p>
        </w:tc>
      </w:tr>
      <w:tr>
        <w:tc>
          <w:tcPr>
            <w:tcW w:w="2268" w:type="dxa"/>
            <w:tcMar>
              <w:left w:w="482" w:type="dxa"/>
            </w:tcMar>
          </w:tcPr>
          <w:p>
            <w:pPr>
              <w:pStyle w:val="yTableNAm"/>
              <w:tabs>
                <w:tab w:val="clear" w:pos="567"/>
                <w:tab w:val="left" w:pos="384"/>
              </w:tabs>
              <w:ind w:left="370" w:hanging="370"/>
            </w:pPr>
            <w:r>
              <w:t>3</w:t>
            </w:r>
            <w:r>
              <w:rPr>
                <w:vertAlign w:val="superscript"/>
              </w:rPr>
              <w:t>rd</w:t>
            </w:r>
            <w:r>
              <w:tab/>
              <w:t>fixture</w:t>
            </w:r>
          </w:p>
        </w:tc>
        <w:tc>
          <w:tcPr>
            <w:tcW w:w="2268" w:type="dxa"/>
          </w:tcPr>
          <w:p>
            <w:pPr>
              <w:pStyle w:val="yTableNAm"/>
              <w:jc w:val="center"/>
            </w:pPr>
            <w:r>
              <w:rPr>
                <w:szCs w:val="22"/>
              </w:rPr>
              <w:t>$583.77</w:t>
            </w:r>
          </w:p>
        </w:tc>
      </w:tr>
      <w:tr>
        <w:tc>
          <w:tcPr>
            <w:tcW w:w="2268" w:type="dxa"/>
            <w:tcBorders>
              <w:bottom w:val="single" w:sz="4" w:space="0" w:color="auto"/>
            </w:tcBorders>
            <w:tcMar>
              <w:left w:w="482" w:type="dxa"/>
            </w:tcMar>
          </w:tcPr>
          <w:p>
            <w:pPr>
              <w:pStyle w:val="yTableNAm"/>
              <w:tabs>
                <w:tab w:val="clear" w:pos="567"/>
                <w:tab w:val="left" w:pos="384"/>
              </w:tabs>
              <w:ind w:left="370" w:hanging="370"/>
            </w:pPr>
            <w:r>
              <w:t>4</w:t>
            </w:r>
            <w:r>
              <w:rPr>
                <w:vertAlign w:val="superscript"/>
              </w:rPr>
              <w:t>th</w:t>
            </w:r>
            <w:r>
              <w:tab/>
              <w:t>and</w:t>
            </w:r>
            <w:r>
              <w:br/>
              <w:t>subsequent</w:t>
            </w:r>
            <w:r>
              <w:br/>
              <w:t>fixtures</w:t>
            </w:r>
          </w:p>
        </w:tc>
        <w:tc>
          <w:tcPr>
            <w:tcW w:w="2268" w:type="dxa"/>
            <w:tcBorders>
              <w:bottom w:val="single" w:sz="4" w:space="0" w:color="auto"/>
            </w:tcBorders>
          </w:tcPr>
          <w:p>
            <w:pPr>
              <w:pStyle w:val="yTableNAm"/>
              <w:jc w:val="center"/>
            </w:pPr>
            <w:r>
              <w:rPr>
                <w:szCs w:val="22"/>
              </w:rPr>
              <w:t>$634.81</w:t>
            </w:r>
          </w:p>
        </w:tc>
      </w:tr>
    </w:tbl>
    <w:p>
      <w:pPr>
        <w:pStyle w:val="yHeading5"/>
      </w:pPr>
      <w:bookmarkStart w:id="676" w:name="_Toc10193896"/>
      <w:bookmarkStart w:id="677" w:name="_Toc10642277"/>
      <w:bookmarkStart w:id="678" w:name="_Toc12277669"/>
      <w:r>
        <w:rPr>
          <w:rStyle w:val="CharSClsNo"/>
        </w:rPr>
        <w:t>19</w:t>
      </w:r>
      <w:r>
        <w:t>.</w:t>
      </w:r>
      <w:r>
        <w:tab/>
        <w:t>Discharge charge</w:t>
      </w:r>
      <w:bookmarkEnd w:id="676"/>
      <w:bookmarkEnd w:id="677"/>
      <w:bookmarkEnd w:id="678"/>
    </w:p>
    <w:p>
      <w:pPr>
        <w:pStyle w:val="yMiscellaneousBody"/>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F</w:t>
      </w:r>
      <w:r>
        <w:t xml:space="preserve"> =</w:t>
      </w:r>
      <w:r>
        <w:tab/>
        <w:t>the volume of water supplied to the land in the current consumption year;</w:t>
      </w:r>
    </w:p>
    <w:p>
      <w:pPr>
        <w:pStyle w:val="yMiscellaneousBody"/>
        <w:tabs>
          <w:tab w:val="left" w:pos="284"/>
          <w:tab w:val="left" w:pos="1134"/>
          <w:tab w:val="left" w:pos="1701"/>
        </w:tabs>
        <w:ind w:left="1701" w:hanging="1701"/>
      </w:pPr>
      <w:r>
        <w:tab/>
      </w:r>
      <w:r>
        <w:tab/>
      </w:r>
      <w:r>
        <w:rPr>
          <w:b/>
        </w:rPr>
        <w:t>G</w:t>
      </w:r>
      <w:r>
        <w:t xml:space="preserve"> =</w:t>
      </w:r>
      <w:r>
        <w:tab/>
        <w:t>the discharge factor applicable for the land for the current discharge year;</w:t>
      </w:r>
    </w:p>
    <w:p>
      <w:pPr>
        <w:pStyle w:val="yMiscellaneousBody"/>
        <w:tabs>
          <w:tab w:val="left" w:pos="284"/>
          <w:tab w:val="left" w:pos="1134"/>
          <w:tab w:val="left" w:pos="1701"/>
        </w:tabs>
        <w:ind w:left="1701" w:hanging="1701"/>
      </w:pPr>
      <w:r>
        <w:tab/>
      </w:r>
      <w:r>
        <w:tab/>
      </w:r>
      <w:r>
        <w:rPr>
          <w:b/>
        </w:rPr>
        <w:t>H</w:t>
      </w:r>
      <w:r>
        <w:t xml:space="preserve"> =</w:t>
      </w:r>
      <w:r>
        <w:tab/>
        <w:t>the discharge allowance for the current discharge year worked out in accordance with item 20;</w:t>
      </w:r>
    </w:p>
    <w:p>
      <w:pPr>
        <w:pStyle w:val="yMiscellaneousBody"/>
        <w:tabs>
          <w:tab w:val="left" w:pos="284"/>
          <w:tab w:val="left" w:pos="1134"/>
          <w:tab w:val="left" w:pos="1701"/>
        </w:tabs>
        <w:ind w:left="1701" w:hanging="1701"/>
      </w:pPr>
      <w:r>
        <w:tab/>
      </w:r>
      <w:r>
        <w:tab/>
      </w:r>
      <w:r>
        <w:rPr>
          <w:b/>
        </w:rPr>
        <w:t>I</w:t>
      </w:r>
      <w:r>
        <w:t xml:space="preserve"> =</w:t>
      </w:r>
      <w:r>
        <w:tab/>
      </w:r>
      <w:r>
        <w:rPr>
          <w:szCs w:val="22"/>
        </w:rPr>
        <w:t>$3.752</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679" w:name="_Toc10193897"/>
      <w:bookmarkStart w:id="680" w:name="_Toc10642278"/>
      <w:bookmarkStart w:id="681" w:name="_Toc12277670"/>
      <w:r>
        <w:rPr>
          <w:rStyle w:val="CharSClsNo"/>
        </w:rPr>
        <w:t>20</w:t>
      </w:r>
      <w:r>
        <w:t>.</w:t>
      </w:r>
      <w:r>
        <w:tab/>
        <w:t>Discharge allowance</w:t>
      </w:r>
      <w:bookmarkEnd w:id="679"/>
      <w:bookmarkEnd w:id="680"/>
      <w:bookmarkEnd w:id="681"/>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992"/>
          <w:tab w:val="right" w:leader="dot" w:pos="6804"/>
        </w:tabs>
        <w:ind w:left="1559" w:hanging="1559"/>
      </w:pPr>
      <w:r>
        <w:tab/>
        <w:t>(a)</w:t>
      </w:r>
      <w:r>
        <w:tab/>
        <w:t>for land to which item 13 applies that is not covered by paragraph (e) — 200 kL;</w:t>
      </w:r>
    </w:p>
    <w:p>
      <w:pPr>
        <w:pStyle w:val="yMiscellaneousBody"/>
        <w:tabs>
          <w:tab w:val="left" w:pos="992"/>
          <w:tab w:val="right" w:leader="dot" w:pos="6804"/>
        </w:tabs>
        <w:ind w:left="1559" w:hanging="1559"/>
      </w:pPr>
      <w:r>
        <w:tab/>
        <w:t>(b)</w:t>
      </w:r>
      <w:r>
        <w:tab/>
        <w:t>for land held by a government trading organisation or by a public authority that holds non</w:t>
      </w:r>
      <w:r>
        <w:noBreakHyphen/>
        <w:t>commercial government property — 200 kL;</w:t>
      </w:r>
    </w:p>
    <w:p>
      <w:pPr>
        <w:pStyle w:val="yMiscellaneousBody"/>
        <w:tabs>
          <w:tab w:val="left" w:pos="992"/>
          <w:tab w:val="right" w:leader="dot" w:pos="6804"/>
        </w:tabs>
        <w:ind w:left="1559" w:hanging="1559"/>
      </w:pPr>
      <w:r>
        <w:tab/>
        <w:t>(c)</w:t>
      </w:r>
      <w:r>
        <w:tab/>
        <w:t>for a caravan park referred to in item 15, the amount (in kL) calculated in accordance with the formula in sub</w:t>
      </w:r>
      <w:r>
        <w:noBreakHyphen/>
        <w:t>item (2);</w:t>
      </w:r>
    </w:p>
    <w:p>
      <w:pPr>
        <w:pStyle w:val="yMiscellaneousBody"/>
        <w:tabs>
          <w:tab w:val="left" w:pos="992"/>
          <w:tab w:val="right" w:leader="dot" w:pos="6804"/>
        </w:tabs>
        <w:ind w:left="1559" w:hanging="1559"/>
      </w:pPr>
      <w:r>
        <w:tab/>
        <w:t>(d)</w:t>
      </w:r>
      <w:r>
        <w:tab/>
        <w:t>for a nursing home referred to in item 16 — 75 kL per bed;</w:t>
      </w:r>
    </w:p>
    <w:p>
      <w:pPr>
        <w:pStyle w:val="yMiscellaneousBody"/>
        <w:tabs>
          <w:tab w:val="left" w:pos="992"/>
          <w:tab w:val="right" w:leader="dot" w:pos="6804"/>
        </w:tabs>
        <w:ind w:left="1559" w:hanging="1559"/>
      </w:pPr>
      <w:r>
        <w:tab/>
        <w:t>(e)</w:t>
      </w:r>
      <w:r>
        <w:tab/>
        <w:t>for properties that share a metered property water supply connection — 200 kL for each property.</w:t>
      </w:r>
    </w:p>
    <w:p>
      <w:pPr>
        <w:pStyle w:val="yMiscellaneousBody"/>
        <w:tabs>
          <w:tab w:val="left" w:pos="284"/>
          <w:tab w:val="right" w:leader="dot" w:pos="6804"/>
        </w:tabs>
        <w:ind w:left="851" w:hanging="851"/>
      </w:pPr>
      <w:r>
        <w:tab/>
        <w:t>(2)</w:t>
      </w:r>
      <w:r>
        <w:tab/>
        <w:t>The formula for the purposes of sub</w:t>
      </w:r>
      <w:r>
        <w:noBreakHyphen/>
        <w:t>item (1)(c) is —</w:t>
      </w:r>
    </w:p>
    <w:p>
      <w:pPr>
        <w:pStyle w:val="yMiscellaneousBody"/>
        <w:tabs>
          <w:tab w:val="left" w:pos="284"/>
          <w:tab w:val="left" w:pos="993"/>
        </w:tabs>
        <w:ind w:left="993" w:hanging="993"/>
      </w:pPr>
      <w:r>
        <w:rPr>
          <w:b/>
        </w:rPr>
        <w:tab/>
      </w:r>
      <w:r>
        <w:rPr>
          <w:b/>
        </w:rPr>
        <w:tab/>
        <w:t>200 kL</w:t>
      </w:r>
      <w:r>
        <w:t xml:space="preserve"> + </w:t>
      </w:r>
      <w:r>
        <w:rPr>
          <w:b/>
        </w:rPr>
        <w:t>M</w:t>
      </w:r>
    </w:p>
    <w:p>
      <w:pPr>
        <w:pStyle w:val="yMiscellaneousBody"/>
        <w:tabs>
          <w:tab w:val="left" w:pos="284"/>
          <w:tab w:val="left" w:pos="993"/>
        </w:tabs>
        <w:ind w:left="993" w:hanging="993"/>
      </w:pPr>
      <w:r>
        <w:tab/>
      </w:r>
      <w:r>
        <w:tab/>
        <w:t xml:space="preserve">where — </w:t>
      </w:r>
    </w:p>
    <w:p>
      <w:pPr>
        <w:pStyle w:val="yMiscellaneousBody"/>
        <w:tabs>
          <w:tab w:val="left" w:pos="284"/>
          <w:tab w:val="left" w:pos="1418"/>
          <w:tab w:val="left" w:pos="1985"/>
        </w:tabs>
        <w:ind w:left="1985" w:hanging="1985"/>
      </w:pPr>
      <w:r>
        <w:tab/>
      </w:r>
      <w:r>
        <w:tab/>
      </w:r>
      <w:r>
        <w:rPr>
          <w:b/>
        </w:rPr>
        <w:t>M</w:t>
      </w:r>
      <w:r>
        <w:t xml:space="preserve"> =</w:t>
      </w:r>
      <w:r>
        <w:tab/>
        <w:t>75 kL for each long</w:t>
      </w:r>
      <w:r>
        <w:noBreakHyphen/>
        <w:t>term residential caravan bay.</w:t>
      </w:r>
    </w:p>
    <w:p>
      <w:pPr>
        <w:pStyle w:val="yHeading4"/>
      </w:pPr>
      <w:bookmarkStart w:id="682" w:name="_Toc10034281"/>
      <w:bookmarkStart w:id="683" w:name="_Toc10034441"/>
      <w:bookmarkStart w:id="684" w:name="_Toc10107761"/>
      <w:bookmarkStart w:id="685" w:name="_Toc10107921"/>
      <w:bookmarkStart w:id="686" w:name="_Toc10121228"/>
      <w:bookmarkStart w:id="687" w:name="_Toc10124613"/>
      <w:bookmarkStart w:id="688" w:name="_Toc10193898"/>
      <w:bookmarkStart w:id="689" w:name="_Toc10203685"/>
      <w:bookmarkStart w:id="690" w:name="_Toc10203841"/>
      <w:bookmarkStart w:id="691" w:name="_Toc10534995"/>
      <w:bookmarkStart w:id="692" w:name="_Toc10535868"/>
      <w:bookmarkStart w:id="693" w:name="_Toc10642279"/>
      <w:bookmarkStart w:id="694" w:name="_Toc11835766"/>
      <w:bookmarkStart w:id="695" w:name="_Toc12273843"/>
      <w:bookmarkStart w:id="696" w:name="_Toc12277671"/>
      <w:r>
        <w:t>Subdivision 4 — Combined charges: non</w:t>
      </w:r>
      <w:r>
        <w:noBreakHyphen/>
        <w:t>metropolitan</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yFootnoteheading"/>
        <w:spacing w:after="120"/>
      </w:pPr>
      <w:bookmarkStart w:id="697" w:name="_Toc10193899"/>
      <w:bookmarkStart w:id="698" w:name="_Toc10642280"/>
      <w:r>
        <w:tab/>
        <w:t>[Heading inserted: Gazette 14 Jun 2019 p. 1967.]</w:t>
      </w:r>
    </w:p>
    <w:p>
      <w:pPr>
        <w:pStyle w:val="yHeading5"/>
      </w:pPr>
      <w:bookmarkStart w:id="699" w:name="_Toc12277672"/>
      <w:r>
        <w:rPr>
          <w:rStyle w:val="CharSClsNo"/>
        </w:rPr>
        <w:t>21</w:t>
      </w:r>
      <w:r>
        <w:t>.</w:t>
      </w:r>
      <w:r>
        <w:tab/>
        <w:t>Non</w:t>
      </w:r>
      <w:r>
        <w:noBreakHyphen/>
        <w:t>metropolitan non</w:t>
      </w:r>
      <w:r>
        <w:noBreakHyphen/>
        <w:t>residential</w:t>
      </w:r>
      <w:bookmarkEnd w:id="697"/>
      <w:bookmarkEnd w:id="698"/>
      <w:bookmarkEnd w:id="699"/>
    </w:p>
    <w:p>
      <w:pPr>
        <w:pStyle w:val="yMiscellaneousBody"/>
        <w:tabs>
          <w:tab w:val="left" w:pos="284"/>
          <w:tab w:val="right" w:leader="dot" w:pos="6804"/>
        </w:tabs>
        <w:ind w:left="851" w:hanging="851"/>
      </w:pPr>
      <w:r>
        <w:tab/>
      </w:r>
      <w:r>
        <w:tab/>
        <w:t>For land in the non</w:t>
      </w:r>
      <w:r>
        <w:noBreakHyphen/>
        <w:t>metropolitan area that —</w:t>
      </w:r>
    </w:p>
    <w:p>
      <w:pPr>
        <w:pStyle w:val="yMiscellaneousBody"/>
        <w:tabs>
          <w:tab w:val="left" w:pos="992"/>
          <w:tab w:val="right" w:leader="dot" w:pos="6804"/>
        </w:tabs>
        <w:ind w:left="1559" w:hanging="1559"/>
      </w:pPr>
      <w:r>
        <w:tab/>
        <w:t>(a)</w:t>
      </w:r>
      <w:r>
        <w:tab/>
        <w:t>is classified as non</w:t>
      </w:r>
      <w:r>
        <w:noBreakHyphen/>
        <w:t>residential property; and</w:t>
      </w:r>
    </w:p>
    <w:p>
      <w:pPr>
        <w:pStyle w:val="yMiscellaneousBody"/>
        <w:tabs>
          <w:tab w:val="left" w:pos="992"/>
          <w:tab w:val="right" w:leader="dot" w:pos="6804"/>
        </w:tabs>
        <w:ind w:left="1559" w:hanging="1559"/>
      </w:pPr>
      <w:r>
        <w:tab/>
        <w:t>(b)</w:t>
      </w:r>
      <w:r>
        <w:tab/>
        <w:t>is not covered by item 5, 6, 10, 22, 23, 24 or 24A,</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or if — </w:t>
      </w:r>
    </w:p>
    <w:p>
      <w:pPr>
        <w:pStyle w:val="yMiscellaneousBody"/>
        <w:tabs>
          <w:tab w:val="left" w:pos="284"/>
          <w:tab w:val="left" w:pos="1134"/>
          <w:tab w:val="left" w:pos="1701"/>
        </w:tabs>
        <w:ind w:left="1701" w:hanging="1701"/>
      </w:pPr>
      <w:r>
        <w:tab/>
      </w:r>
      <w:r>
        <w:tab/>
        <w:t>(</w:t>
      </w:r>
      <w:r>
        <w:rPr>
          <w:b/>
        </w:rPr>
        <w:t>P</w:t>
      </w:r>
      <w:r>
        <w:t xml:space="preserve"> + </w:t>
      </w:r>
      <w:r>
        <w:rPr>
          <w:b/>
        </w:rPr>
        <w:t>Q</w:t>
      </w:r>
      <w:r>
        <w:t xml:space="preserve">) &gt; </w:t>
      </w:r>
      <w:r>
        <w:rPr>
          <w:b/>
        </w:rPr>
        <w:t>R</w:t>
      </w:r>
      <w:r>
        <w:t>; and</w:t>
      </w:r>
    </w:p>
    <w:p>
      <w:pPr>
        <w:pStyle w:val="yMiscellaneousBody"/>
        <w:tabs>
          <w:tab w:val="left" w:pos="284"/>
          <w:tab w:val="left" w:pos="1134"/>
          <w:tab w:val="left" w:pos="1701"/>
        </w:tabs>
        <w:ind w:left="1701" w:hanging="1701"/>
      </w:pPr>
      <w:r>
        <w:tab/>
      </w:r>
      <w:r>
        <w:tab/>
      </w:r>
      <w:r>
        <w:rPr>
          <w:b/>
        </w:rPr>
        <w:t>N</w:t>
      </w:r>
      <w:r>
        <w:t xml:space="preserve"> </w:t>
      </w:r>
      <w:r>
        <w:sym w:font="Symbol" w:char="F0A3"/>
      </w:r>
      <w:r>
        <w:t xml:space="preserve"> </w:t>
      </w:r>
      <w:r>
        <w:rPr>
          <w:b/>
        </w:rPr>
        <w:t>W</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 </w:t>
      </w:r>
    </w:p>
    <w:p>
      <w:pPr>
        <w:pStyle w:val="yMiscellaneousBody"/>
        <w:tabs>
          <w:tab w:val="left" w:pos="284"/>
          <w:tab w:val="left" w:pos="1134"/>
          <w:tab w:val="left" w:pos="1701"/>
        </w:tabs>
        <w:ind w:left="1701" w:hanging="1701"/>
      </w:pPr>
      <w:r>
        <w:tab/>
      </w:r>
      <w:r>
        <w:tab/>
        <w:t>(</w:t>
      </w:r>
      <w:r>
        <w:rPr>
          <w:b/>
        </w:rPr>
        <w:t>P</w:t>
      </w:r>
      <w:r>
        <w:t xml:space="preserve"> + </w:t>
      </w:r>
      <w:r>
        <w:rPr>
          <w:b/>
        </w:rPr>
        <w:t>Q</w:t>
      </w:r>
      <w:r>
        <w:t xml:space="preserve">) &gt; </w:t>
      </w:r>
      <w:r>
        <w:rPr>
          <w:b/>
        </w:rPr>
        <w:t>R</w:t>
      </w:r>
      <w:r>
        <w:t>; and</w:t>
      </w:r>
    </w:p>
    <w:p>
      <w:pPr>
        <w:pStyle w:val="yMiscellaneousBody"/>
        <w:tabs>
          <w:tab w:val="left" w:pos="284"/>
          <w:tab w:val="left" w:pos="1134"/>
          <w:tab w:val="left" w:pos="1701"/>
        </w:tabs>
        <w:ind w:left="1701" w:hanging="1701"/>
      </w:pPr>
      <w:r>
        <w:tab/>
      </w:r>
      <w:r>
        <w:tab/>
      </w:r>
      <w:r>
        <w:rPr>
          <w:b/>
        </w:rPr>
        <w:t>N</w:t>
      </w:r>
      <w:r>
        <w:t xml:space="preserve"> &gt; </w:t>
      </w:r>
      <w:r>
        <w:rPr>
          <w:b/>
        </w:rPr>
        <w:t>W</w:t>
      </w:r>
      <w:r>
        <w:t>,</w:t>
      </w:r>
    </w:p>
    <w:p>
      <w:pPr>
        <w:pStyle w:val="yMiscellaneousBody"/>
        <w:tabs>
          <w:tab w:val="left" w:pos="284"/>
          <w:tab w:val="right" w:leader="dot" w:pos="6804"/>
        </w:tabs>
        <w:ind w:left="851" w:hanging="851"/>
      </w:pPr>
      <w:r>
        <w:tab/>
      </w: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P</w:t>
      </w:r>
      <w:r>
        <w:t xml:space="preserve"> =</w:t>
      </w:r>
      <w:r>
        <w:tab/>
        <w:t>the service charge calculated in accordance with item 25;</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26;</w:t>
      </w:r>
    </w:p>
    <w:p>
      <w:pPr>
        <w:pStyle w:val="yMiscellaneousBody"/>
        <w:tabs>
          <w:tab w:val="left" w:pos="284"/>
          <w:tab w:val="left" w:pos="1134"/>
          <w:tab w:val="left" w:pos="1701"/>
        </w:tabs>
        <w:ind w:left="1701" w:hanging="1701"/>
      </w:pPr>
      <w:r>
        <w:tab/>
      </w:r>
      <w:r>
        <w:tab/>
      </w:r>
      <w:r>
        <w:rPr>
          <w:b/>
        </w:rPr>
        <w:t>R</w:t>
      </w:r>
      <w:r>
        <w:t xml:space="preserve"> =</w:t>
      </w:r>
      <w:r>
        <w:tab/>
        <w:t>the maximum charge calculated in accordance with item 28;</w:t>
      </w:r>
    </w:p>
    <w:p>
      <w:pPr>
        <w:pStyle w:val="yMiscellaneousBody"/>
        <w:tabs>
          <w:tab w:val="left" w:pos="284"/>
          <w:tab w:val="left" w:pos="1134"/>
          <w:tab w:val="left" w:pos="1701"/>
        </w:tabs>
        <w:ind w:left="1701" w:hanging="1701"/>
      </w:pPr>
      <w:r>
        <w:tab/>
      </w:r>
      <w:r>
        <w:tab/>
      </w:r>
      <w:r>
        <w:rPr>
          <w:b/>
        </w:rPr>
        <w:t>N</w:t>
      </w:r>
      <w:r>
        <w:t xml:space="preserve"> =</w:t>
      </w:r>
      <w:r>
        <w:tab/>
        <w:t>the discharge volume for the current discharge year;</w:t>
      </w:r>
    </w:p>
    <w:p>
      <w:pPr>
        <w:pStyle w:val="yMiscellaneousBody"/>
        <w:tabs>
          <w:tab w:val="left" w:pos="284"/>
          <w:tab w:val="left" w:pos="1134"/>
          <w:tab w:val="left" w:pos="1701"/>
        </w:tabs>
        <w:ind w:left="1701" w:hanging="1701"/>
      </w:pPr>
      <w:r>
        <w:tab/>
      </w:r>
      <w:r>
        <w:tab/>
      </w:r>
      <w:r>
        <w:rPr>
          <w:b/>
        </w:rPr>
        <w:t>W</w:t>
      </w:r>
      <w:r>
        <w:t xml:space="preserve"> =</w:t>
      </w:r>
      <w:r>
        <w:tab/>
        <w:t>the discharge volume for the most recently completed discharge year;</w:t>
      </w:r>
    </w:p>
    <w:p>
      <w:pPr>
        <w:pStyle w:val="yMiscellaneousBody"/>
        <w:tabs>
          <w:tab w:val="left" w:pos="284"/>
          <w:tab w:val="left" w:pos="1134"/>
          <w:tab w:val="left" w:pos="1701"/>
        </w:tabs>
        <w:ind w:left="1701" w:hanging="1701"/>
      </w:pPr>
      <w:r>
        <w:tab/>
      </w:r>
      <w:r>
        <w:tab/>
      </w:r>
      <w:r>
        <w:rPr>
          <w:b/>
        </w:rPr>
        <w:t>I</w:t>
      </w:r>
      <w:r>
        <w:t xml:space="preserve"> =</w:t>
      </w:r>
      <w:r>
        <w:tab/>
      </w:r>
      <w:r>
        <w:rPr>
          <w:szCs w:val="22"/>
        </w:rPr>
        <w:t>$3.752</w:t>
      </w:r>
      <w:r>
        <w:t>.</w:t>
      </w:r>
    </w:p>
    <w:p>
      <w:pPr>
        <w:pStyle w:val="yHeading5"/>
      </w:pPr>
      <w:bookmarkStart w:id="700" w:name="_Toc10193900"/>
      <w:bookmarkStart w:id="701" w:name="_Toc10642281"/>
      <w:bookmarkStart w:id="702" w:name="_Toc12277673"/>
      <w:r>
        <w:rPr>
          <w:rStyle w:val="CharSClsNo"/>
        </w:rPr>
        <w:t>22</w:t>
      </w:r>
      <w:r>
        <w:t>.</w:t>
      </w:r>
      <w:r>
        <w:tab/>
        <w:t>Non</w:t>
      </w:r>
      <w:r>
        <w:noBreakHyphen/>
        <w:t>metropolitan non</w:t>
      </w:r>
      <w:r>
        <w:noBreakHyphen/>
        <w:t>strata titled caravan park with long</w:t>
      </w:r>
      <w:r>
        <w:noBreakHyphen/>
        <w:t>term residential caravan bays</w:t>
      </w:r>
      <w:bookmarkEnd w:id="700"/>
      <w:bookmarkEnd w:id="701"/>
      <w:bookmarkEnd w:id="702"/>
    </w:p>
    <w:p>
      <w:pPr>
        <w:pStyle w:val="yMiscellaneousBody"/>
        <w:keepNext/>
        <w:tabs>
          <w:tab w:val="left" w:pos="284"/>
          <w:tab w:val="right" w:leader="dot" w:pos="6804"/>
        </w:tabs>
        <w:ind w:left="851" w:hanging="851"/>
      </w:pPr>
      <w:r>
        <w:tab/>
      </w:r>
      <w:r>
        <w:tab/>
        <w:t>For a caravan park in the non</w:t>
      </w:r>
      <w:r>
        <w:noBreakHyphen/>
        <w:t xml:space="preserve">metropolitan area that — </w:t>
      </w:r>
    </w:p>
    <w:p>
      <w:pPr>
        <w:pStyle w:val="yMiscellaneousBody"/>
        <w:tabs>
          <w:tab w:val="left" w:pos="992"/>
          <w:tab w:val="right" w:leader="dot" w:pos="6804"/>
        </w:tabs>
        <w:ind w:left="1559" w:hanging="1559"/>
      </w:pPr>
      <w:r>
        <w:tab/>
        <w:t>(a)</w:t>
      </w:r>
      <w:r>
        <w:tab/>
        <w:t>does not consist wholly of strata</w:t>
      </w:r>
      <w:r>
        <w:noBreakHyphen/>
        <w:t>titled caravan bays; and</w:t>
      </w:r>
    </w:p>
    <w:p>
      <w:pPr>
        <w:pStyle w:val="yMiscellaneousBody"/>
        <w:tabs>
          <w:tab w:val="left" w:pos="992"/>
          <w:tab w:val="right" w:leader="dot" w:pos="6804"/>
        </w:tabs>
        <w:ind w:left="1559" w:hanging="1559"/>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AA</w:t>
      </w:r>
      <w:r>
        <w:t xml:space="preserve"> =</w:t>
      </w:r>
      <w:r>
        <w:tab/>
      </w:r>
      <w:r>
        <w:rPr>
          <w:szCs w:val="22"/>
        </w:rPr>
        <w:t>$337.18</w:t>
      </w:r>
      <w:r>
        <w:t xml:space="preserve"> for each long</w:t>
      </w:r>
      <w:r>
        <w:noBreakHyphen/>
        <w:t>term residential caravan bay;</w:t>
      </w:r>
    </w:p>
    <w:p>
      <w:pPr>
        <w:pStyle w:val="yMiscellaneousBody"/>
        <w:tabs>
          <w:tab w:val="left" w:pos="284"/>
          <w:tab w:val="left" w:pos="1134"/>
          <w:tab w:val="left" w:pos="1701"/>
        </w:tabs>
        <w:ind w:left="1701" w:hanging="1701"/>
      </w:pPr>
      <w:r>
        <w:tab/>
      </w:r>
      <w:r>
        <w:tab/>
      </w:r>
      <w:r>
        <w:rPr>
          <w:b/>
        </w:rPr>
        <w:t>AB</w:t>
      </w:r>
      <w:r>
        <w:t xml:space="preserve"> =</w:t>
      </w:r>
      <w:r>
        <w:tab/>
        <w:t>for those parts of the caravan park not consisting of long</w:t>
      </w:r>
      <w:r>
        <w:noBreakHyphen/>
        <w:t xml:space="preserve">term residential caravan bays — </w:t>
      </w:r>
    </w:p>
    <w:p>
      <w:pPr>
        <w:pStyle w:val="yMiscellaneousBody"/>
        <w:tabs>
          <w:tab w:val="left" w:pos="284"/>
          <w:tab w:val="left" w:pos="1701"/>
        </w:tabs>
        <w:ind w:left="1701" w:hanging="1701"/>
      </w:pPr>
      <w:r>
        <w:tab/>
      </w: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284"/>
          <w:tab w:val="left" w:pos="1701"/>
        </w:tabs>
        <w:ind w:left="1701" w:hanging="1701"/>
      </w:pPr>
      <w:r>
        <w:tab/>
      </w:r>
      <w:r>
        <w:tab/>
        <w:t xml:space="preserve">then </w:t>
      </w:r>
      <w:r>
        <w:rPr>
          <w:b/>
        </w:rPr>
        <w:t>Y</w:t>
      </w:r>
      <w:r>
        <w:t xml:space="preserve"> + </w:t>
      </w:r>
      <w:r>
        <w:rPr>
          <w:b/>
        </w:rPr>
        <w:t>Q</w:t>
      </w:r>
    </w:p>
    <w:p>
      <w:pPr>
        <w:pStyle w:val="yMiscellaneousBody"/>
        <w:tabs>
          <w:tab w:val="left" w:pos="284"/>
          <w:tab w:val="left" w:pos="1701"/>
        </w:tabs>
        <w:ind w:left="1701" w:hanging="1701"/>
      </w:pPr>
      <w:r>
        <w:tab/>
      </w:r>
      <w:r>
        <w:tab/>
        <w:t xml:space="preserve">or if — </w:t>
      </w:r>
    </w:p>
    <w:p>
      <w:pPr>
        <w:pStyle w:val="yMiscellaneousBody"/>
        <w:tabs>
          <w:tab w:val="left" w:pos="284"/>
          <w:tab w:val="left" w:pos="1985"/>
        </w:tabs>
        <w:ind w:left="1985" w:hanging="1985"/>
      </w:pPr>
      <w:r>
        <w:tab/>
      </w:r>
      <w:r>
        <w:tab/>
        <w:t>(</w:t>
      </w:r>
      <w:r>
        <w:rPr>
          <w:b/>
        </w:rPr>
        <w:t>Y</w:t>
      </w:r>
      <w:r>
        <w:t xml:space="preserve"> + </w:t>
      </w:r>
      <w:r>
        <w:rPr>
          <w:b/>
        </w:rPr>
        <w:t>Q</w:t>
      </w:r>
      <w:r>
        <w:t xml:space="preserve">) &gt; </w:t>
      </w:r>
      <w:r>
        <w:rPr>
          <w:b/>
        </w:rPr>
        <w:t>R</w:t>
      </w:r>
      <w:r>
        <w:t>; and</w:t>
      </w:r>
    </w:p>
    <w:p>
      <w:pPr>
        <w:pStyle w:val="yMiscellaneousBody"/>
        <w:tabs>
          <w:tab w:val="left" w:pos="284"/>
          <w:tab w:val="left" w:pos="1985"/>
        </w:tabs>
        <w:ind w:left="1985" w:hanging="1985"/>
      </w:pPr>
      <w:r>
        <w:tab/>
      </w:r>
      <w:r>
        <w:tab/>
      </w:r>
      <w:r>
        <w:rPr>
          <w:b/>
        </w:rPr>
        <w:t>N</w:t>
      </w:r>
      <w:r>
        <w:t xml:space="preserve"> </w:t>
      </w:r>
      <w:r>
        <w:sym w:font="Symbol" w:char="F0A3"/>
      </w:r>
      <w:r>
        <w:t xml:space="preserve"> </w:t>
      </w:r>
      <w:r>
        <w:rPr>
          <w:b/>
        </w:rPr>
        <w:t>W</w:t>
      </w:r>
      <w:r>
        <w:t>,</w:t>
      </w:r>
    </w:p>
    <w:p>
      <w:pPr>
        <w:pStyle w:val="yMiscellaneousBody"/>
        <w:tabs>
          <w:tab w:val="left" w:pos="284"/>
          <w:tab w:val="left" w:pos="1701"/>
        </w:tabs>
        <w:ind w:left="1701" w:hanging="1701"/>
        <w:rPr>
          <w:b/>
        </w:rPr>
      </w:pPr>
      <w:r>
        <w:tab/>
      </w:r>
      <w:r>
        <w:tab/>
        <w:t xml:space="preserve">then </w:t>
      </w:r>
      <w:r>
        <w:rPr>
          <w:b/>
        </w:rPr>
        <w:t>R</w:t>
      </w:r>
    </w:p>
    <w:p>
      <w:pPr>
        <w:pStyle w:val="yMiscellaneousBody"/>
        <w:keepNext/>
        <w:tabs>
          <w:tab w:val="left" w:pos="284"/>
          <w:tab w:val="left" w:pos="1701"/>
        </w:tabs>
        <w:ind w:left="1701" w:hanging="1701"/>
      </w:pPr>
      <w:r>
        <w:tab/>
      </w:r>
      <w:r>
        <w:tab/>
        <w:t xml:space="preserve">or if — </w:t>
      </w:r>
    </w:p>
    <w:p>
      <w:pPr>
        <w:pStyle w:val="yMiscellaneousBody"/>
        <w:keepNext/>
        <w:tabs>
          <w:tab w:val="left" w:pos="284"/>
          <w:tab w:val="left" w:pos="1985"/>
        </w:tabs>
        <w:ind w:left="1985" w:hanging="1985"/>
      </w:pPr>
      <w:r>
        <w:tab/>
      </w:r>
      <w:r>
        <w:tab/>
        <w:t>(</w:t>
      </w:r>
      <w:r>
        <w:rPr>
          <w:b/>
        </w:rPr>
        <w:t>Y</w:t>
      </w:r>
      <w:r>
        <w:t xml:space="preserve"> + </w:t>
      </w:r>
      <w:r>
        <w:rPr>
          <w:b/>
        </w:rPr>
        <w:t>Q</w:t>
      </w:r>
      <w:r>
        <w:t xml:space="preserve">) &gt; </w:t>
      </w:r>
      <w:r>
        <w:rPr>
          <w:b/>
        </w:rPr>
        <w:t>R</w:t>
      </w:r>
      <w:r>
        <w:t>; and</w:t>
      </w:r>
    </w:p>
    <w:p>
      <w:pPr>
        <w:pStyle w:val="yMiscellaneousBody"/>
        <w:tabs>
          <w:tab w:val="left" w:pos="284"/>
          <w:tab w:val="left" w:pos="1985"/>
        </w:tabs>
        <w:ind w:left="1985" w:hanging="1985"/>
      </w:pPr>
      <w:r>
        <w:tab/>
      </w:r>
      <w:r>
        <w:tab/>
      </w:r>
      <w:r>
        <w:rPr>
          <w:b/>
        </w:rPr>
        <w:t>N</w:t>
      </w:r>
      <w:r>
        <w:t xml:space="preserve"> &gt; </w:t>
      </w:r>
      <w:r>
        <w:rPr>
          <w:b/>
        </w:rPr>
        <w:t>W</w:t>
      </w:r>
      <w:r>
        <w:t>,</w:t>
      </w:r>
    </w:p>
    <w:p>
      <w:pPr>
        <w:pStyle w:val="yMiscellaneousBody"/>
        <w:tabs>
          <w:tab w:val="left" w:pos="284"/>
          <w:tab w:val="left" w:pos="1701"/>
        </w:tabs>
        <w:ind w:left="1701" w:hanging="1701"/>
      </w:pPr>
      <w:r>
        <w:tab/>
      </w: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284"/>
          <w:tab w:val="left" w:pos="1701"/>
        </w:tabs>
        <w:ind w:left="1701" w:hanging="1701"/>
      </w:pPr>
      <w:r>
        <w:tab/>
      </w:r>
      <w:r>
        <w:tab/>
        <w:t xml:space="preserve">where — </w:t>
      </w:r>
    </w:p>
    <w:p>
      <w:pPr>
        <w:pStyle w:val="yMiscellaneousBody"/>
        <w:tabs>
          <w:tab w:val="left" w:pos="284"/>
          <w:tab w:val="left" w:pos="1985"/>
          <w:tab w:val="left" w:pos="2552"/>
        </w:tabs>
        <w:ind w:left="2552" w:hanging="2552"/>
      </w:pPr>
      <w:r>
        <w:tab/>
      </w:r>
      <w:r>
        <w:tab/>
      </w:r>
      <w:r>
        <w:rPr>
          <w:b/>
        </w:rPr>
        <w:t>Y</w:t>
      </w:r>
      <w:r>
        <w:t xml:space="preserve"> =</w:t>
      </w:r>
      <w:r>
        <w:tab/>
        <w:t>the charge according to the number of major fixtures for the relevant part of the caravan park, that is, “</w:t>
      </w:r>
      <w:r>
        <w:rPr>
          <w:b/>
        </w:rPr>
        <w:t>C</w:t>
      </w:r>
      <w:r>
        <w:t>” in item 25;</w:t>
      </w:r>
    </w:p>
    <w:p>
      <w:pPr>
        <w:pStyle w:val="yMiscellaneousBody"/>
        <w:tabs>
          <w:tab w:val="left" w:pos="284"/>
          <w:tab w:val="left" w:pos="1985"/>
          <w:tab w:val="left" w:pos="2552"/>
        </w:tabs>
        <w:ind w:left="2552" w:hanging="2552"/>
      </w:pPr>
      <w:r>
        <w:tab/>
      </w:r>
      <w:r>
        <w:tab/>
      </w:r>
      <w:r>
        <w:rPr>
          <w:b/>
        </w:rPr>
        <w:t>Q</w:t>
      </w:r>
      <w:r>
        <w:t xml:space="preserve"> =</w:t>
      </w:r>
      <w:r>
        <w:tab/>
        <w:t>the discharge charge calculated in accordance with item 26;</w:t>
      </w:r>
    </w:p>
    <w:p>
      <w:pPr>
        <w:pStyle w:val="yMiscellaneousBody"/>
        <w:tabs>
          <w:tab w:val="left" w:pos="284"/>
          <w:tab w:val="left" w:pos="1985"/>
          <w:tab w:val="left" w:pos="2552"/>
        </w:tabs>
        <w:ind w:left="2552" w:hanging="2552"/>
      </w:pPr>
      <w:r>
        <w:tab/>
      </w:r>
      <w:r>
        <w:tab/>
      </w:r>
      <w:r>
        <w:rPr>
          <w:b/>
        </w:rPr>
        <w:t>R</w:t>
      </w:r>
      <w:r>
        <w:t xml:space="preserve"> =</w:t>
      </w:r>
      <w:r>
        <w:tab/>
        <w:t>the maximum charge calculated in accordance with item 28;</w:t>
      </w:r>
    </w:p>
    <w:p>
      <w:pPr>
        <w:pStyle w:val="yMiscellaneousBody"/>
        <w:tabs>
          <w:tab w:val="left" w:pos="284"/>
          <w:tab w:val="left" w:pos="1985"/>
          <w:tab w:val="left" w:pos="2552"/>
        </w:tabs>
        <w:ind w:left="2552" w:hanging="2552"/>
      </w:pPr>
      <w:r>
        <w:tab/>
      </w:r>
      <w:r>
        <w:tab/>
      </w:r>
      <w:r>
        <w:rPr>
          <w:b/>
        </w:rPr>
        <w:t>N</w:t>
      </w:r>
      <w:r>
        <w:t xml:space="preserve"> =</w:t>
      </w:r>
      <w:r>
        <w:tab/>
        <w:t>the discharge volume for the current discharge year;</w:t>
      </w:r>
    </w:p>
    <w:p>
      <w:pPr>
        <w:pStyle w:val="yMiscellaneousBody"/>
        <w:tabs>
          <w:tab w:val="left" w:pos="284"/>
          <w:tab w:val="left" w:pos="1985"/>
          <w:tab w:val="left" w:pos="2552"/>
        </w:tabs>
        <w:ind w:left="2552" w:hanging="2552"/>
      </w:pPr>
      <w:r>
        <w:tab/>
      </w:r>
      <w:r>
        <w:tab/>
      </w:r>
      <w:r>
        <w:rPr>
          <w:b/>
        </w:rPr>
        <w:t>W</w:t>
      </w:r>
      <w:r>
        <w:t xml:space="preserve"> =</w:t>
      </w:r>
      <w:r>
        <w:tab/>
        <w:t>the discharge volume for the most recently completed discharge year;</w:t>
      </w:r>
    </w:p>
    <w:p>
      <w:pPr>
        <w:pStyle w:val="yMiscellaneousBody"/>
        <w:tabs>
          <w:tab w:val="left" w:pos="284"/>
          <w:tab w:val="left" w:pos="1985"/>
          <w:tab w:val="left" w:pos="2552"/>
        </w:tabs>
        <w:ind w:left="2552" w:hanging="2552"/>
      </w:pPr>
      <w:r>
        <w:tab/>
      </w:r>
      <w:r>
        <w:tab/>
      </w:r>
      <w:r>
        <w:rPr>
          <w:b/>
        </w:rPr>
        <w:t>I</w:t>
      </w:r>
      <w:r>
        <w:t xml:space="preserve"> =</w:t>
      </w:r>
      <w:r>
        <w:tab/>
      </w:r>
      <w:r>
        <w:rPr>
          <w:szCs w:val="22"/>
        </w:rPr>
        <w:t>$3.752</w:t>
      </w:r>
      <w:r>
        <w:t>.</w:t>
      </w:r>
    </w:p>
    <w:p>
      <w:pPr>
        <w:pStyle w:val="yHeading5"/>
      </w:pPr>
      <w:bookmarkStart w:id="703" w:name="_Toc10193901"/>
      <w:bookmarkStart w:id="704" w:name="_Toc10642282"/>
      <w:bookmarkStart w:id="705" w:name="_Toc12277674"/>
      <w:r>
        <w:rPr>
          <w:rStyle w:val="CharSClsNo"/>
        </w:rPr>
        <w:t>23</w:t>
      </w:r>
      <w:r>
        <w:t>.</w:t>
      </w:r>
      <w:r>
        <w:tab/>
        <w:t>Non</w:t>
      </w:r>
      <w:r>
        <w:noBreakHyphen/>
        <w:t>metropolitan nursing home</w:t>
      </w:r>
      <w:bookmarkEnd w:id="703"/>
      <w:bookmarkEnd w:id="704"/>
      <w:bookmarkEnd w:id="705"/>
    </w:p>
    <w:p>
      <w:pPr>
        <w:pStyle w:val="yMiscellaneousBody"/>
        <w:tabs>
          <w:tab w:val="left" w:pos="284"/>
          <w:tab w:val="right" w:leader="dot" w:pos="6804"/>
        </w:tabs>
        <w:ind w:left="851" w:hanging="851"/>
      </w:pPr>
      <w:r>
        <w:tab/>
      </w:r>
      <w:r>
        <w:tab/>
        <w:t>For a nursing home in the non</w:t>
      </w:r>
      <w:r>
        <w:noBreakHyphen/>
        <w:t>metropolitan area, other than a nursing home that is, or is part of, an aged home, 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26;</w:t>
      </w:r>
    </w:p>
    <w:p>
      <w:pPr>
        <w:pStyle w:val="yMiscellaneousBody"/>
        <w:tabs>
          <w:tab w:val="left" w:pos="284"/>
          <w:tab w:val="left" w:pos="1134"/>
          <w:tab w:val="left" w:pos="1701"/>
        </w:tabs>
        <w:ind w:left="1701" w:hanging="1701"/>
      </w:pPr>
      <w:r>
        <w:tab/>
      </w: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284"/>
          <w:tab w:val="left" w:pos="1134"/>
          <w:tab w:val="left" w:pos="1701"/>
        </w:tabs>
        <w:ind w:left="1701" w:hanging="1701"/>
      </w:pPr>
      <w:r>
        <w:tab/>
      </w:r>
      <w:r>
        <w:tab/>
      </w:r>
      <w:r>
        <w:rPr>
          <w:b/>
        </w:rPr>
        <w:t>U</w:t>
      </w:r>
      <w:r>
        <w:t xml:space="preserve"> =</w:t>
      </w:r>
      <w:r>
        <w:tab/>
        <w:t>the number of beds in the nursing home;</w:t>
      </w:r>
    </w:p>
    <w:p>
      <w:pPr>
        <w:pStyle w:val="yMiscellaneousBody"/>
        <w:tabs>
          <w:tab w:val="left" w:pos="284"/>
          <w:tab w:val="left" w:pos="1134"/>
          <w:tab w:val="left" w:pos="1701"/>
        </w:tabs>
        <w:ind w:left="1701" w:hanging="1701"/>
      </w:pPr>
      <w:r>
        <w:tab/>
      </w:r>
      <w:r>
        <w:tab/>
      </w:r>
      <w:r>
        <w:rPr>
          <w:b/>
        </w:rPr>
        <w:t>V</w:t>
      </w:r>
      <w:r>
        <w:t xml:space="preserve"> =</w:t>
      </w:r>
      <w:r>
        <w:tab/>
      </w:r>
      <w:r>
        <w:rPr>
          <w:szCs w:val="22"/>
        </w:rPr>
        <w:t>$184.78</w:t>
      </w:r>
      <w:r>
        <w:t>.</w:t>
      </w:r>
    </w:p>
    <w:p>
      <w:pPr>
        <w:pStyle w:val="yHeading5"/>
      </w:pPr>
      <w:bookmarkStart w:id="706" w:name="_Toc10193902"/>
      <w:bookmarkStart w:id="707" w:name="_Toc10642283"/>
      <w:bookmarkStart w:id="708" w:name="_Toc12277675"/>
      <w:r>
        <w:rPr>
          <w:rStyle w:val="CharSClsNo"/>
        </w:rPr>
        <w:t>24</w:t>
      </w:r>
      <w:r>
        <w:t>.</w:t>
      </w:r>
      <w:r>
        <w:tab/>
        <w:t>Certain non</w:t>
      </w:r>
      <w:r>
        <w:noBreakHyphen/>
        <w:t>metropolitan strata</w:t>
      </w:r>
      <w:r>
        <w:noBreakHyphen/>
        <w:t>titled units</w:t>
      </w:r>
      <w:bookmarkEnd w:id="706"/>
      <w:bookmarkEnd w:id="707"/>
      <w:bookmarkEnd w:id="708"/>
    </w:p>
    <w:p>
      <w:pPr>
        <w:pStyle w:val="yMiscellaneousBody"/>
        <w:tabs>
          <w:tab w:val="left" w:pos="284"/>
          <w:tab w:val="right" w:leader="dot" w:pos="6804"/>
        </w:tabs>
        <w:ind w:left="851" w:hanging="851"/>
      </w:pPr>
      <w:r>
        <w:tab/>
      </w:r>
      <w:r>
        <w:tab/>
        <w:t>For land in the non</w:t>
      </w:r>
      <w:r>
        <w:noBreakHyphen/>
        <w:t xml:space="preserve">metropolitan area that — </w:t>
      </w:r>
    </w:p>
    <w:p>
      <w:pPr>
        <w:pStyle w:val="yMiscellaneousBody"/>
        <w:tabs>
          <w:tab w:val="left" w:pos="992"/>
          <w:tab w:val="right" w:leader="dot" w:pos="6804"/>
        </w:tabs>
        <w:ind w:left="1559" w:hanging="1559"/>
      </w:pPr>
      <w:r>
        <w:tab/>
        <w:t>(a)</w:t>
      </w:r>
      <w:r>
        <w:tab/>
        <w:t>is contained in a lot; and</w:t>
      </w:r>
    </w:p>
    <w:p>
      <w:pPr>
        <w:pStyle w:val="yMiscellaneousBody"/>
        <w:tabs>
          <w:tab w:val="left" w:pos="992"/>
          <w:tab w:val="right" w:leader="dot" w:pos="6804"/>
        </w:tabs>
        <w:ind w:left="1559" w:hanging="1559"/>
      </w:pPr>
      <w:r>
        <w:tab/>
        <w:t>(b)</w:t>
      </w:r>
      <w:r>
        <w:tab/>
        <w:t>is classified as non</w:t>
      </w:r>
      <w:r>
        <w:noBreakHyphen/>
        <w:t>residential; and</w:t>
      </w:r>
    </w:p>
    <w:p>
      <w:pPr>
        <w:pStyle w:val="yMiscellaneousBody"/>
        <w:tabs>
          <w:tab w:val="left" w:pos="992"/>
          <w:tab w:val="right" w:leader="dot" w:pos="6804"/>
        </w:tabs>
        <w:ind w:left="1559" w:hanging="1559"/>
      </w:pPr>
      <w:r>
        <w:tab/>
        <w:t>(c)</w:t>
      </w:r>
      <w:r>
        <w:tab/>
        <w:t>is not covered by item 5 or 6; and</w:t>
      </w:r>
    </w:p>
    <w:p>
      <w:pPr>
        <w:pStyle w:val="yMiscellaneousBody"/>
        <w:tabs>
          <w:tab w:val="left" w:pos="992"/>
          <w:tab w:val="right" w:leader="dot" w:pos="6804"/>
        </w:tabs>
        <w:ind w:left="1559" w:hanging="1559"/>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992"/>
          <w:tab w:val="right" w:leader="dot" w:pos="6804"/>
        </w:tabs>
        <w:ind w:left="1559" w:hanging="1559"/>
      </w:pPr>
      <w:r>
        <w:tab/>
        <w:t>(e)</w:t>
      </w:r>
      <w:r>
        <w:tab/>
        <w:t>the number of major fixtures shared by all units on the relevant strata plan is less than the number of those units,</w:t>
      </w:r>
    </w:p>
    <w:p>
      <w:pPr>
        <w:pStyle w:val="yMiscellaneousBody"/>
        <w:keepNext/>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T</w:t>
      </w:r>
      <w:r>
        <w:t xml:space="preserve"> =</w:t>
      </w:r>
      <w:r>
        <w:tab/>
      </w:r>
      <w:r>
        <w:rPr>
          <w:szCs w:val="22"/>
        </w:rPr>
        <w:t>$634.81</w:t>
      </w:r>
      <w:r>
        <w:t>;</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26.</w:t>
      </w:r>
    </w:p>
    <w:p>
      <w:pPr>
        <w:pStyle w:val="yHeading5"/>
      </w:pPr>
      <w:bookmarkStart w:id="709" w:name="_Toc10193903"/>
      <w:bookmarkStart w:id="710" w:name="_Toc10642284"/>
      <w:bookmarkStart w:id="711" w:name="_Toc12277676"/>
      <w:r>
        <w:rPr>
          <w:rStyle w:val="CharSClsNo"/>
        </w:rPr>
        <w:t>24A</w:t>
      </w:r>
      <w:r>
        <w:t>.</w:t>
      </w:r>
      <w:r>
        <w:tab/>
        <w:t>Non</w:t>
      </w:r>
      <w:r>
        <w:noBreakHyphen/>
        <w:t>metropolitan government trading organisation and non</w:t>
      </w:r>
      <w:r>
        <w:noBreakHyphen/>
        <w:t>commercial government property</w:t>
      </w:r>
      <w:bookmarkEnd w:id="709"/>
      <w:bookmarkEnd w:id="710"/>
      <w:bookmarkEnd w:id="711"/>
    </w:p>
    <w:p>
      <w:pPr>
        <w:pStyle w:val="yMiscellaneousBody"/>
        <w:tabs>
          <w:tab w:val="left" w:pos="284"/>
          <w:tab w:val="right" w:leader="dot" w:pos="6804"/>
        </w:tabs>
        <w:ind w:left="851" w:hanging="851"/>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yMiscellaneousBody"/>
        <w:tabs>
          <w:tab w:val="left" w:pos="284"/>
          <w:tab w:val="right" w:leader="dot" w:pos="6804"/>
        </w:tabs>
        <w:ind w:left="851" w:hanging="851"/>
      </w:pPr>
      <w:r>
        <w:t> </w:t>
      </w:r>
      <w:r>
        <w:tab/>
      </w:r>
      <w:r>
        <w:tab/>
      </w:r>
      <w:r>
        <w:rPr>
          <w:b/>
        </w:rPr>
        <w:t>Y</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Y</w:t>
      </w:r>
      <w:r>
        <w:t xml:space="preserve"> =</w:t>
      </w:r>
      <w:r>
        <w:tab/>
      </w:r>
      <w:r>
        <w:rPr>
          <w:szCs w:val="22"/>
        </w:rPr>
        <w:t>the charge according to the number of connected major fixtures for the land, that is, “</w:t>
      </w:r>
      <w:r>
        <w:rPr>
          <w:b/>
          <w:szCs w:val="22"/>
        </w:rPr>
        <w:t>C</w:t>
      </w:r>
      <w:r>
        <w:rPr>
          <w:szCs w:val="22"/>
        </w:rPr>
        <w:t>” in item 25</w:t>
      </w:r>
      <w:r>
        <w:t>;</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26.</w:t>
      </w:r>
    </w:p>
    <w:p>
      <w:pPr>
        <w:pStyle w:val="yMiscellaneousBody"/>
        <w:tabs>
          <w:tab w:val="left" w:pos="284"/>
          <w:tab w:val="right" w:leader="dot" w:pos="6804"/>
        </w:tabs>
        <w:ind w:left="851" w:hanging="851"/>
      </w:pPr>
      <w:r>
        <w:tab/>
        <w:t>(2)</w:t>
      </w:r>
      <w:r>
        <w:tab/>
        <w:t>Sub</w:t>
      </w:r>
      <w:r>
        <w:noBreakHyphen/>
        <w:t>item (1) does not apply to public land.</w:t>
      </w:r>
    </w:p>
    <w:p>
      <w:pPr>
        <w:pStyle w:val="yHeading4"/>
      </w:pPr>
      <w:bookmarkStart w:id="712" w:name="_Toc10034287"/>
      <w:bookmarkStart w:id="713" w:name="_Toc10034447"/>
      <w:bookmarkStart w:id="714" w:name="_Toc10107767"/>
      <w:bookmarkStart w:id="715" w:name="_Toc10107927"/>
      <w:bookmarkStart w:id="716" w:name="_Toc10121234"/>
      <w:bookmarkStart w:id="717" w:name="_Toc10124619"/>
      <w:bookmarkStart w:id="718" w:name="_Toc10193904"/>
      <w:bookmarkStart w:id="719" w:name="_Toc10203691"/>
      <w:bookmarkStart w:id="720" w:name="_Toc10203847"/>
      <w:bookmarkStart w:id="721" w:name="_Toc10535001"/>
      <w:bookmarkStart w:id="722" w:name="_Toc10535874"/>
      <w:bookmarkStart w:id="723" w:name="_Toc10642285"/>
      <w:bookmarkStart w:id="724" w:name="_Toc11835772"/>
      <w:bookmarkStart w:id="725" w:name="_Toc12273849"/>
      <w:bookmarkStart w:id="726" w:name="_Toc12277677"/>
      <w:r>
        <w:t>Subdivision 5 — Calculation of certain factors for the purposes of Subdivision 4</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yFootnoteheading"/>
        <w:spacing w:after="120"/>
      </w:pPr>
      <w:bookmarkStart w:id="727" w:name="_Toc10193905"/>
      <w:bookmarkStart w:id="728" w:name="_Toc10642286"/>
      <w:r>
        <w:tab/>
        <w:t>[Heading inserted: Gazette 14 Jun 2019 p. 1970.]</w:t>
      </w:r>
    </w:p>
    <w:p>
      <w:pPr>
        <w:pStyle w:val="yHeading5"/>
      </w:pPr>
      <w:bookmarkStart w:id="729" w:name="_Toc12277678"/>
      <w:r>
        <w:rPr>
          <w:rStyle w:val="CharSClsNo"/>
        </w:rPr>
        <w:t>25</w:t>
      </w:r>
      <w:r>
        <w:t>.</w:t>
      </w:r>
      <w:r>
        <w:tab/>
        <w:t>Service charge</w:t>
      </w:r>
      <w:bookmarkEnd w:id="727"/>
      <w:bookmarkEnd w:id="728"/>
      <w:bookmarkEnd w:id="729"/>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w:t>
      </w:r>
      <w:r>
        <w:rPr>
          <w:b/>
        </w:rPr>
        <w:t>R</w:t>
      </w:r>
      <w:r>
        <w:t xml:space="preserve">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R</w:t>
      </w:r>
      <w:r>
        <w:t xml:space="preserve"> =</w:t>
      </w:r>
      <w:r>
        <w:tab/>
        <w:t>the maximum charge calculated in accordance with item 28;</w:t>
      </w:r>
    </w:p>
    <w:p>
      <w:pPr>
        <w:pStyle w:val="yMiscellaneousBody"/>
        <w:tabs>
          <w:tab w:val="left" w:pos="284"/>
          <w:tab w:val="left" w:pos="1134"/>
          <w:tab w:val="left" w:pos="1701"/>
        </w:tabs>
        <w:ind w:left="1701" w:hanging="1701"/>
      </w:pPr>
      <w:r>
        <w:tab/>
      </w: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284"/>
          <w:tab w:val="left" w:pos="1134"/>
          <w:tab w:val="left" w:pos="1701"/>
        </w:tabs>
        <w:ind w:left="1701" w:hanging="1701"/>
      </w:pPr>
      <w:r>
        <w:tab/>
      </w: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rPr>
                <w:b/>
              </w:rPr>
            </w:pPr>
            <w:r>
              <w:rPr>
                <w:b/>
              </w:rPr>
              <w:t>Charge</w:t>
            </w:r>
          </w:p>
        </w:tc>
      </w:tr>
      <w:tr>
        <w:tc>
          <w:tcPr>
            <w:tcW w:w="2268" w:type="dxa"/>
            <w:tcMar>
              <w:left w:w="284"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tcPr>
          <w:p>
            <w:pPr>
              <w:pStyle w:val="yTableNAm"/>
              <w:keepNext/>
              <w:jc w:val="center"/>
            </w:pPr>
            <w:r>
              <w:t>$1 021.18</w:t>
            </w:r>
          </w:p>
        </w:tc>
      </w:tr>
      <w:tr>
        <w:tc>
          <w:tcPr>
            <w:tcW w:w="2268" w:type="dxa"/>
            <w:tcMar>
              <w:left w:w="284" w:type="dxa"/>
            </w:tcMar>
          </w:tcPr>
          <w:p>
            <w:pPr>
              <w:pStyle w:val="yTableNAm"/>
              <w:tabs>
                <w:tab w:val="clear" w:pos="567"/>
                <w:tab w:val="left" w:pos="384"/>
              </w:tabs>
              <w:ind w:left="370" w:hanging="370"/>
            </w:pPr>
            <w:r>
              <w:t>2</w:t>
            </w:r>
            <w:r>
              <w:rPr>
                <w:vertAlign w:val="superscript"/>
              </w:rPr>
              <w:t>nd</w:t>
            </w:r>
            <w:r>
              <w:tab/>
              <w:t>fixture</w:t>
            </w:r>
          </w:p>
        </w:tc>
        <w:tc>
          <w:tcPr>
            <w:tcW w:w="2268" w:type="dxa"/>
          </w:tcPr>
          <w:p>
            <w:pPr>
              <w:pStyle w:val="yTableNAm"/>
              <w:keepNext/>
              <w:jc w:val="center"/>
            </w:pPr>
            <w:r>
              <w:t>$437.12</w:t>
            </w:r>
          </w:p>
        </w:tc>
      </w:tr>
      <w:tr>
        <w:tc>
          <w:tcPr>
            <w:tcW w:w="2268" w:type="dxa"/>
            <w:tcMar>
              <w:left w:w="284"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2268" w:type="dxa"/>
          </w:tcPr>
          <w:p>
            <w:pPr>
              <w:pStyle w:val="yTableNAm"/>
              <w:keepNext/>
              <w:jc w:val="center"/>
            </w:pPr>
            <w:r>
              <w:t>$583.77</w:t>
            </w:r>
          </w:p>
        </w:tc>
      </w:tr>
      <w:tr>
        <w:tc>
          <w:tcPr>
            <w:tcW w:w="2268" w:type="dxa"/>
            <w:tcBorders>
              <w:bottom w:val="single" w:sz="4" w:space="0" w:color="auto"/>
            </w:tcBorders>
            <w:tcMar>
              <w:left w:w="284" w:type="dxa"/>
            </w:tcMar>
          </w:tcPr>
          <w:p>
            <w:pPr>
              <w:pStyle w:val="yTableNAm"/>
              <w:tabs>
                <w:tab w:val="clear" w:pos="567"/>
                <w:tab w:val="left" w:pos="384"/>
              </w:tabs>
              <w:ind w:left="370" w:hanging="370"/>
            </w:pPr>
            <w:r>
              <w:t>4</w:t>
            </w:r>
            <w:r>
              <w:rPr>
                <w:vertAlign w:val="superscript"/>
              </w:rPr>
              <w:t>th</w:t>
            </w:r>
            <w:r>
              <w:rPr>
                <w:vertAlign w:val="superscript"/>
              </w:rPr>
              <w:tab/>
            </w:r>
            <w:r>
              <w:t>and</w:t>
            </w:r>
            <w:r>
              <w:br/>
              <w:t>subsequent</w:t>
            </w:r>
            <w:r>
              <w:br/>
              <w:t>fixtures</w:t>
            </w:r>
          </w:p>
        </w:tc>
        <w:tc>
          <w:tcPr>
            <w:tcW w:w="2268" w:type="dxa"/>
            <w:tcBorders>
              <w:bottom w:val="single" w:sz="4" w:space="0" w:color="auto"/>
            </w:tcBorders>
          </w:tcPr>
          <w:p>
            <w:pPr>
              <w:pStyle w:val="yTableNAm"/>
              <w:keepNext/>
              <w:jc w:val="center"/>
            </w:pPr>
            <w:r>
              <w:t>$634.81</w:t>
            </w:r>
          </w:p>
        </w:tc>
      </w:tr>
    </w:tbl>
    <w:p>
      <w:pPr>
        <w:pStyle w:val="yHeading5"/>
      </w:pPr>
      <w:bookmarkStart w:id="730" w:name="_Toc10193906"/>
      <w:bookmarkStart w:id="731" w:name="_Toc10642287"/>
      <w:bookmarkStart w:id="732" w:name="_Toc12277679"/>
      <w:r>
        <w:rPr>
          <w:rStyle w:val="CharSClsNo"/>
        </w:rPr>
        <w:t>26</w:t>
      </w:r>
      <w:r>
        <w:t>.</w:t>
      </w:r>
      <w:r>
        <w:tab/>
        <w:t>Discharge charge</w:t>
      </w:r>
      <w:bookmarkEnd w:id="730"/>
      <w:bookmarkEnd w:id="731"/>
      <w:bookmarkEnd w:id="732"/>
    </w:p>
    <w:p>
      <w:pPr>
        <w:pStyle w:val="yMiscellaneousBody"/>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 xml:space="preserve">F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rPr>
          <w:b/>
        </w:rPr>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F</w:t>
      </w:r>
      <w:r>
        <w:t xml:space="preserve"> =</w:t>
      </w:r>
      <w:r>
        <w:tab/>
        <w:t>the volume of water supplied to the land in the current consumption year;</w:t>
      </w:r>
    </w:p>
    <w:p>
      <w:pPr>
        <w:pStyle w:val="yMiscellaneousBody"/>
        <w:tabs>
          <w:tab w:val="left" w:pos="284"/>
          <w:tab w:val="left" w:pos="1134"/>
          <w:tab w:val="left" w:pos="1701"/>
        </w:tabs>
        <w:ind w:left="1701" w:hanging="1701"/>
      </w:pPr>
      <w:r>
        <w:tab/>
      </w:r>
      <w:r>
        <w:tab/>
      </w:r>
      <w:r>
        <w:rPr>
          <w:b/>
        </w:rPr>
        <w:t>G</w:t>
      </w:r>
      <w:r>
        <w:t xml:space="preserve"> =</w:t>
      </w:r>
      <w:r>
        <w:tab/>
        <w:t>the discharge factor applicable for the land for the current discharge year;</w:t>
      </w:r>
    </w:p>
    <w:p>
      <w:pPr>
        <w:pStyle w:val="yMiscellaneousBody"/>
        <w:tabs>
          <w:tab w:val="left" w:pos="284"/>
          <w:tab w:val="left" w:pos="1134"/>
          <w:tab w:val="left" w:pos="1701"/>
        </w:tabs>
        <w:ind w:left="1701" w:hanging="1701"/>
      </w:pPr>
      <w:r>
        <w:tab/>
      </w:r>
      <w:r>
        <w:tab/>
      </w:r>
      <w:r>
        <w:rPr>
          <w:b/>
        </w:rPr>
        <w:t>H</w:t>
      </w:r>
      <w:r>
        <w:t xml:space="preserve"> =</w:t>
      </w:r>
      <w:r>
        <w:tab/>
        <w:t>the discharge allowance for the current discharge year worked out in accordance with item 27;</w:t>
      </w:r>
    </w:p>
    <w:p>
      <w:pPr>
        <w:pStyle w:val="yMiscellaneousBody"/>
        <w:tabs>
          <w:tab w:val="left" w:pos="284"/>
          <w:tab w:val="left" w:pos="1134"/>
          <w:tab w:val="left" w:pos="1701"/>
        </w:tabs>
        <w:ind w:left="1701" w:hanging="1701"/>
      </w:pPr>
      <w:r>
        <w:tab/>
      </w:r>
      <w:r>
        <w:tab/>
      </w:r>
      <w:r>
        <w:rPr>
          <w:b/>
        </w:rPr>
        <w:t>I</w:t>
      </w:r>
      <w:r>
        <w:t xml:space="preserve"> =</w:t>
      </w:r>
      <w:r>
        <w:tab/>
      </w:r>
      <w:r>
        <w:rPr>
          <w:szCs w:val="22"/>
        </w:rPr>
        <w:t>$3.752</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733" w:name="_Toc10193907"/>
      <w:bookmarkStart w:id="734" w:name="_Toc10642288"/>
      <w:bookmarkStart w:id="735" w:name="_Toc12277680"/>
      <w:r>
        <w:rPr>
          <w:rStyle w:val="CharSClsNo"/>
        </w:rPr>
        <w:t>27</w:t>
      </w:r>
      <w:r>
        <w:t>.</w:t>
      </w:r>
      <w:r>
        <w:tab/>
        <w:t>Discharge allowance</w:t>
      </w:r>
      <w:bookmarkEnd w:id="733"/>
      <w:bookmarkEnd w:id="734"/>
      <w:bookmarkEnd w:id="735"/>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992"/>
          <w:tab w:val="right" w:leader="dot" w:pos="6804"/>
        </w:tabs>
        <w:ind w:left="1559" w:hanging="1559"/>
      </w:pPr>
      <w:r>
        <w:tab/>
        <w:t>(a)</w:t>
      </w:r>
      <w:r>
        <w:tab/>
        <w:t>for land to which item 21 applies that is not covered by paragraph (e) — 200 kL;</w:t>
      </w:r>
    </w:p>
    <w:p>
      <w:pPr>
        <w:pStyle w:val="yMiscellaneousBody"/>
        <w:tabs>
          <w:tab w:val="left" w:pos="992"/>
          <w:tab w:val="right" w:leader="dot" w:pos="6804"/>
        </w:tabs>
        <w:ind w:left="1559" w:hanging="1559"/>
      </w:pPr>
      <w:r>
        <w:tab/>
        <w:t>(b)</w:t>
      </w:r>
      <w:r>
        <w:tab/>
        <w:t>for land held by a government trading organisation or by a public authority that holds non</w:t>
      </w:r>
      <w:r>
        <w:noBreakHyphen/>
        <w:t>commercial government property — 200 kL;</w:t>
      </w:r>
    </w:p>
    <w:p>
      <w:pPr>
        <w:pStyle w:val="yMiscellaneousBody"/>
        <w:tabs>
          <w:tab w:val="left" w:pos="992"/>
          <w:tab w:val="right" w:leader="dot" w:pos="6804"/>
        </w:tabs>
        <w:ind w:left="1559" w:hanging="1559"/>
      </w:pPr>
      <w:r>
        <w:tab/>
        <w:t>(c)</w:t>
      </w:r>
      <w:r>
        <w:tab/>
        <w:t>for a caravan park referred to in item 22 — the amount (in kL) calculated in accordance with the formula in sub</w:t>
      </w:r>
      <w:r>
        <w:noBreakHyphen/>
        <w:t>item (2);</w:t>
      </w:r>
    </w:p>
    <w:p>
      <w:pPr>
        <w:pStyle w:val="yMiscellaneousBody"/>
        <w:tabs>
          <w:tab w:val="left" w:pos="992"/>
          <w:tab w:val="right" w:leader="dot" w:pos="6804"/>
        </w:tabs>
        <w:ind w:left="1559" w:hanging="1559"/>
      </w:pPr>
      <w:r>
        <w:tab/>
        <w:t>(d)</w:t>
      </w:r>
      <w:r>
        <w:tab/>
        <w:t>for a nursing home referred to in item 23 — 75 kL per bed;</w:t>
      </w:r>
    </w:p>
    <w:p>
      <w:pPr>
        <w:pStyle w:val="yMiscellaneousBody"/>
        <w:tabs>
          <w:tab w:val="left" w:pos="992"/>
          <w:tab w:val="right" w:leader="dot" w:pos="6804"/>
        </w:tabs>
        <w:ind w:left="1559" w:hanging="1559"/>
      </w:pPr>
      <w:r>
        <w:tab/>
        <w:t>(e)</w:t>
      </w:r>
      <w:r>
        <w:tab/>
        <w:t>for properties that share a metered property water supply connection — 200 kL for each property.</w:t>
      </w:r>
    </w:p>
    <w:p>
      <w:pPr>
        <w:pStyle w:val="yMiscellaneousBody"/>
        <w:tabs>
          <w:tab w:val="left" w:pos="284"/>
          <w:tab w:val="right" w:leader="dot" w:pos="6804"/>
        </w:tabs>
        <w:ind w:left="851" w:hanging="851"/>
      </w:pPr>
      <w:r>
        <w:tab/>
        <w:t>(2)</w:t>
      </w:r>
      <w:r>
        <w:tab/>
        <w:t>The formula for the purposes of sub</w:t>
      </w:r>
      <w:r>
        <w:noBreakHyphen/>
        <w:t>item (1)(c) is —</w:t>
      </w:r>
    </w:p>
    <w:p>
      <w:pPr>
        <w:pStyle w:val="yMiscellaneousBody"/>
        <w:tabs>
          <w:tab w:val="left" w:pos="284"/>
          <w:tab w:val="left" w:pos="993"/>
        </w:tabs>
        <w:ind w:left="993" w:hanging="993"/>
      </w:pPr>
      <w:r>
        <w:rPr>
          <w:b/>
        </w:rPr>
        <w:tab/>
      </w:r>
      <w:r>
        <w:rPr>
          <w:b/>
        </w:rPr>
        <w:tab/>
        <w:t>200 kL</w:t>
      </w:r>
      <w:r>
        <w:t xml:space="preserve"> + </w:t>
      </w:r>
      <w:r>
        <w:rPr>
          <w:b/>
        </w:rPr>
        <w:t>M</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M</w:t>
      </w:r>
      <w:r>
        <w:t xml:space="preserve"> =</w:t>
      </w:r>
      <w:r>
        <w:tab/>
        <w:t>75 kL of water for each long</w:t>
      </w:r>
      <w:r>
        <w:noBreakHyphen/>
        <w:t>term residential caravan bay.</w:t>
      </w:r>
    </w:p>
    <w:p>
      <w:pPr>
        <w:pStyle w:val="yHeading5"/>
      </w:pPr>
      <w:bookmarkStart w:id="736" w:name="_Toc10193908"/>
      <w:bookmarkStart w:id="737" w:name="_Toc10642289"/>
      <w:bookmarkStart w:id="738" w:name="_Toc12277681"/>
      <w:r>
        <w:rPr>
          <w:rStyle w:val="CharSClsNo"/>
        </w:rPr>
        <w:t>28</w:t>
      </w:r>
      <w:r>
        <w:t>.</w:t>
      </w:r>
      <w:r>
        <w:tab/>
        <w:t>Maximum charge</w:t>
      </w:r>
      <w:bookmarkEnd w:id="736"/>
      <w:bookmarkEnd w:id="737"/>
      <w:bookmarkEnd w:id="738"/>
    </w:p>
    <w:p>
      <w:pPr>
        <w:pStyle w:val="yMiscellaneousBody"/>
        <w:tabs>
          <w:tab w:val="left" w:pos="284"/>
          <w:tab w:val="right" w:leader="dot" w:pos="6804"/>
        </w:tabs>
        <w:ind w:left="851" w:hanging="851"/>
      </w:pPr>
      <w:r>
        <w:tab/>
      </w:r>
      <w:r>
        <w:tab/>
        <w:t>The maximum charge (</w:t>
      </w:r>
      <w:r>
        <w:rPr>
          <w:b/>
          <w:i/>
        </w:rPr>
        <w:t>R</w:t>
      </w:r>
      <w:r>
        <w:t>)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284"/>
          <w:tab w:val="right" w:leader="dot" w:pos="6804"/>
        </w:tabs>
        <w:ind w:left="851" w:hanging="851"/>
      </w:pPr>
      <w:r>
        <w:tab/>
      </w:r>
      <w:r>
        <w:tab/>
        <w:t xml:space="preserve">then — </w:t>
      </w:r>
    </w:p>
    <w:p>
      <w:pPr>
        <w:pStyle w:val="yMiscellaneousBody"/>
        <w:tabs>
          <w:tab w:val="left" w:pos="1134"/>
        </w:tabs>
        <w:ind w:left="1134" w:hanging="567"/>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tabs>
          <w:tab w:val="left" w:pos="1134"/>
        </w:tabs>
        <w:ind w:left="1134" w:hanging="567"/>
      </w:pPr>
      <w:r>
        <w:tab/>
        <w:t>then (</w:t>
      </w:r>
      <w:r>
        <w:rPr>
          <w:b/>
        </w:rPr>
        <w:t>A</w:t>
      </w:r>
      <w:r>
        <w:t xml:space="preserve"> </w:t>
      </w:r>
      <w:r>
        <w:sym w:font="Symbol" w:char="F0B4"/>
      </w:r>
      <w:r>
        <w:t xml:space="preserve"> </w:t>
      </w:r>
      <w:r>
        <w:rPr>
          <w:b/>
        </w:rPr>
        <w:t>S</w:t>
      </w:r>
      <w:r>
        <w:t>)</w:t>
      </w:r>
    </w:p>
    <w:p>
      <w:pPr>
        <w:pStyle w:val="yMiscellaneousBody"/>
        <w:tabs>
          <w:tab w:val="left" w:pos="1134"/>
        </w:tabs>
        <w:ind w:left="1134" w:hanging="567"/>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tabs>
          <w:tab w:val="left" w:pos="1134"/>
        </w:tabs>
        <w:ind w:left="1134" w:hanging="567"/>
      </w:pPr>
      <w:r>
        <w:tab/>
        <w:t>then (</w:t>
      </w:r>
      <w:r>
        <w:rPr>
          <w:b/>
        </w:rPr>
        <w:t>A</w:t>
      </w:r>
      <w:r>
        <w:t xml:space="preserve"> + </w:t>
      </w:r>
      <w:r>
        <w:rPr>
          <w:b/>
        </w:rPr>
        <w:t>B</w:t>
      </w:r>
      <w:r>
        <w:t>)</w:t>
      </w:r>
    </w:p>
    <w:p>
      <w:pPr>
        <w:pStyle w:val="yMiscellaneousBody"/>
        <w:tabs>
          <w:tab w:val="left" w:pos="284"/>
          <w:tab w:val="right" w:leader="dot" w:pos="6804"/>
        </w:tabs>
        <w:ind w:left="851" w:hanging="851"/>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keepNext/>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4 for which this item is being applied;</w:t>
      </w:r>
    </w:p>
    <w:p>
      <w:pPr>
        <w:pStyle w:val="yMiscellaneousBody"/>
        <w:tabs>
          <w:tab w:val="left" w:pos="1134"/>
          <w:tab w:val="left" w:pos="1701"/>
        </w:tabs>
        <w:ind w:left="1701" w:hanging="1701"/>
      </w:pPr>
      <w:r>
        <w:tab/>
      </w:r>
      <w:r>
        <w:rPr>
          <w:b/>
        </w:rPr>
        <w:t>S</w:t>
      </w:r>
      <w:r>
        <w:t xml:space="preserve"> =</w:t>
      </w:r>
      <w:r>
        <w:tab/>
      </w:r>
      <w:r>
        <w:rPr>
          <w:szCs w:val="22"/>
        </w:rPr>
        <w:t>1.12</w:t>
      </w:r>
      <w:r>
        <w:t>;</w:t>
      </w:r>
    </w:p>
    <w:p>
      <w:pPr>
        <w:pStyle w:val="yMiscellaneousBody"/>
        <w:tabs>
          <w:tab w:val="left" w:pos="1134"/>
          <w:tab w:val="left" w:pos="1701"/>
        </w:tabs>
        <w:ind w:left="1701" w:hanging="1701"/>
      </w:pPr>
      <w:r>
        <w:tab/>
      </w:r>
      <w:r>
        <w:rPr>
          <w:b/>
        </w:rPr>
        <w:t>B</w:t>
      </w:r>
      <w:r>
        <w:t xml:space="preserve"> =</w:t>
      </w:r>
      <w:r>
        <w:tab/>
        <w:t>$166.67.</w:t>
      </w:r>
    </w:p>
    <w:p>
      <w:pPr>
        <w:pStyle w:val="yFootnotesection"/>
      </w:pPr>
      <w:bookmarkStart w:id="739" w:name="_Toc10034292"/>
      <w:bookmarkStart w:id="740" w:name="_Toc10034452"/>
      <w:bookmarkStart w:id="741" w:name="_Toc10107772"/>
      <w:bookmarkStart w:id="742" w:name="_Toc10107932"/>
      <w:bookmarkStart w:id="743" w:name="_Toc10121239"/>
      <w:bookmarkStart w:id="744" w:name="_Toc10124624"/>
      <w:bookmarkStart w:id="745" w:name="_Toc10193909"/>
      <w:bookmarkStart w:id="746" w:name="_Toc10203696"/>
      <w:bookmarkStart w:id="747" w:name="_Toc10203852"/>
      <w:bookmarkStart w:id="748" w:name="_Toc10535006"/>
      <w:bookmarkStart w:id="749" w:name="_Toc10535879"/>
      <w:bookmarkStart w:id="750" w:name="_Toc10642290"/>
      <w:r>
        <w:tab/>
        <w:t>[Division 2 inserted: Gazette 14 Jun 2019 p. 1962</w:t>
      </w:r>
      <w:r>
        <w:noBreakHyphen/>
        <w:t>73.]</w:t>
      </w:r>
    </w:p>
    <w:p>
      <w:pPr>
        <w:pStyle w:val="yHeading3"/>
        <w:rPr>
          <w:rStyle w:val="CharSDivText"/>
        </w:rPr>
      </w:pPr>
      <w:bookmarkStart w:id="751" w:name="_Toc11835777"/>
      <w:bookmarkStart w:id="752" w:name="_Toc12273854"/>
      <w:bookmarkStart w:id="753" w:name="_Toc12277682"/>
      <w:r>
        <w:rPr>
          <w:rStyle w:val="CharSDivNo"/>
        </w:rPr>
        <w:t>Division 3</w:t>
      </w:r>
      <w:r>
        <w:t> — </w:t>
      </w:r>
      <w:r>
        <w:rPr>
          <w:rStyle w:val="CharSDivText"/>
        </w:rPr>
        <w:t>Discharge charges: trade waste and effluent</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yFootnoteheading"/>
        <w:spacing w:after="120"/>
      </w:pPr>
      <w:bookmarkStart w:id="754" w:name="_Toc10193910"/>
      <w:bookmarkStart w:id="755" w:name="_Toc10642291"/>
      <w:r>
        <w:tab/>
        <w:t>[Heading inserted: Gazette 14 Jun 2019 p. 1974.]</w:t>
      </w:r>
    </w:p>
    <w:p>
      <w:pPr>
        <w:pStyle w:val="yHeading5"/>
      </w:pPr>
      <w:bookmarkStart w:id="756" w:name="_Toc12277683"/>
      <w:r>
        <w:rPr>
          <w:rStyle w:val="CharSClsNo"/>
        </w:rPr>
        <w:t>29</w:t>
      </w:r>
      <w:r>
        <w:t>.</w:t>
      </w:r>
      <w:r>
        <w:tab/>
        <w:t>Discharge charges for 2019/20 year and subsequent years</w:t>
      </w:r>
      <w:bookmarkEnd w:id="754"/>
      <w:bookmarkEnd w:id="755"/>
      <w:bookmarkEnd w:id="756"/>
    </w:p>
    <w:p>
      <w:pPr>
        <w:pStyle w:val="yMiscellaneousBody"/>
        <w:tabs>
          <w:tab w:val="left" w:pos="284"/>
          <w:tab w:val="right" w:leader="dot" w:pos="6804"/>
        </w:tabs>
        <w:ind w:left="851" w:hanging="851"/>
      </w:pPr>
      <w:r>
        <w:tab/>
      </w:r>
      <w:r>
        <w:tab/>
        <w:t xml:space="preserve">The charges set out in this Division apply for trade waste or effluent discharged in the </w:t>
      </w:r>
      <w:r>
        <w:rPr>
          <w:szCs w:val="22"/>
        </w:rPr>
        <w:t>2019/20</w:t>
      </w:r>
      <w:r>
        <w:t> financial year and each subsequent year.</w:t>
      </w:r>
    </w:p>
    <w:p>
      <w:pPr>
        <w:pStyle w:val="yHeading5"/>
      </w:pPr>
      <w:bookmarkStart w:id="757" w:name="_Toc10193911"/>
      <w:bookmarkStart w:id="758" w:name="_Toc10642292"/>
      <w:bookmarkStart w:id="759" w:name="_Toc12277684"/>
      <w:r>
        <w:rPr>
          <w:rStyle w:val="CharSClsNo"/>
        </w:rPr>
        <w:t>30</w:t>
      </w:r>
      <w:r>
        <w:t>.</w:t>
      </w:r>
      <w:r>
        <w:tab/>
        <w:t>Trade waste discharged into sewer under approval</w:t>
      </w:r>
      <w:bookmarkEnd w:id="757"/>
      <w:bookmarkEnd w:id="758"/>
      <w:bookmarkEnd w:id="759"/>
    </w:p>
    <w:p>
      <w:pPr>
        <w:pStyle w:val="yMiscellaneousBody"/>
        <w:tabs>
          <w:tab w:val="left" w:pos="284"/>
          <w:tab w:val="right" w:leader="dot" w:pos="6804"/>
        </w:tabs>
        <w:ind w:left="851" w:hanging="851"/>
      </w:pPr>
      <w:r>
        <w:tab/>
        <w:t>(1)</w:t>
      </w:r>
      <w:r>
        <w:tab/>
        <w:t xml:space="preserve">In this item — </w:t>
      </w:r>
    </w:p>
    <w:p>
      <w:pPr>
        <w:pStyle w:val="yDefstart"/>
      </w:pPr>
      <w:r>
        <w:tab/>
      </w:r>
      <w:r>
        <w:rPr>
          <w:rStyle w:val="CharDefText"/>
        </w:rPr>
        <w:t>B.O.D.</w:t>
      </w:r>
      <w:r>
        <w:t xml:space="preserve"> means </w:t>
      </w:r>
      <w:r>
        <w:rPr>
          <w:szCs w:val="22"/>
        </w:rPr>
        <w:t>biochemical</w:t>
      </w:r>
      <w:r>
        <w:t xml:space="preserve">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MiscellaneousBody"/>
        <w:tabs>
          <w:tab w:val="left" w:pos="284"/>
          <w:tab w:val="right" w:leader="dot" w:pos="6804"/>
        </w:tabs>
        <w:ind w:left="851" w:hanging="851"/>
      </w:pPr>
      <w:r>
        <w:tab/>
        <w:t>(2)</w:t>
      </w:r>
      <w:r>
        <w:tab/>
        <w:t xml:space="preserve">For </w:t>
      </w:r>
      <w:r>
        <w:rPr>
          <w:szCs w:val="22"/>
        </w:rPr>
        <w:t xml:space="preserve">trade waste </w:t>
      </w:r>
      <w:r>
        <w:t>discharged</w:t>
      </w:r>
      <w:r>
        <w:rPr>
          <w:szCs w:val="22"/>
        </w:rPr>
        <w:t xml:space="preserve"> into a sewer of the </w:t>
      </w:r>
      <w:r>
        <w:rPr>
          <w:szCs w:val="22"/>
        </w:rPr>
        <w:br/>
        <w:t xml:space="preserve">Water Corporation under an approval of the </w:t>
      </w:r>
      <w:r>
        <w:rPr>
          <w:szCs w:val="22"/>
        </w:rPr>
        <w:br/>
        <w:t>Water Corporation, the charge is —</w:t>
      </w:r>
    </w:p>
    <w:p>
      <w:pPr>
        <w:pStyle w:val="yMiscellaneousBody"/>
        <w:tabs>
          <w:tab w:val="left" w:pos="1134"/>
          <w:tab w:val="left" w:pos="1701"/>
          <w:tab w:val="right" w:leader="dot" w:pos="6804"/>
        </w:tabs>
        <w:spacing w:before="80"/>
        <w:ind w:left="1736" w:right="-1" w:hanging="1736"/>
      </w:pPr>
      <w:r>
        <w:tab/>
        <w:t>(a)</w:t>
      </w:r>
      <w:r>
        <w:tab/>
        <w:t xml:space="preserve">for volume </w:t>
      </w:r>
      <w:r>
        <w:tab/>
        <w:t xml:space="preserve"> </w:t>
      </w:r>
      <w:r>
        <w:rPr>
          <w:szCs w:val="22"/>
        </w:rPr>
        <w:t>147.9</w:t>
      </w:r>
      <w:r>
        <w:t xml:space="preserve"> c/kL</w:t>
      </w:r>
    </w:p>
    <w:p>
      <w:pPr>
        <w:pStyle w:val="yMiscellaneousBody"/>
        <w:tabs>
          <w:tab w:val="left" w:pos="1134"/>
          <w:tab w:val="left" w:pos="1701"/>
        </w:tabs>
        <w:spacing w:before="80"/>
        <w:ind w:left="1736" w:right="158" w:hanging="1736"/>
        <w:rPr>
          <w:szCs w:val="22"/>
        </w:rPr>
      </w:pPr>
      <w:r>
        <w:rPr>
          <w:szCs w:val="22"/>
        </w:rPr>
        <w:tab/>
        <w:t>(b)</w:t>
      </w:r>
      <w:r>
        <w:rPr>
          <w:szCs w:val="22"/>
        </w:rPr>
        <w:tab/>
      </w:r>
      <w:r>
        <w:t>for</w:t>
      </w:r>
      <w:r>
        <w:rPr>
          <w:szCs w:val="22"/>
        </w:rPr>
        <w:t xml:space="preserve"> B.O.D. with a concentration of —</w:t>
      </w:r>
    </w:p>
    <w:p>
      <w:pPr>
        <w:pStyle w:val="yMiscellaneousBody"/>
        <w:tabs>
          <w:tab w:val="left" w:pos="1985"/>
          <w:tab w:val="left" w:pos="2552"/>
          <w:tab w:val="right" w:leader="dot" w:pos="6804"/>
        </w:tabs>
        <w:spacing w:before="80"/>
        <w:ind w:left="2552" w:right="1983" w:hanging="2552"/>
      </w:pPr>
      <w:r>
        <w:tab/>
        <w:t>(i)</w:t>
      </w:r>
      <w:r>
        <w:tab/>
        <w:t xml:space="preserve">up to 5 kg/kL </w:t>
      </w:r>
      <w:r>
        <w:tab/>
        <w:t xml:space="preserve"> </w:t>
      </w:r>
      <w:r>
        <w:rPr>
          <w:szCs w:val="22"/>
        </w:rPr>
        <w:t>123.4</w:t>
      </w:r>
      <w:r>
        <w:t xml:space="preserve"> c/kg</w:t>
      </w:r>
    </w:p>
    <w:p>
      <w:pPr>
        <w:pStyle w:val="yMiscellaneousBody"/>
        <w:tabs>
          <w:tab w:val="left" w:pos="1985"/>
          <w:tab w:val="left" w:pos="2552"/>
          <w:tab w:val="right" w:leader="dot" w:pos="6804"/>
        </w:tabs>
        <w:spacing w:before="80"/>
        <w:ind w:left="2552" w:right="1983" w:hanging="2552"/>
      </w:pPr>
      <w:r>
        <w:tab/>
        <w:t>(ii)</w:t>
      </w:r>
      <w:r>
        <w:tab/>
        <w:t xml:space="preserve">over 5 kg/kL </w:t>
      </w:r>
      <w:r>
        <w:tab/>
        <w:t xml:space="preserve"> </w:t>
      </w:r>
      <w:r>
        <w:rPr>
          <w:szCs w:val="22"/>
        </w:rPr>
        <w:t>251.9</w:t>
      </w:r>
      <w:r>
        <w:t xml:space="preserve"> c/kg</w:t>
      </w:r>
    </w:p>
    <w:p>
      <w:pPr>
        <w:pStyle w:val="yMiscellaneousBody"/>
        <w:tabs>
          <w:tab w:val="left" w:pos="1134"/>
          <w:tab w:val="left" w:pos="1701"/>
        </w:tabs>
        <w:spacing w:before="80"/>
        <w:ind w:left="1736" w:right="158" w:hanging="1736"/>
        <w:rPr>
          <w:szCs w:val="22"/>
        </w:rPr>
      </w:pPr>
      <w:r>
        <w:rPr>
          <w:szCs w:val="22"/>
        </w:rPr>
        <w:tab/>
        <w:t>(c)</w:t>
      </w:r>
      <w:r>
        <w:rPr>
          <w:szCs w:val="22"/>
        </w:rPr>
        <w:tab/>
        <w:t xml:space="preserve">for </w:t>
      </w:r>
      <w:r>
        <w:t>suspended</w:t>
      </w:r>
      <w:r>
        <w:rPr>
          <w:szCs w:val="22"/>
        </w:rPr>
        <w:t xml:space="preserve"> solids with a concentration of —</w:t>
      </w:r>
    </w:p>
    <w:p>
      <w:pPr>
        <w:pStyle w:val="yMiscellaneousBody"/>
        <w:tabs>
          <w:tab w:val="left" w:pos="1985"/>
          <w:tab w:val="left" w:pos="2552"/>
          <w:tab w:val="right" w:leader="dot" w:pos="6804"/>
        </w:tabs>
        <w:spacing w:before="80"/>
        <w:ind w:left="2552" w:right="1983" w:hanging="2552"/>
      </w:pPr>
      <w:r>
        <w:tab/>
        <w:t>(i)</w:t>
      </w:r>
      <w:r>
        <w:tab/>
        <w:t xml:space="preserve">up to 2 kg/kL </w:t>
      </w:r>
      <w:r>
        <w:tab/>
        <w:t xml:space="preserve"> 168.3 c/kg</w:t>
      </w:r>
    </w:p>
    <w:p>
      <w:pPr>
        <w:pStyle w:val="yMiscellaneousBody"/>
        <w:tabs>
          <w:tab w:val="left" w:pos="1985"/>
          <w:tab w:val="left" w:pos="2552"/>
          <w:tab w:val="right" w:leader="dot" w:pos="6804"/>
        </w:tabs>
        <w:spacing w:before="80"/>
        <w:ind w:left="2552" w:right="1983" w:hanging="2552"/>
      </w:pPr>
      <w:r>
        <w:tab/>
        <w:t>(ii)</w:t>
      </w:r>
      <w:r>
        <w:tab/>
        <w:t xml:space="preserve">over 2 kg/kL </w:t>
      </w:r>
      <w:r>
        <w:tab/>
        <w:t xml:space="preserve"> 338.6 c/kg</w:t>
      </w:r>
    </w:p>
    <w:p>
      <w:pPr>
        <w:pStyle w:val="yMiscellaneousBody"/>
        <w:tabs>
          <w:tab w:val="left" w:pos="1134"/>
          <w:tab w:val="left" w:pos="1701"/>
        </w:tabs>
        <w:spacing w:before="80"/>
        <w:ind w:left="1736" w:right="158" w:hanging="1736"/>
        <w:rPr>
          <w:szCs w:val="22"/>
        </w:rPr>
      </w:pPr>
      <w:r>
        <w:rPr>
          <w:szCs w:val="22"/>
        </w:rPr>
        <w:tab/>
        <w:t>(d)</w:t>
      </w:r>
      <w:r>
        <w:rPr>
          <w:szCs w:val="22"/>
        </w:rPr>
        <w:tab/>
        <w:t>for chemical oxygen demand with a concentration of —</w:t>
      </w:r>
    </w:p>
    <w:p>
      <w:pPr>
        <w:pStyle w:val="yMiscellaneousBody"/>
        <w:tabs>
          <w:tab w:val="left" w:pos="1985"/>
          <w:tab w:val="left" w:pos="2552"/>
          <w:tab w:val="right" w:leader="dot" w:pos="6804"/>
        </w:tabs>
        <w:spacing w:before="80"/>
        <w:ind w:left="2552" w:right="1983" w:hanging="2552"/>
      </w:pPr>
      <w:r>
        <w:tab/>
        <w:t>(i)</w:t>
      </w:r>
      <w:r>
        <w:tab/>
        <w:t xml:space="preserve">up to 10 kg/kL </w:t>
      </w:r>
      <w:r>
        <w:tab/>
        <w:t xml:space="preserve"> 49.0 c/kg</w:t>
      </w:r>
    </w:p>
    <w:p>
      <w:pPr>
        <w:pStyle w:val="yMiscellaneousBody"/>
        <w:tabs>
          <w:tab w:val="left" w:pos="1985"/>
          <w:tab w:val="left" w:pos="2552"/>
          <w:tab w:val="right" w:leader="dot" w:pos="6804"/>
        </w:tabs>
        <w:spacing w:before="80"/>
        <w:ind w:left="2552" w:right="1983" w:hanging="2552"/>
      </w:pPr>
      <w:r>
        <w:tab/>
        <w:t>(ii)</w:t>
      </w:r>
      <w:r>
        <w:tab/>
        <w:t xml:space="preserve">over 10 kg/kL </w:t>
      </w:r>
      <w:r>
        <w:tab/>
        <w:t xml:space="preserve"> 100.0 c/kg</w:t>
      </w:r>
    </w:p>
    <w:p>
      <w:pPr>
        <w:pStyle w:val="yMiscellaneousBody"/>
        <w:tabs>
          <w:tab w:val="left" w:pos="1134"/>
          <w:tab w:val="left" w:pos="1701"/>
        </w:tabs>
        <w:spacing w:before="80"/>
        <w:ind w:left="1736" w:right="158" w:hanging="1736"/>
        <w:rPr>
          <w:szCs w:val="22"/>
        </w:rPr>
      </w:pPr>
      <w:r>
        <w:rPr>
          <w:szCs w:val="22"/>
        </w:rPr>
        <w:tab/>
        <w:t>(e)</w:t>
      </w:r>
      <w:r>
        <w:rPr>
          <w:szCs w:val="22"/>
        </w:rPr>
        <w:tab/>
        <w:t>for oil and grease with a concentration of —</w:t>
      </w:r>
    </w:p>
    <w:p>
      <w:pPr>
        <w:pStyle w:val="yMiscellaneousBody"/>
        <w:tabs>
          <w:tab w:val="left" w:pos="1985"/>
          <w:tab w:val="left" w:pos="2552"/>
          <w:tab w:val="right" w:leader="dot" w:pos="6804"/>
        </w:tabs>
        <w:spacing w:before="80"/>
        <w:ind w:left="2552" w:right="1983" w:hanging="2552"/>
      </w:pPr>
      <w:r>
        <w:tab/>
        <w:t>(i)</w:t>
      </w:r>
      <w:r>
        <w:tab/>
        <w:t xml:space="preserve">up to 0.3 kg/kL </w:t>
      </w:r>
      <w:r>
        <w:tab/>
        <w:t xml:space="preserve"> 152.0 c/kg</w:t>
      </w:r>
    </w:p>
    <w:p>
      <w:pPr>
        <w:pStyle w:val="yMiscellaneousBody"/>
        <w:tabs>
          <w:tab w:val="left" w:pos="1985"/>
          <w:tab w:val="left" w:pos="2552"/>
          <w:tab w:val="right" w:leader="dot" w:pos="6804"/>
        </w:tabs>
        <w:spacing w:before="80"/>
        <w:ind w:left="2552" w:right="1983" w:hanging="2552"/>
      </w:pPr>
      <w:r>
        <w:tab/>
        <w:t>(ii)</w:t>
      </w:r>
      <w:r>
        <w:tab/>
        <w:t xml:space="preserve">over 0.3 kg/kL but not over 0.6 kg/kL </w:t>
      </w:r>
      <w:r>
        <w:tab/>
        <w:t xml:space="preserve"> 297.8 c/kg</w:t>
      </w:r>
    </w:p>
    <w:p>
      <w:pPr>
        <w:pStyle w:val="yMiscellaneousBody"/>
        <w:tabs>
          <w:tab w:val="left" w:pos="1985"/>
          <w:tab w:val="left" w:pos="2552"/>
          <w:tab w:val="right" w:leader="dot" w:pos="6804"/>
        </w:tabs>
        <w:spacing w:before="80"/>
        <w:ind w:left="2552" w:right="1983" w:hanging="2552"/>
      </w:pPr>
      <w:r>
        <w:tab/>
        <w:t>(iii)</w:t>
      </w:r>
      <w:r>
        <w:tab/>
        <w:t xml:space="preserve">over 0.6 kg/kL </w:t>
      </w:r>
      <w:r>
        <w:tab/>
        <w:t xml:space="preserve"> </w:t>
      </w:r>
      <w:r>
        <w:rPr>
          <w:szCs w:val="22"/>
        </w:rPr>
        <w:t>600.8</w:t>
      </w:r>
      <w:r>
        <w:t xml:space="preserve"> c/kg</w:t>
      </w:r>
    </w:p>
    <w:p>
      <w:pPr>
        <w:pStyle w:val="yMiscellaneousBody"/>
        <w:tabs>
          <w:tab w:val="left" w:pos="1134"/>
          <w:tab w:val="left" w:pos="1701"/>
        </w:tabs>
        <w:spacing w:before="80"/>
        <w:ind w:left="1736" w:right="158" w:hanging="1736"/>
        <w:rPr>
          <w:szCs w:val="22"/>
        </w:rPr>
      </w:pPr>
      <w:r>
        <w:rPr>
          <w:szCs w:val="22"/>
        </w:rPr>
        <w:tab/>
        <w:t>(f)</w:t>
      </w:r>
      <w:r>
        <w:rPr>
          <w:szCs w:val="22"/>
        </w:rPr>
        <w:tab/>
        <w:t>for acidity to pH 6 (expressed as calcium carbonate) —</w:t>
      </w:r>
    </w:p>
    <w:p>
      <w:pPr>
        <w:pStyle w:val="yMiscellaneousBody"/>
        <w:tabs>
          <w:tab w:val="left" w:pos="1985"/>
          <w:tab w:val="left" w:pos="2552"/>
          <w:tab w:val="right" w:leader="dot" w:pos="6804"/>
        </w:tabs>
        <w:spacing w:before="80"/>
        <w:ind w:left="2552" w:right="1983" w:hanging="2552"/>
      </w:pPr>
      <w:r>
        <w:tab/>
        <w:t>(i)</w:t>
      </w:r>
      <w:r>
        <w:tab/>
        <w:t xml:space="preserve">up to 0.1 kg/kL </w:t>
      </w:r>
      <w:r>
        <w:tab/>
        <w:t xml:space="preserve"> </w:t>
      </w:r>
      <w:r>
        <w:rPr>
          <w:szCs w:val="22"/>
        </w:rPr>
        <w:t>41.8</w:t>
      </w:r>
      <w:r>
        <w:t xml:space="preserve"> c/kg</w:t>
      </w:r>
    </w:p>
    <w:p>
      <w:pPr>
        <w:pStyle w:val="yMiscellaneousBody"/>
        <w:tabs>
          <w:tab w:val="left" w:pos="1985"/>
          <w:tab w:val="left" w:pos="2552"/>
          <w:tab w:val="right" w:leader="dot" w:pos="6804"/>
        </w:tabs>
        <w:spacing w:before="80"/>
        <w:ind w:left="2552" w:right="1983" w:hanging="2552"/>
      </w:pPr>
      <w:r>
        <w:tab/>
        <w:t>(ii)</w:t>
      </w:r>
      <w:r>
        <w:tab/>
        <w:t xml:space="preserve">over 0.1 kg/kL but not over 0.3 kg/kL </w:t>
      </w:r>
      <w:r>
        <w:tab/>
        <w:t xml:space="preserve"> 87.7 c/kg</w:t>
      </w:r>
    </w:p>
    <w:p>
      <w:pPr>
        <w:pStyle w:val="yMiscellaneousBody"/>
        <w:tabs>
          <w:tab w:val="left" w:pos="1985"/>
          <w:tab w:val="left" w:pos="2552"/>
          <w:tab w:val="right" w:leader="dot" w:pos="6804"/>
        </w:tabs>
        <w:spacing w:before="80"/>
        <w:ind w:left="2552" w:right="1983" w:hanging="2552"/>
      </w:pPr>
      <w:r>
        <w:tab/>
        <w:t>(iii)</w:t>
      </w:r>
      <w:r>
        <w:tab/>
        <w:t xml:space="preserve">over 0.3 kg/kL </w:t>
      </w:r>
      <w:r>
        <w:tab/>
        <w:t xml:space="preserve"> 174.4 c/kg</w:t>
      </w:r>
    </w:p>
    <w:p>
      <w:pPr>
        <w:pStyle w:val="yMiscellaneousBody"/>
        <w:tabs>
          <w:tab w:val="left" w:pos="1134"/>
          <w:tab w:val="left" w:pos="1701"/>
        </w:tabs>
        <w:spacing w:before="80"/>
        <w:ind w:left="1736" w:right="158" w:hanging="1736"/>
        <w:rPr>
          <w:szCs w:val="22"/>
        </w:rPr>
      </w:pPr>
      <w:r>
        <w:rPr>
          <w:szCs w:val="22"/>
        </w:rPr>
        <w:tab/>
        <w:t>(g)</w:t>
      </w:r>
      <w:r>
        <w:rPr>
          <w:szCs w:val="22"/>
        </w:rPr>
        <w:tab/>
        <w:t>for alkalinity to pH 10 (expressed as calcium carbonate) —</w:t>
      </w:r>
    </w:p>
    <w:p>
      <w:pPr>
        <w:pStyle w:val="yMiscellaneousBody"/>
        <w:tabs>
          <w:tab w:val="left" w:pos="1985"/>
          <w:tab w:val="left" w:pos="2552"/>
          <w:tab w:val="right" w:leader="dot" w:pos="6804"/>
        </w:tabs>
        <w:spacing w:before="80"/>
        <w:ind w:left="2552" w:right="1983" w:hanging="2552"/>
      </w:pPr>
      <w:r>
        <w:tab/>
        <w:t>(i)</w:t>
      </w:r>
      <w:r>
        <w:tab/>
        <w:t xml:space="preserve">up to 0.1 kg/kL </w:t>
      </w:r>
      <w:r>
        <w:tab/>
        <w:t xml:space="preserve"> 13.3 c/kg</w:t>
      </w:r>
    </w:p>
    <w:p>
      <w:pPr>
        <w:pStyle w:val="yMiscellaneousBody"/>
        <w:tabs>
          <w:tab w:val="left" w:pos="1985"/>
          <w:tab w:val="left" w:pos="2552"/>
          <w:tab w:val="right" w:leader="dot" w:pos="6804"/>
        </w:tabs>
        <w:spacing w:before="80"/>
        <w:ind w:left="2552" w:right="1983" w:hanging="2552"/>
      </w:pPr>
      <w:r>
        <w:tab/>
        <w:t>(ii)</w:t>
      </w:r>
      <w:r>
        <w:tab/>
        <w:t xml:space="preserve">over 0.1 kg/kL but not over 0.2 kg/kL </w:t>
      </w:r>
      <w:r>
        <w:tab/>
        <w:t xml:space="preserve"> 31.6 c/kg</w:t>
      </w:r>
    </w:p>
    <w:p>
      <w:pPr>
        <w:pStyle w:val="yMiscellaneousBody"/>
        <w:tabs>
          <w:tab w:val="left" w:pos="1985"/>
          <w:tab w:val="left" w:pos="2552"/>
          <w:tab w:val="right" w:leader="dot" w:pos="6804"/>
        </w:tabs>
        <w:spacing w:before="80"/>
        <w:ind w:left="2552" w:right="1983" w:hanging="2552"/>
      </w:pPr>
      <w:r>
        <w:tab/>
        <w:t>(iii)</w:t>
      </w:r>
      <w:r>
        <w:tab/>
        <w:t xml:space="preserve">over 0.2 kg/kL </w:t>
      </w:r>
      <w:r>
        <w:tab/>
        <w:t xml:space="preserve"> 63.2 c/kg</w:t>
      </w:r>
    </w:p>
    <w:p>
      <w:pPr>
        <w:pStyle w:val="yMiscellaneousBody"/>
        <w:tabs>
          <w:tab w:val="left" w:pos="1134"/>
          <w:tab w:val="left" w:pos="1701"/>
          <w:tab w:val="right" w:leader="dot" w:pos="6804"/>
        </w:tabs>
        <w:spacing w:before="80"/>
        <w:ind w:left="1736" w:right="-1" w:hanging="1736"/>
      </w:pPr>
      <w:r>
        <w:tab/>
        <w:t>(h)</w:t>
      </w:r>
      <w:r>
        <w:tab/>
        <w:t xml:space="preserve">for nitrogen </w:t>
      </w:r>
      <w:r>
        <w:tab/>
        <w:t xml:space="preserve"> </w:t>
      </w:r>
      <w:r>
        <w:rPr>
          <w:szCs w:val="22"/>
        </w:rPr>
        <w:t>134.6</w:t>
      </w:r>
      <w:r>
        <w:t xml:space="preserve"> c/kg</w:t>
      </w:r>
    </w:p>
    <w:p>
      <w:pPr>
        <w:pStyle w:val="yMiscellaneousBody"/>
        <w:tabs>
          <w:tab w:val="left" w:pos="1134"/>
          <w:tab w:val="left" w:pos="1701"/>
          <w:tab w:val="right" w:leader="dot" w:pos="6804"/>
        </w:tabs>
        <w:spacing w:before="80"/>
        <w:ind w:left="1736" w:right="-1" w:hanging="1736"/>
      </w:pPr>
      <w:r>
        <w:tab/>
        <w:t>(i)</w:t>
      </w:r>
      <w:r>
        <w:tab/>
        <w:t xml:space="preserve">for phosphorus </w:t>
      </w:r>
      <w:r>
        <w:tab/>
        <w:t xml:space="preserve"> </w:t>
      </w:r>
      <w:r>
        <w:rPr>
          <w:szCs w:val="22"/>
        </w:rPr>
        <w:t>37.7</w:t>
      </w:r>
      <w:r>
        <w:t xml:space="preserve"> c/kg</w:t>
      </w:r>
    </w:p>
    <w:p>
      <w:pPr>
        <w:pStyle w:val="yMiscellaneousBody"/>
        <w:tabs>
          <w:tab w:val="left" w:pos="1134"/>
          <w:tab w:val="left" w:pos="1701"/>
          <w:tab w:val="right" w:leader="dot" w:pos="6804"/>
        </w:tabs>
        <w:spacing w:before="80"/>
        <w:ind w:left="1736" w:right="-1" w:hanging="1736"/>
        <w:rPr>
          <w:szCs w:val="22"/>
        </w:rPr>
      </w:pPr>
      <w:r>
        <w:rPr>
          <w:szCs w:val="22"/>
        </w:rPr>
        <w:tab/>
        <w:t>(j)</w:t>
      </w:r>
      <w:r>
        <w:rPr>
          <w:szCs w:val="22"/>
        </w:rPr>
        <w:tab/>
        <w:t xml:space="preserve">for </w:t>
      </w:r>
      <w:r>
        <w:t>sulphate</w:t>
      </w:r>
      <w:r>
        <w:rPr>
          <w:szCs w:val="22"/>
        </w:rPr>
        <w:t xml:space="preserve"> with a concentration of —</w:t>
      </w:r>
    </w:p>
    <w:p>
      <w:pPr>
        <w:pStyle w:val="yMiscellaneousBody"/>
        <w:tabs>
          <w:tab w:val="left" w:pos="1985"/>
          <w:tab w:val="left" w:pos="2552"/>
          <w:tab w:val="right" w:leader="dot" w:pos="6804"/>
        </w:tabs>
        <w:spacing w:before="80"/>
        <w:ind w:left="2552" w:right="1983" w:hanging="2552"/>
      </w:pPr>
      <w:r>
        <w:tab/>
        <w:t>(i)</w:t>
      </w:r>
      <w:r>
        <w:tab/>
        <w:t xml:space="preserve">up to 0.05 kg/kL </w:t>
      </w:r>
      <w:r>
        <w:tab/>
        <w:t xml:space="preserve"> no charge</w:t>
      </w:r>
    </w:p>
    <w:p>
      <w:pPr>
        <w:pStyle w:val="yMiscellaneousBody"/>
        <w:tabs>
          <w:tab w:val="left" w:pos="1985"/>
          <w:tab w:val="left" w:pos="2552"/>
          <w:tab w:val="right" w:leader="dot" w:pos="6804"/>
        </w:tabs>
        <w:spacing w:before="80"/>
        <w:ind w:left="2552" w:right="1983" w:hanging="2552"/>
      </w:pPr>
      <w:r>
        <w:tab/>
        <w:t>(ii)</w:t>
      </w:r>
      <w:r>
        <w:tab/>
        <w:t xml:space="preserve">over 0.05 kg/kL </w:t>
      </w:r>
      <w:r>
        <w:tab/>
        <w:t xml:space="preserve"> 71.4 c/kg</w:t>
      </w:r>
    </w:p>
    <w:p>
      <w:pPr>
        <w:pStyle w:val="yMiscellaneousBody"/>
        <w:tabs>
          <w:tab w:val="left" w:pos="1134"/>
          <w:tab w:val="left" w:pos="1701"/>
          <w:tab w:val="right" w:leader="dot" w:pos="6804"/>
        </w:tabs>
        <w:spacing w:before="80"/>
        <w:ind w:left="1736" w:right="-1" w:hanging="1736"/>
        <w:rPr>
          <w:szCs w:val="22"/>
        </w:rPr>
      </w:pPr>
      <w:r>
        <w:rPr>
          <w:szCs w:val="22"/>
        </w:rPr>
        <w:tab/>
        <w:t>(k)</w:t>
      </w:r>
      <w:r>
        <w:rPr>
          <w:szCs w:val="22"/>
        </w:rPr>
        <w:tab/>
        <w:t>for total dissolved salts with a concentration of —</w:t>
      </w:r>
    </w:p>
    <w:p>
      <w:pPr>
        <w:pStyle w:val="yMiscellaneousBody"/>
        <w:tabs>
          <w:tab w:val="left" w:pos="1985"/>
          <w:tab w:val="left" w:pos="2552"/>
          <w:tab w:val="right" w:leader="dot" w:pos="6804"/>
        </w:tabs>
        <w:spacing w:before="80"/>
        <w:ind w:left="2552" w:right="1983" w:hanging="2552"/>
      </w:pPr>
      <w:r>
        <w:tab/>
        <w:t>(i)</w:t>
      </w:r>
      <w:r>
        <w:tab/>
        <w:t xml:space="preserve">up to 1 kg/kL </w:t>
      </w:r>
      <w:r>
        <w:tab/>
        <w:t xml:space="preserve"> no charge</w:t>
      </w:r>
    </w:p>
    <w:p>
      <w:pPr>
        <w:pStyle w:val="yMiscellaneousBody"/>
        <w:tabs>
          <w:tab w:val="left" w:pos="1985"/>
          <w:tab w:val="left" w:pos="2552"/>
          <w:tab w:val="right" w:leader="dot" w:pos="6804"/>
        </w:tabs>
        <w:spacing w:before="80"/>
        <w:ind w:left="2552" w:right="1983" w:hanging="2552"/>
      </w:pPr>
      <w:r>
        <w:tab/>
        <w:t>(ii)</w:t>
      </w:r>
      <w:r>
        <w:tab/>
        <w:t xml:space="preserve">over 1 kg/kL but not over 3 kg/kL </w:t>
      </w:r>
      <w:r>
        <w:tab/>
        <w:t xml:space="preserve"> 0.1 c/kg</w:t>
      </w:r>
    </w:p>
    <w:p>
      <w:pPr>
        <w:pStyle w:val="yMiscellaneousBody"/>
        <w:tabs>
          <w:tab w:val="left" w:pos="1985"/>
          <w:tab w:val="left" w:pos="2552"/>
          <w:tab w:val="right" w:leader="dot" w:pos="6804"/>
        </w:tabs>
        <w:spacing w:before="80"/>
        <w:ind w:left="2552" w:right="1983" w:hanging="2552"/>
      </w:pPr>
      <w:r>
        <w:tab/>
        <w:t>(iii)</w:t>
      </w:r>
      <w:r>
        <w:tab/>
        <w:t xml:space="preserve">over 3 kg/kL but not over 6 kg/kL </w:t>
      </w:r>
      <w:r>
        <w:tab/>
        <w:t xml:space="preserve"> 4.0 c/kg</w:t>
      </w:r>
    </w:p>
    <w:p>
      <w:pPr>
        <w:pStyle w:val="yMiscellaneousBody"/>
        <w:tabs>
          <w:tab w:val="left" w:pos="1985"/>
          <w:tab w:val="left" w:pos="2552"/>
          <w:tab w:val="right" w:leader="dot" w:pos="6804"/>
        </w:tabs>
        <w:spacing w:before="80"/>
        <w:ind w:left="2552" w:right="1983" w:hanging="2552"/>
      </w:pPr>
      <w:r>
        <w:tab/>
        <w:t>(iv)</w:t>
      </w:r>
      <w:r>
        <w:tab/>
        <w:t xml:space="preserve">over 6 kg/kL </w:t>
      </w:r>
      <w:r>
        <w:tab/>
        <w:t xml:space="preserve"> 14.2 c/kg</w:t>
      </w:r>
    </w:p>
    <w:p>
      <w:pPr>
        <w:pStyle w:val="yMiscellaneousBody"/>
        <w:tabs>
          <w:tab w:val="left" w:pos="1134"/>
          <w:tab w:val="left" w:pos="1701"/>
          <w:tab w:val="right" w:leader="dot" w:pos="6804"/>
        </w:tabs>
        <w:spacing w:before="80"/>
        <w:ind w:left="1736" w:right="-1" w:hanging="1736"/>
        <w:rPr>
          <w:szCs w:val="22"/>
        </w:rPr>
      </w:pPr>
      <w:r>
        <w:rPr>
          <w:szCs w:val="22"/>
        </w:rPr>
        <w:tab/>
        <w:t>(l)</w:t>
      </w:r>
      <w:r>
        <w:rPr>
          <w:szCs w:val="22"/>
        </w:rPr>
        <w:tab/>
        <w:t>for chromium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0.03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0.03 kg/day but not over 1 kg/day </w:t>
      </w:r>
      <w:r>
        <w:tab/>
        <w:t>2229.7 c/kg</w:t>
      </w:r>
    </w:p>
    <w:p>
      <w:pPr>
        <w:pStyle w:val="yMiscellaneousBody"/>
        <w:tabs>
          <w:tab w:val="left" w:pos="1985"/>
          <w:tab w:val="left" w:pos="2552"/>
          <w:tab w:val="right" w:leader="dot" w:pos="6804"/>
        </w:tabs>
        <w:spacing w:before="80"/>
        <w:ind w:left="2552" w:right="1983" w:hanging="2552"/>
      </w:pPr>
      <w:r>
        <w:tab/>
        <w:t>(iii)</w:t>
      </w:r>
      <w:r>
        <w:tab/>
        <w:t xml:space="preserve">over 1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(m)</w:t>
      </w:r>
      <w:r>
        <w:rPr>
          <w:szCs w:val="22"/>
        </w:rPr>
        <w:tab/>
        <w:t>for copper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0.03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0.03 kg/day but not over 0.12 kg/day </w:t>
      </w:r>
      <w:r>
        <w:tab/>
        <w:t xml:space="preserve"> 2229.7 c/kg</w:t>
      </w:r>
    </w:p>
    <w:p>
      <w:pPr>
        <w:pStyle w:val="yMiscellaneousBody"/>
        <w:tabs>
          <w:tab w:val="left" w:pos="1985"/>
          <w:tab w:val="left" w:pos="2552"/>
          <w:tab w:val="right" w:leader="dot" w:pos="6804"/>
        </w:tabs>
        <w:spacing w:before="80"/>
        <w:ind w:left="2552" w:right="1983" w:hanging="2552"/>
      </w:pPr>
      <w:r>
        <w:tab/>
        <w:t>(iii)</w:t>
      </w:r>
      <w:r>
        <w:tab/>
        <w:t xml:space="preserve">over 0.12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(n)</w:t>
      </w:r>
      <w:r>
        <w:rPr>
          <w:szCs w:val="22"/>
        </w:rPr>
        <w:tab/>
        <w:t>for lead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0.03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0.03 kg/day but not over 0.3 kg/day </w:t>
      </w:r>
      <w:r>
        <w:tab/>
        <w:t xml:space="preserve"> 2229.7 c/kg</w:t>
      </w:r>
    </w:p>
    <w:p>
      <w:pPr>
        <w:pStyle w:val="yMiscellaneousBody"/>
        <w:tabs>
          <w:tab w:val="left" w:pos="1985"/>
          <w:tab w:val="left" w:pos="2552"/>
          <w:tab w:val="right" w:leader="dot" w:pos="6804"/>
        </w:tabs>
        <w:spacing w:before="80"/>
        <w:ind w:left="2552" w:right="1983" w:hanging="2552"/>
      </w:pPr>
      <w:r>
        <w:tab/>
        <w:t>(iii)</w:t>
      </w:r>
      <w:r>
        <w:tab/>
        <w:t xml:space="preserve">over 0.3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(o)</w:t>
      </w:r>
      <w:r>
        <w:rPr>
          <w:szCs w:val="22"/>
        </w:rPr>
        <w:tab/>
        <w:t>for nickel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0.006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0.006 kg/day but not over 0.15 kg/day </w:t>
      </w:r>
      <w:r>
        <w:tab/>
        <w:t xml:space="preserve"> 2229.7 c/kg</w:t>
      </w:r>
    </w:p>
    <w:p>
      <w:pPr>
        <w:pStyle w:val="yMiscellaneousBody"/>
        <w:tabs>
          <w:tab w:val="left" w:pos="1985"/>
          <w:tab w:val="left" w:pos="2552"/>
          <w:tab w:val="right" w:leader="dot" w:pos="6804"/>
        </w:tabs>
        <w:spacing w:before="80"/>
        <w:ind w:left="2552" w:right="1983" w:hanging="2552"/>
      </w:pPr>
      <w:r>
        <w:tab/>
        <w:t>(iii)</w:t>
      </w:r>
      <w:r>
        <w:tab/>
        <w:t xml:space="preserve">over 0.15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(p)</w:t>
      </w:r>
      <w:r>
        <w:rPr>
          <w:szCs w:val="22"/>
        </w:rPr>
        <w:tab/>
        <w:t>for zinc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0.05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0.05 kg/day but not over 0.5 kg/day </w:t>
      </w:r>
      <w:r>
        <w:tab/>
        <w:t xml:space="preserve"> 2229.7 c/kg</w:t>
      </w:r>
    </w:p>
    <w:p>
      <w:pPr>
        <w:pStyle w:val="yMiscellaneousBody"/>
        <w:tabs>
          <w:tab w:val="left" w:pos="1985"/>
          <w:tab w:val="left" w:pos="2552"/>
          <w:tab w:val="right" w:leader="dot" w:pos="6804"/>
        </w:tabs>
        <w:spacing w:before="80"/>
        <w:ind w:left="2552" w:right="1983" w:hanging="2552"/>
      </w:pPr>
      <w:r>
        <w:tab/>
        <w:t>(iii)</w:t>
      </w:r>
      <w:r>
        <w:tab/>
        <w:t xml:space="preserve">over 0.5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(q)</w:t>
      </w:r>
      <w:r>
        <w:rPr>
          <w:szCs w:val="22"/>
        </w:rPr>
        <w:tab/>
        <w:t>for arsenic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0.001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0.001 kg/day but not over 0.04 kg/day </w:t>
      </w:r>
      <w:r>
        <w:tab/>
        <w:t xml:space="preserve"> 11164.9 c/kg</w:t>
      </w:r>
    </w:p>
    <w:p>
      <w:pPr>
        <w:pStyle w:val="yMiscellaneousBody"/>
        <w:tabs>
          <w:tab w:val="left" w:pos="1985"/>
          <w:tab w:val="left" w:pos="2552"/>
          <w:tab w:val="right" w:leader="dot" w:pos="6804"/>
        </w:tabs>
        <w:spacing w:before="80"/>
        <w:ind w:left="2552" w:right="1983" w:hanging="2552"/>
      </w:pPr>
      <w:r>
        <w:tab/>
        <w:t>(iii)</w:t>
      </w:r>
      <w:r>
        <w:tab/>
        <w:t xml:space="preserve">over 0.04 kg/day </w:t>
      </w:r>
      <w:r>
        <w:tab/>
        <w:t xml:space="preserve"> 111647.2 c/kg</w:t>
      </w:r>
    </w:p>
    <w:p>
      <w:pPr>
        <w:pStyle w:val="yMiscellaneousBody"/>
        <w:tabs>
          <w:tab w:val="left" w:pos="1134"/>
          <w:tab w:val="left" w:pos="1701"/>
          <w:tab w:val="right" w:leader="dot" w:pos="6804"/>
        </w:tabs>
        <w:spacing w:before="80"/>
        <w:ind w:left="1736" w:right="-1" w:hanging="1736"/>
        <w:rPr>
          <w:szCs w:val="22"/>
        </w:rPr>
      </w:pPr>
      <w:r>
        <w:rPr>
          <w:szCs w:val="22"/>
        </w:rPr>
        <w:tab/>
        <w:t>(r)</w:t>
      </w:r>
      <w:r>
        <w:rPr>
          <w:szCs w:val="22"/>
        </w:rPr>
        <w:tab/>
        <w:t>for cadmium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0.001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0.001 kg/day but not over 0.015 kg/day </w:t>
      </w:r>
      <w:r>
        <w:tab/>
        <w:t xml:space="preserve"> 11164.9 c/kg</w:t>
      </w:r>
    </w:p>
    <w:p>
      <w:pPr>
        <w:pStyle w:val="yMiscellaneousBody"/>
        <w:tabs>
          <w:tab w:val="left" w:pos="1985"/>
          <w:tab w:val="left" w:pos="2552"/>
          <w:tab w:val="right" w:leader="dot" w:pos="6804"/>
        </w:tabs>
        <w:spacing w:before="80"/>
        <w:ind w:left="2552" w:right="1983" w:hanging="2552"/>
      </w:pPr>
      <w:r>
        <w:tab/>
        <w:t>(iii)</w:t>
      </w:r>
      <w:r>
        <w:tab/>
        <w:t xml:space="preserve">over 0.015 kg/day </w:t>
      </w:r>
      <w:r>
        <w:tab/>
        <w:t xml:space="preserve"> 111647.2 c/kg</w:t>
      </w:r>
    </w:p>
    <w:p>
      <w:pPr>
        <w:pStyle w:val="yMiscellaneousBody"/>
        <w:tabs>
          <w:tab w:val="left" w:pos="1134"/>
          <w:tab w:val="left" w:pos="1701"/>
          <w:tab w:val="right" w:leader="dot" w:pos="6804"/>
        </w:tabs>
        <w:spacing w:before="80"/>
        <w:ind w:left="1736" w:right="-1" w:hanging="1736"/>
        <w:rPr>
          <w:szCs w:val="22"/>
        </w:rPr>
      </w:pPr>
      <w:r>
        <w:rPr>
          <w:szCs w:val="22"/>
        </w:rPr>
        <w:tab/>
        <w:t>(s)</w:t>
      </w:r>
      <w:r>
        <w:rPr>
          <w:szCs w:val="22"/>
        </w:rPr>
        <w:tab/>
        <w:t>for molybdenum or selenium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0.001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0.001 kg/day but not over 0.02 kg/day </w:t>
      </w:r>
      <w:r>
        <w:tab/>
        <w:t xml:space="preserve"> 11164.9 c/kg</w:t>
      </w:r>
    </w:p>
    <w:p>
      <w:pPr>
        <w:pStyle w:val="yMiscellaneousBody"/>
        <w:tabs>
          <w:tab w:val="left" w:pos="1985"/>
          <w:tab w:val="left" w:pos="2552"/>
          <w:tab w:val="right" w:leader="dot" w:pos="6804"/>
        </w:tabs>
        <w:spacing w:before="80"/>
        <w:ind w:left="2552" w:right="1983" w:hanging="2552"/>
      </w:pPr>
      <w:r>
        <w:tab/>
        <w:t>(iii)</w:t>
      </w:r>
      <w:r>
        <w:tab/>
        <w:t xml:space="preserve">over 0.02 kg/day </w:t>
      </w:r>
      <w:r>
        <w:tab/>
        <w:t xml:space="preserve"> 111647.2 c/kg</w:t>
      </w:r>
    </w:p>
    <w:p>
      <w:pPr>
        <w:pStyle w:val="yMiscellaneousBody"/>
        <w:tabs>
          <w:tab w:val="left" w:pos="1134"/>
          <w:tab w:val="left" w:pos="1701"/>
          <w:tab w:val="right" w:leader="dot" w:pos="6804"/>
        </w:tabs>
        <w:spacing w:before="80"/>
        <w:ind w:left="1736" w:right="-1" w:hanging="1736"/>
        <w:rPr>
          <w:szCs w:val="22"/>
        </w:rPr>
      </w:pPr>
      <w:r>
        <w:rPr>
          <w:szCs w:val="22"/>
        </w:rPr>
        <w:tab/>
        <w:t>(t)</w:t>
      </w:r>
      <w:r>
        <w:rPr>
          <w:szCs w:val="22"/>
        </w:rPr>
        <w:tab/>
        <w:t>for silver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0.002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0.002 kg/day but not over 0.01 kg/day </w:t>
      </w:r>
      <w:r>
        <w:tab/>
        <w:t xml:space="preserve"> 11164.9 c/kg</w:t>
      </w:r>
    </w:p>
    <w:p>
      <w:pPr>
        <w:pStyle w:val="yMiscellaneousBody"/>
        <w:tabs>
          <w:tab w:val="left" w:pos="1985"/>
          <w:tab w:val="left" w:pos="2552"/>
          <w:tab w:val="right" w:leader="dot" w:pos="6804"/>
        </w:tabs>
        <w:spacing w:before="80"/>
        <w:ind w:left="2552" w:right="1983" w:hanging="2552"/>
      </w:pPr>
      <w:r>
        <w:tab/>
        <w:t>(iii)</w:t>
      </w:r>
      <w:r>
        <w:tab/>
        <w:t xml:space="preserve">over 0.01 kg/day </w:t>
      </w:r>
      <w:r>
        <w:tab/>
        <w:t xml:space="preserve"> 111647.2 c/kg</w:t>
      </w:r>
    </w:p>
    <w:p>
      <w:pPr>
        <w:pStyle w:val="yMiscellaneousBody"/>
        <w:tabs>
          <w:tab w:val="left" w:pos="1134"/>
          <w:tab w:val="left" w:pos="1701"/>
          <w:tab w:val="right" w:leader="dot" w:pos="6804"/>
        </w:tabs>
        <w:spacing w:before="80"/>
        <w:ind w:left="1736" w:right="-1" w:hanging="1736"/>
        <w:rPr>
          <w:szCs w:val="22"/>
        </w:rPr>
      </w:pPr>
      <w:r>
        <w:rPr>
          <w:szCs w:val="22"/>
        </w:rPr>
        <w:tab/>
        <w:t>(u)</w:t>
      </w:r>
      <w:r>
        <w:rPr>
          <w:szCs w:val="22"/>
        </w:rPr>
        <w:tab/>
        <w:t>for mercury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0.0001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0.0001 kg/day but not over 0.001 kg/day </w:t>
      </w:r>
      <w:r>
        <w:tab/>
        <w:t xml:space="preserve"> 111647.2 c/kg</w:t>
      </w:r>
    </w:p>
    <w:p>
      <w:pPr>
        <w:pStyle w:val="yMiscellaneousBody"/>
        <w:tabs>
          <w:tab w:val="left" w:pos="1985"/>
          <w:tab w:val="left" w:pos="2552"/>
          <w:tab w:val="right" w:leader="dot" w:pos="6804"/>
        </w:tabs>
        <w:spacing w:before="80"/>
        <w:ind w:left="2552" w:right="1983" w:hanging="2552"/>
      </w:pPr>
      <w:r>
        <w:tab/>
        <w:t>(iii)</w:t>
      </w:r>
      <w:r>
        <w:tab/>
        <w:t xml:space="preserve">over 0.001 kg/day </w:t>
      </w:r>
      <w:r>
        <w:tab/>
        <w:t xml:space="preserve"> 837385.3 c/kg</w:t>
      </w:r>
    </w:p>
    <w:p>
      <w:pPr>
        <w:pStyle w:val="yHeading5"/>
      </w:pPr>
      <w:bookmarkStart w:id="760" w:name="_Toc10193912"/>
      <w:bookmarkStart w:id="761" w:name="_Toc10642293"/>
      <w:bookmarkStart w:id="762" w:name="_Toc12277685"/>
      <w:r>
        <w:rPr>
          <w:rStyle w:val="CharSClsNo"/>
        </w:rPr>
        <w:t>31</w:t>
      </w:r>
      <w:r>
        <w:t>.</w:t>
      </w:r>
      <w:r>
        <w:tab/>
        <w:t>Effluent discharged from septic tank effluent pumping system into sewer</w:t>
      </w:r>
      <w:bookmarkEnd w:id="760"/>
      <w:bookmarkEnd w:id="761"/>
      <w:bookmarkEnd w:id="762"/>
    </w:p>
    <w:p>
      <w:pPr>
        <w:pStyle w:val="yMiscellaneousBody"/>
        <w:tabs>
          <w:tab w:val="left" w:pos="284"/>
          <w:tab w:val="right" w:leader="dot" w:pos="6804"/>
        </w:tabs>
        <w:ind w:left="851" w:hanging="851"/>
      </w:pPr>
      <w:r>
        <w:rPr>
          <w:szCs w:val="22"/>
        </w:rPr>
        <w:tab/>
      </w:r>
      <w:r>
        <w:rPr>
          <w:szCs w:val="22"/>
        </w:rPr>
        <w:tab/>
        <w:t xml:space="preserve">For effluent </w:t>
      </w:r>
      <w:r>
        <w:t>discharged</w:t>
      </w:r>
      <w:r>
        <w:rPr>
          <w:szCs w:val="22"/>
        </w:rPr>
        <w:t xml:space="preserve"> from a septic tank </w:t>
      </w:r>
      <w:r>
        <w:rPr>
          <w:szCs w:val="22"/>
        </w:rPr>
        <w:br/>
        <w:t xml:space="preserve">effluent pumping system into a sewer of the </w:t>
      </w:r>
      <w:r>
        <w:rPr>
          <w:szCs w:val="22"/>
        </w:rPr>
        <w:br/>
        <w:t xml:space="preserve">Water Corporation, the charge is </w:t>
      </w:r>
      <w:r>
        <w:rPr>
          <w:szCs w:val="22"/>
        </w:rPr>
        <w:tab/>
        <w:t xml:space="preserve"> 169.3</w:t>
      </w:r>
      <w:r>
        <w:t xml:space="preserve"> cents/kL</w:t>
      </w:r>
    </w:p>
    <w:p>
      <w:pPr>
        <w:pStyle w:val="yFootnotesection"/>
      </w:pPr>
      <w:bookmarkStart w:id="763" w:name="_Toc10034296"/>
      <w:bookmarkStart w:id="764" w:name="_Toc10034456"/>
      <w:bookmarkStart w:id="765" w:name="_Toc10107776"/>
      <w:bookmarkStart w:id="766" w:name="_Toc10107936"/>
      <w:bookmarkStart w:id="767" w:name="_Toc10121243"/>
      <w:bookmarkStart w:id="768" w:name="_Toc10124628"/>
      <w:bookmarkStart w:id="769" w:name="_Toc10193913"/>
      <w:bookmarkStart w:id="770" w:name="_Toc10203700"/>
      <w:bookmarkStart w:id="771" w:name="_Toc10203856"/>
      <w:bookmarkStart w:id="772" w:name="_Toc10535010"/>
      <w:bookmarkStart w:id="773" w:name="_Toc10535883"/>
      <w:bookmarkStart w:id="774" w:name="_Toc10642294"/>
      <w:r>
        <w:tab/>
        <w:t>[Division 3 inserted: Gazette 14 Jun 2019 p. 1974</w:t>
      </w:r>
      <w:r>
        <w:noBreakHyphen/>
        <w:t>77.]</w:t>
      </w:r>
    </w:p>
    <w:p>
      <w:pPr>
        <w:pStyle w:val="yScheduleHeading"/>
      </w:pPr>
      <w:bookmarkStart w:id="775" w:name="_Toc11835781"/>
      <w:bookmarkStart w:id="776" w:name="_Toc12273858"/>
      <w:bookmarkStart w:id="777" w:name="_Toc12277686"/>
      <w:r>
        <w:rPr>
          <w:rStyle w:val="CharSchNo"/>
        </w:rPr>
        <w:t>Schedule 5</w:t>
      </w:r>
      <w:r>
        <w:rPr>
          <w:rStyle w:val="CharSDivNo"/>
        </w:rPr>
        <w:t> </w:t>
      </w:r>
      <w:r>
        <w:t>—</w:t>
      </w:r>
      <w:r>
        <w:rPr>
          <w:rStyle w:val="CharSDivText"/>
        </w:rPr>
        <w:t> </w:t>
      </w:r>
      <w:r>
        <w:rPr>
          <w:rStyle w:val="CharSchText"/>
        </w:rPr>
        <w:t>Drainage charges for the Water Corporation</w:t>
      </w:r>
      <w:bookmarkEnd w:id="775"/>
      <w:bookmarkEnd w:id="776"/>
      <w:bookmarkEnd w:id="777"/>
    </w:p>
    <w:bookmarkEnd w:id="763"/>
    <w:bookmarkEnd w:id="764"/>
    <w:bookmarkEnd w:id="765"/>
    <w:bookmarkEnd w:id="766"/>
    <w:bookmarkEnd w:id="767"/>
    <w:bookmarkEnd w:id="768"/>
    <w:bookmarkEnd w:id="769"/>
    <w:bookmarkEnd w:id="770"/>
    <w:bookmarkEnd w:id="771"/>
    <w:bookmarkEnd w:id="772"/>
    <w:bookmarkEnd w:id="773"/>
    <w:bookmarkEnd w:id="774"/>
    <w:p>
      <w:pPr>
        <w:pStyle w:val="yShoulderClause"/>
      </w:pPr>
      <w:r>
        <w:t>[r. 47]</w:t>
      </w:r>
    </w:p>
    <w:p>
      <w:pPr>
        <w:pStyle w:val="yFootnoteheading"/>
        <w:spacing w:after="120"/>
      </w:pPr>
      <w:bookmarkStart w:id="778" w:name="_Toc10193914"/>
      <w:bookmarkStart w:id="779" w:name="_Toc10642295"/>
      <w:r>
        <w:tab/>
        <w:t>[Heading inserted: Gazette 14 Jun 2019 p. 1977.]</w:t>
      </w:r>
    </w:p>
    <w:p>
      <w:pPr>
        <w:pStyle w:val="yHeading5"/>
      </w:pPr>
      <w:bookmarkStart w:id="780" w:name="_Toc12277687"/>
      <w:r>
        <w:rPr>
          <w:rStyle w:val="CharSClsNo"/>
        </w:rPr>
        <w:t>1</w:t>
      </w:r>
      <w:r>
        <w:t>.</w:t>
      </w:r>
      <w:r>
        <w:tab/>
        <w:t>Drainage charges for 2019/20 year and subsequent years</w:t>
      </w:r>
      <w:bookmarkEnd w:id="778"/>
      <w:bookmarkEnd w:id="779"/>
      <w:bookmarkEnd w:id="780"/>
    </w:p>
    <w:p>
      <w:pPr>
        <w:pStyle w:val="yMiscellaneousBody"/>
        <w:tabs>
          <w:tab w:val="left" w:pos="284"/>
          <w:tab w:val="right" w:leader="dot" w:pos="6804"/>
        </w:tabs>
        <w:ind w:left="851" w:hanging="851"/>
      </w:pPr>
      <w:r>
        <w:tab/>
      </w:r>
      <w:r>
        <w:tab/>
      </w:r>
      <w:r>
        <w:rPr>
          <w:szCs w:val="22"/>
        </w:rPr>
        <w:t>The</w:t>
      </w:r>
      <w:r>
        <w:t xml:space="preserve"> charges set out in this Schedule apply for drainage </w:t>
      </w:r>
      <w:r>
        <w:rPr>
          <w:szCs w:val="22"/>
        </w:rPr>
        <w:t>services</w:t>
      </w:r>
      <w:r>
        <w:t xml:space="preserve"> provided in the </w:t>
      </w:r>
      <w:r>
        <w:rPr>
          <w:szCs w:val="22"/>
        </w:rPr>
        <w:t xml:space="preserve">2019/20 </w:t>
      </w:r>
      <w:r>
        <w:t>financial year and each subsequent year.</w:t>
      </w:r>
    </w:p>
    <w:p>
      <w:pPr>
        <w:pStyle w:val="yHeading5"/>
      </w:pPr>
      <w:bookmarkStart w:id="781" w:name="_Toc10193915"/>
      <w:bookmarkStart w:id="782" w:name="_Toc10642296"/>
      <w:bookmarkStart w:id="783" w:name="_Toc12277688"/>
      <w:r>
        <w:rPr>
          <w:rStyle w:val="CharSClsNo"/>
        </w:rPr>
        <w:t>2</w:t>
      </w:r>
      <w:r>
        <w:t>.</w:t>
      </w:r>
      <w:r>
        <w:tab/>
        <w:t>Strata</w:t>
      </w:r>
      <w:r>
        <w:noBreakHyphen/>
        <w:t>titled caravan bays</w:t>
      </w:r>
      <w:bookmarkEnd w:id="781"/>
      <w:bookmarkEnd w:id="782"/>
      <w:bookmarkEnd w:id="783"/>
    </w:p>
    <w:p>
      <w:pPr>
        <w:pStyle w:val="yMiscellaneousBody"/>
        <w:tabs>
          <w:tab w:val="left" w:pos="284"/>
          <w:tab w:val="right" w:leader="dot" w:pos="6804"/>
        </w:tabs>
        <w:ind w:left="851" w:hanging="851"/>
      </w:pPr>
      <w:r>
        <w:rPr>
          <w:szCs w:val="22"/>
        </w:rPr>
        <w:tab/>
      </w:r>
      <w:r>
        <w:rPr>
          <w:szCs w:val="22"/>
        </w:rPr>
        <w:tab/>
        <w:t>For a strata</w:t>
      </w:r>
      <w:r>
        <w:rPr>
          <w:szCs w:val="22"/>
        </w:rPr>
        <w:noBreakHyphen/>
        <w:t xml:space="preserve">titled caravan bay or a park home, </w:t>
      </w:r>
      <w:r>
        <w:rPr>
          <w:szCs w:val="22"/>
        </w:rPr>
        <w:br/>
        <w:t xml:space="preserve">the charge is </w:t>
      </w:r>
      <w:r>
        <w:rPr>
          <w:szCs w:val="22"/>
        </w:rPr>
        <w:tab/>
        <w:t xml:space="preserve"> $37.43</w:t>
      </w:r>
    </w:p>
    <w:p>
      <w:pPr>
        <w:pStyle w:val="yHeading5"/>
      </w:pPr>
      <w:bookmarkStart w:id="784" w:name="_Toc10193916"/>
      <w:bookmarkStart w:id="785" w:name="_Toc10642297"/>
      <w:bookmarkStart w:id="786" w:name="_Toc12277689"/>
      <w:r>
        <w:rPr>
          <w:rStyle w:val="CharSClsNo"/>
        </w:rPr>
        <w:t>3</w:t>
      </w:r>
      <w:r>
        <w:t>.</w:t>
      </w:r>
      <w:r>
        <w:tab/>
        <w:t>Strata</w:t>
      </w:r>
      <w:r>
        <w:noBreakHyphen/>
        <w:t>titled storage unit or strata</w:t>
      </w:r>
      <w:r>
        <w:noBreakHyphen/>
        <w:t>titled parking bay</w:t>
      </w:r>
      <w:bookmarkEnd w:id="784"/>
      <w:bookmarkEnd w:id="785"/>
      <w:bookmarkEnd w:id="786"/>
    </w:p>
    <w:p>
      <w:pPr>
        <w:pStyle w:val="yMiscellaneousBody"/>
        <w:tabs>
          <w:tab w:val="left" w:pos="284"/>
          <w:tab w:val="right" w:leader="dot" w:pos="6804"/>
        </w:tabs>
        <w:ind w:left="851" w:hanging="851"/>
      </w:pPr>
      <w:r>
        <w:tab/>
      </w:r>
      <w:r>
        <w:tab/>
      </w:r>
      <w:r>
        <w:rPr>
          <w:szCs w:val="22"/>
        </w:rPr>
        <w:t>For a lot that is used for storage purposes or as a</w:t>
      </w:r>
      <w:r>
        <w:rPr>
          <w:szCs w:val="22"/>
        </w:rPr>
        <w:br/>
        <w:t xml:space="preserve">parking bay, the charge is </w:t>
      </w:r>
      <w:r>
        <w:rPr>
          <w:szCs w:val="22"/>
        </w:rPr>
        <w:tab/>
        <w:t xml:space="preserve"> $13.95</w:t>
      </w:r>
    </w:p>
    <w:p>
      <w:pPr>
        <w:pStyle w:val="yHeading5"/>
      </w:pPr>
      <w:bookmarkStart w:id="787" w:name="_Toc10193917"/>
      <w:bookmarkStart w:id="788" w:name="_Toc10642298"/>
      <w:bookmarkStart w:id="789" w:name="_Toc12277690"/>
      <w:r>
        <w:rPr>
          <w:rStyle w:val="CharSClsNo"/>
        </w:rPr>
        <w:t>4</w:t>
      </w:r>
      <w:r>
        <w:t>.</w:t>
      </w:r>
      <w:r>
        <w:tab/>
        <w:t>Residential or semi</w:t>
      </w:r>
      <w:r>
        <w:noBreakHyphen/>
        <w:t>rural residential</w:t>
      </w:r>
      <w:bookmarkEnd w:id="787"/>
      <w:bookmarkEnd w:id="788"/>
      <w:bookmarkEnd w:id="789"/>
    </w:p>
    <w:p>
      <w:pPr>
        <w:pStyle w:val="yMiscellaneousBody"/>
        <w:tabs>
          <w:tab w:val="left" w:pos="284"/>
          <w:tab w:val="left" w:pos="851"/>
          <w:tab w:val="right" w:leader="dot" w:pos="6804"/>
        </w:tabs>
        <w:ind w:left="851" w:hanging="851"/>
      </w:pPr>
      <w:r>
        <w:tab/>
        <w:t>(1)</w:t>
      </w:r>
      <w:r>
        <w:tab/>
      </w:r>
      <w:r>
        <w:rPr>
          <w:szCs w:val="22"/>
        </w:rPr>
        <w:t>For land that is classified as residential or</w:t>
      </w:r>
      <w:r>
        <w:rPr>
          <w:szCs w:val="22"/>
        </w:rPr>
        <w:br/>
        <w:t xml:space="preserve"> semi</w:t>
      </w:r>
      <w:r>
        <w:rPr>
          <w:szCs w:val="22"/>
        </w:rPr>
        <w:noBreakHyphen/>
        <w:t xml:space="preserve">rural residential, the charge is </w:t>
      </w:r>
      <w:r>
        <w:rPr>
          <w:szCs w:val="22"/>
        </w:rPr>
        <w:tab/>
        <w:t xml:space="preserve"> 0.572</w:t>
      </w:r>
      <w:r>
        <w:t xml:space="preserve"> cents/$</w:t>
      </w:r>
    </w:p>
    <w:p>
      <w:pPr>
        <w:pStyle w:val="yMiscellaneousBody"/>
        <w:tabs>
          <w:tab w:val="left" w:pos="284"/>
          <w:tab w:val="left" w:pos="851"/>
          <w:tab w:val="right" w:pos="6804"/>
        </w:tabs>
        <w:spacing w:before="0"/>
        <w:ind w:left="851" w:hanging="851"/>
      </w:pPr>
      <w:r>
        <w:tab/>
      </w:r>
      <w:r>
        <w:tab/>
      </w:r>
      <w:r>
        <w:tab/>
        <w:t>of GRV</w:t>
      </w:r>
    </w:p>
    <w:p>
      <w:pPr>
        <w:pStyle w:val="yMiscellaneousBody"/>
        <w:tabs>
          <w:tab w:val="left" w:pos="284"/>
          <w:tab w:val="left" w:pos="851"/>
          <w:tab w:val="right" w:leader="dot" w:pos="6804"/>
        </w:tabs>
        <w:ind w:left="851" w:hanging="851"/>
      </w:pPr>
      <w:r>
        <w:tab/>
        <w:t>(2)</w:t>
      </w:r>
      <w:r>
        <w:tab/>
        <w:t xml:space="preserve">The </w:t>
      </w:r>
      <w:r>
        <w:rPr>
          <w:szCs w:val="22"/>
        </w:rPr>
        <w:t>minimum</w:t>
      </w:r>
      <w:r>
        <w:t xml:space="preserve"> charge under this item is </w:t>
      </w:r>
      <w:r>
        <w:tab/>
        <w:t xml:space="preserve"> </w:t>
      </w:r>
      <w:r>
        <w:rPr>
          <w:szCs w:val="22"/>
        </w:rPr>
        <w:t>$123.79</w:t>
      </w:r>
    </w:p>
    <w:p>
      <w:pPr>
        <w:pStyle w:val="yHeading5"/>
      </w:pPr>
      <w:bookmarkStart w:id="790" w:name="_Toc10193918"/>
      <w:bookmarkStart w:id="791" w:name="_Toc10642299"/>
      <w:bookmarkStart w:id="792" w:name="_Toc12277691"/>
      <w:r>
        <w:rPr>
          <w:rStyle w:val="CharSClsNo"/>
        </w:rPr>
        <w:t>5</w:t>
      </w:r>
      <w:r>
        <w:t>.</w:t>
      </w:r>
      <w:r>
        <w:tab/>
        <w:t>Vacant land</w:t>
      </w:r>
      <w:bookmarkEnd w:id="790"/>
      <w:bookmarkEnd w:id="791"/>
      <w:bookmarkEnd w:id="792"/>
    </w:p>
    <w:p>
      <w:pPr>
        <w:pStyle w:val="yMiscellaneousBody"/>
        <w:tabs>
          <w:tab w:val="left" w:pos="284"/>
          <w:tab w:val="left" w:pos="851"/>
          <w:tab w:val="right" w:leader="dot" w:pos="6804"/>
        </w:tabs>
        <w:ind w:left="851" w:hanging="851"/>
      </w:pPr>
      <w:r>
        <w:tab/>
        <w:t>(1)</w:t>
      </w:r>
      <w:r>
        <w:tab/>
      </w:r>
      <w:r>
        <w:rPr>
          <w:szCs w:val="22"/>
        </w:rPr>
        <w:t>For land that is classified as vacant land,</w:t>
      </w:r>
      <w:r>
        <w:rPr>
          <w:szCs w:val="22"/>
        </w:rPr>
        <w:br/>
        <w:t xml:space="preserve">the charge is </w:t>
      </w:r>
      <w:r>
        <w:rPr>
          <w:szCs w:val="22"/>
        </w:rPr>
        <w:tab/>
        <w:t xml:space="preserve"> 0.720</w:t>
      </w:r>
      <w:r>
        <w:t xml:space="preserve"> cents/$</w:t>
      </w:r>
    </w:p>
    <w:p>
      <w:pPr>
        <w:pStyle w:val="yMiscellaneousBody"/>
        <w:tabs>
          <w:tab w:val="left" w:pos="284"/>
          <w:tab w:val="left" w:pos="851"/>
          <w:tab w:val="right" w:pos="6804"/>
        </w:tabs>
        <w:spacing w:before="0"/>
        <w:ind w:left="851" w:hanging="851"/>
      </w:pPr>
      <w:r>
        <w:tab/>
      </w:r>
      <w:r>
        <w:tab/>
      </w:r>
      <w:r>
        <w:tab/>
        <w:t>of GRV</w:t>
      </w:r>
    </w:p>
    <w:p>
      <w:pPr>
        <w:pStyle w:val="yMiscellaneousBody"/>
        <w:tabs>
          <w:tab w:val="left" w:pos="284"/>
          <w:tab w:val="left" w:pos="851"/>
          <w:tab w:val="right" w:leader="dot" w:pos="6804"/>
        </w:tabs>
        <w:ind w:left="851" w:hanging="851"/>
      </w:pPr>
      <w:r>
        <w:tab/>
        <w:t>(2)</w:t>
      </w:r>
      <w:r>
        <w:tab/>
        <w:t xml:space="preserve">The </w:t>
      </w:r>
      <w:r>
        <w:rPr>
          <w:szCs w:val="22"/>
        </w:rPr>
        <w:t>minimum</w:t>
      </w:r>
      <w:r>
        <w:t xml:space="preserve"> charge under this item is </w:t>
      </w:r>
      <w:r>
        <w:tab/>
        <w:t xml:space="preserve"> </w:t>
      </w:r>
      <w:r>
        <w:rPr>
          <w:szCs w:val="22"/>
        </w:rPr>
        <w:t>$123.79</w:t>
      </w:r>
    </w:p>
    <w:p>
      <w:pPr>
        <w:pStyle w:val="yHeading5"/>
      </w:pPr>
      <w:bookmarkStart w:id="793" w:name="_Toc10193919"/>
      <w:bookmarkStart w:id="794" w:name="_Toc10642300"/>
      <w:bookmarkStart w:id="795" w:name="_Toc12277692"/>
      <w:r>
        <w:rPr>
          <w:rStyle w:val="CharSClsNo"/>
        </w:rPr>
        <w:t>6</w:t>
      </w:r>
      <w:r>
        <w:t>.</w:t>
      </w:r>
      <w:r>
        <w:tab/>
        <w:t>Non</w:t>
      </w:r>
      <w:r>
        <w:noBreakHyphen/>
        <w:t>residential (except certain strata</w:t>
      </w:r>
      <w:r>
        <w:noBreakHyphen/>
        <w:t>titled units)</w:t>
      </w:r>
      <w:bookmarkEnd w:id="793"/>
      <w:bookmarkEnd w:id="794"/>
      <w:bookmarkEnd w:id="795"/>
    </w:p>
    <w:p>
      <w:pPr>
        <w:pStyle w:val="yMiscellaneousBody"/>
        <w:tabs>
          <w:tab w:val="left" w:pos="284"/>
          <w:tab w:val="left" w:pos="851"/>
          <w:tab w:val="right" w:leader="dot" w:pos="6804"/>
        </w:tabs>
        <w:ind w:left="851" w:hanging="851"/>
      </w:pPr>
      <w:r>
        <w:tab/>
        <w:t>(1)</w:t>
      </w:r>
      <w:r>
        <w:tab/>
      </w:r>
      <w:r>
        <w:rPr>
          <w:szCs w:val="22"/>
        </w:rPr>
        <w:t>For land that is classified as non</w:t>
      </w:r>
      <w:r>
        <w:rPr>
          <w:szCs w:val="22"/>
        </w:rPr>
        <w:noBreakHyphen/>
        <w:t>residential and</w:t>
      </w:r>
      <w:r>
        <w:rPr>
          <w:szCs w:val="22"/>
        </w:rPr>
        <w:br/>
        <w:t xml:space="preserve"> not covered by item 2 or 3, the charge is </w:t>
      </w:r>
      <w:r>
        <w:rPr>
          <w:szCs w:val="22"/>
        </w:rPr>
        <w:tab/>
        <w:t xml:space="preserve"> 0.324</w:t>
      </w:r>
      <w:r>
        <w:t xml:space="preserve"> cents/$</w:t>
      </w:r>
    </w:p>
    <w:p>
      <w:pPr>
        <w:pStyle w:val="yMiscellaneousBody"/>
        <w:tabs>
          <w:tab w:val="left" w:pos="284"/>
          <w:tab w:val="left" w:pos="851"/>
          <w:tab w:val="right" w:pos="6804"/>
        </w:tabs>
        <w:spacing w:before="0"/>
        <w:ind w:left="851" w:hanging="851"/>
      </w:pPr>
      <w:r>
        <w:tab/>
      </w:r>
      <w:r>
        <w:tab/>
      </w:r>
      <w:r>
        <w:tab/>
        <w:t>of GRV</w:t>
      </w:r>
    </w:p>
    <w:p>
      <w:pPr>
        <w:pStyle w:val="yMiscellaneousBody"/>
        <w:tabs>
          <w:tab w:val="left" w:pos="284"/>
          <w:tab w:val="left" w:pos="851"/>
          <w:tab w:val="right" w:leader="dot" w:pos="6804"/>
        </w:tabs>
        <w:ind w:left="851" w:hanging="851"/>
        <w:rPr>
          <w:szCs w:val="22"/>
        </w:rPr>
      </w:pPr>
      <w:r>
        <w:tab/>
        <w:t>(2)</w:t>
      </w:r>
      <w:r>
        <w:tab/>
        <w:t xml:space="preserve">The minimum charge under this item is </w:t>
      </w:r>
      <w:r>
        <w:tab/>
        <w:t xml:space="preserve"> </w:t>
      </w:r>
      <w:r>
        <w:rPr>
          <w:szCs w:val="22"/>
        </w:rPr>
        <w:t>$123.79</w:t>
      </w:r>
    </w:p>
    <w:p>
      <w:pPr>
        <w:pStyle w:val="yFootnotesection"/>
      </w:pPr>
      <w:bookmarkStart w:id="796" w:name="_Toc10034303"/>
      <w:bookmarkStart w:id="797" w:name="_Toc10034463"/>
      <w:bookmarkStart w:id="798" w:name="_Toc10107783"/>
      <w:bookmarkStart w:id="799" w:name="_Toc10107943"/>
      <w:bookmarkStart w:id="800" w:name="_Toc10121250"/>
      <w:bookmarkStart w:id="801" w:name="_Toc10124635"/>
      <w:bookmarkStart w:id="802" w:name="_Toc10193920"/>
      <w:bookmarkStart w:id="803" w:name="_Toc10203707"/>
      <w:bookmarkStart w:id="804" w:name="_Toc10203863"/>
      <w:bookmarkStart w:id="805" w:name="_Toc10535017"/>
      <w:bookmarkStart w:id="806" w:name="_Toc10535890"/>
      <w:bookmarkStart w:id="807" w:name="_Toc10642301"/>
      <w:r>
        <w:tab/>
        <w:t>[Schedule 5 inserted: Gazette 14 Jun 2019 p. 1977</w:t>
      </w:r>
      <w:r>
        <w:noBreakHyphen/>
        <w:t>8.]</w:t>
      </w:r>
    </w:p>
    <w:p>
      <w:pPr>
        <w:pStyle w:val="yScheduleHeading"/>
      </w:pPr>
      <w:bookmarkStart w:id="808" w:name="_Toc11835788"/>
      <w:bookmarkStart w:id="809" w:name="_Toc12273865"/>
      <w:bookmarkStart w:id="810" w:name="_Toc12277693"/>
      <w:r>
        <w:rPr>
          <w:rStyle w:val="CharSchNo"/>
        </w:rPr>
        <w:t>Schedule 6</w:t>
      </w:r>
      <w:r>
        <w:t> — </w:t>
      </w:r>
      <w:r>
        <w:rPr>
          <w:rStyle w:val="CharSchText"/>
        </w:rPr>
        <w:t>Irrigation charges for the Water Corporation (Ord Irrigation District)</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yShoulderClause"/>
      </w:pPr>
      <w:r>
        <w:t>[r. 50]</w:t>
      </w:r>
    </w:p>
    <w:p>
      <w:pPr>
        <w:pStyle w:val="yFootnoteheading"/>
        <w:spacing w:after="120"/>
      </w:pPr>
      <w:bookmarkStart w:id="811" w:name="_Toc10193921"/>
      <w:bookmarkStart w:id="812" w:name="_Toc10642302"/>
      <w:r>
        <w:tab/>
        <w:t>[Heading inserted: Gazette 14 Jun 2019 p. 1978.]</w:t>
      </w:r>
    </w:p>
    <w:p>
      <w:pPr>
        <w:pStyle w:val="yHeading5"/>
      </w:pPr>
      <w:bookmarkStart w:id="813" w:name="_Toc12277694"/>
      <w:r>
        <w:rPr>
          <w:rStyle w:val="CharSClsNo"/>
        </w:rPr>
        <w:t>1</w:t>
      </w:r>
      <w:r>
        <w:t>.</w:t>
      </w:r>
      <w:r>
        <w:tab/>
        <w:t>Irrigation charges for 2019/20 year and subsequent years</w:t>
      </w:r>
      <w:bookmarkEnd w:id="811"/>
      <w:bookmarkEnd w:id="812"/>
      <w:bookmarkEnd w:id="813"/>
    </w:p>
    <w:p>
      <w:pPr>
        <w:pStyle w:val="yMiscellaneousBody"/>
        <w:tabs>
          <w:tab w:val="left" w:pos="284"/>
          <w:tab w:val="right" w:leader="dot" w:pos="6804"/>
        </w:tabs>
        <w:ind w:left="851" w:hanging="851"/>
      </w:pPr>
      <w:r>
        <w:tab/>
      </w:r>
      <w:r>
        <w:tab/>
        <w:t xml:space="preserve">The charges set out in this Schedule apply for irrigation services provided in the </w:t>
      </w:r>
      <w:r>
        <w:rPr>
          <w:szCs w:val="22"/>
        </w:rPr>
        <w:t>2019/20</w:t>
      </w:r>
      <w:r>
        <w:t> financial year and each subsequent year.</w:t>
      </w:r>
    </w:p>
    <w:p>
      <w:pPr>
        <w:pStyle w:val="yHeading5"/>
      </w:pPr>
      <w:bookmarkStart w:id="814" w:name="_Toc10193922"/>
      <w:bookmarkStart w:id="815" w:name="_Toc10642303"/>
      <w:bookmarkStart w:id="816" w:name="_Toc12277695"/>
      <w:r>
        <w:rPr>
          <w:rStyle w:val="CharSClsNo"/>
        </w:rPr>
        <w:t>2</w:t>
      </w:r>
      <w:r>
        <w:t>.</w:t>
      </w:r>
      <w:r>
        <w:tab/>
        <w:t>Water supplied for irrigation</w:t>
      </w:r>
      <w:bookmarkEnd w:id="814"/>
      <w:bookmarkEnd w:id="815"/>
      <w:bookmarkEnd w:id="816"/>
    </w:p>
    <w:p>
      <w:pPr>
        <w:pStyle w:val="yMiscellaneousBody"/>
        <w:tabs>
          <w:tab w:val="left" w:pos="284"/>
          <w:tab w:val="right" w:leader="dot" w:pos="6804"/>
        </w:tabs>
        <w:ind w:left="851" w:hanging="851"/>
      </w:pPr>
      <w:r>
        <w:tab/>
      </w:r>
      <w:r>
        <w:tab/>
        <w:t xml:space="preserve">For land to which water is supplied from </w:t>
      </w:r>
      <w:r>
        <w:br/>
        <w:t xml:space="preserve">irrigation works of the Water Corporation in the </w:t>
      </w:r>
      <w:r>
        <w:br/>
        <w:t xml:space="preserve">Ord Irrigation District for the purpose of irrigation, </w:t>
      </w:r>
      <w:r>
        <w:br/>
        <w:t>the charge, per hectare of land supplied, is —</w:t>
      </w:r>
    </w:p>
    <w:p>
      <w:pPr>
        <w:pStyle w:val="yMiscellaneousBody"/>
        <w:tabs>
          <w:tab w:val="left" w:pos="1134"/>
          <w:tab w:val="left" w:pos="1701"/>
          <w:tab w:val="right" w:leader="dot" w:pos="6804"/>
        </w:tabs>
        <w:spacing w:before="80"/>
        <w:ind w:left="1736" w:right="-1" w:hanging="1736"/>
      </w:pPr>
      <w:r>
        <w:tab/>
        <w:t>(a)</w:t>
      </w:r>
      <w:r>
        <w:tab/>
        <w:t xml:space="preserve">if the supply is assured </w:t>
      </w:r>
      <w:r>
        <w:tab/>
        <w:t xml:space="preserve"> </w:t>
      </w:r>
      <w:r>
        <w:rPr>
          <w:szCs w:val="22"/>
        </w:rPr>
        <w:t>$154.92</w:t>
      </w:r>
    </w:p>
    <w:p>
      <w:pPr>
        <w:pStyle w:val="yMiscellaneousBody"/>
        <w:tabs>
          <w:tab w:val="left" w:pos="1134"/>
          <w:tab w:val="left" w:pos="1701"/>
          <w:tab w:val="right" w:leader="dot" w:pos="6804"/>
        </w:tabs>
        <w:spacing w:before="80"/>
        <w:ind w:left="1736" w:right="-1" w:hanging="1736"/>
      </w:pPr>
      <w:r>
        <w:tab/>
        <w:t>(b)</w:t>
      </w:r>
      <w:r>
        <w:tab/>
        <w:t xml:space="preserve">if the supply is not assured </w:t>
      </w:r>
      <w:r>
        <w:tab/>
        <w:t xml:space="preserve"> </w:t>
      </w:r>
      <w:r>
        <w:rPr>
          <w:szCs w:val="22"/>
        </w:rPr>
        <w:t>$116.72</w:t>
      </w:r>
    </w:p>
    <w:p>
      <w:pPr>
        <w:pStyle w:val="yHeading5"/>
      </w:pPr>
      <w:bookmarkStart w:id="817" w:name="_Toc10193923"/>
      <w:bookmarkStart w:id="818" w:name="_Toc10642304"/>
      <w:bookmarkStart w:id="819" w:name="_Toc12277696"/>
      <w:r>
        <w:rPr>
          <w:rStyle w:val="CharSClsNo"/>
        </w:rPr>
        <w:t>3</w:t>
      </w:r>
      <w:r>
        <w:t>.</w:t>
      </w:r>
      <w:r>
        <w:tab/>
        <w:t>Water supplied for watering stock or dust prevention</w:t>
      </w:r>
      <w:bookmarkEnd w:id="817"/>
      <w:bookmarkEnd w:id="818"/>
      <w:bookmarkEnd w:id="819"/>
    </w:p>
    <w:p>
      <w:pPr>
        <w:pStyle w:val="yMiscellaneousBody"/>
        <w:tabs>
          <w:tab w:val="left" w:pos="284"/>
          <w:tab w:val="right" w:leader="dot" w:pos="6804"/>
        </w:tabs>
        <w:ind w:left="851" w:hanging="851"/>
      </w:pPr>
      <w:r>
        <w:tab/>
      </w:r>
      <w:r>
        <w:tab/>
        <w:t xml:space="preserve">For land to which water is supplied from </w:t>
      </w:r>
      <w:r>
        <w:br/>
        <w:t xml:space="preserve">irrigation works of the Water Corporation in the </w:t>
      </w:r>
      <w:r>
        <w:br/>
        <w:t xml:space="preserve">Ord Irrigation District for the purpose of watering </w:t>
      </w:r>
      <w:r>
        <w:br/>
        <w:t xml:space="preserve">stock or dust prevention in feed lots, the charge </w:t>
      </w:r>
      <w:r>
        <w:br/>
        <w:t>is —</w:t>
      </w:r>
    </w:p>
    <w:p>
      <w:pPr>
        <w:pStyle w:val="yMiscellaneousBody"/>
        <w:tabs>
          <w:tab w:val="left" w:pos="1134"/>
          <w:tab w:val="left" w:pos="1701"/>
          <w:tab w:val="right" w:leader="dot" w:pos="6804"/>
        </w:tabs>
        <w:spacing w:before="80"/>
        <w:ind w:left="1736" w:right="-1" w:hanging="1736"/>
      </w:pPr>
      <w:r>
        <w:tab/>
        <w:t>(a)</w:t>
      </w:r>
      <w:r>
        <w:tab/>
        <w:t>if the maximum area used as a feed lot</w:t>
      </w:r>
      <w:r>
        <w:br/>
        <w:t xml:space="preserve">during the year is not more than 4 hectares </w:t>
      </w:r>
      <w:r>
        <w:tab/>
        <w:t xml:space="preserve"> </w:t>
      </w:r>
      <w:r>
        <w:rPr>
          <w:szCs w:val="22"/>
        </w:rPr>
        <w:t>$724.40</w:t>
      </w:r>
    </w:p>
    <w:p>
      <w:pPr>
        <w:pStyle w:val="yMiscellaneousBody"/>
        <w:tabs>
          <w:tab w:val="left" w:pos="1134"/>
          <w:tab w:val="left" w:pos="1701"/>
          <w:tab w:val="right" w:leader="dot" w:pos="6804"/>
        </w:tabs>
        <w:spacing w:before="80"/>
        <w:ind w:left="1736" w:right="-1" w:hanging="1736"/>
      </w:pPr>
      <w:r>
        <w:tab/>
        <w:t>(b)</w:t>
      </w:r>
      <w:r>
        <w:tab/>
        <w:t>if the maximum area used as a feed lot</w:t>
      </w:r>
      <w:r>
        <w:br/>
        <w:t xml:space="preserve">during the year is more than 4 hectares </w:t>
      </w:r>
      <w:r>
        <w:tab/>
        <w:t xml:space="preserve"> </w:t>
      </w:r>
      <w:r>
        <w:rPr>
          <w:szCs w:val="22"/>
        </w:rPr>
        <w:t>$724.40</w:t>
      </w:r>
    </w:p>
    <w:p>
      <w:pPr>
        <w:pStyle w:val="yMiscellaneousBody"/>
        <w:tabs>
          <w:tab w:val="left" w:pos="284"/>
          <w:tab w:val="left" w:pos="851"/>
          <w:tab w:val="right" w:pos="6804"/>
        </w:tabs>
        <w:spacing w:before="0"/>
        <w:ind w:left="851" w:hanging="851"/>
      </w:pPr>
      <w:r>
        <w:tab/>
      </w:r>
      <w:r>
        <w:tab/>
      </w:r>
      <w:r>
        <w:tab/>
        <w:t xml:space="preserve">plus </w:t>
      </w:r>
      <w:r>
        <w:rPr>
          <w:szCs w:val="22"/>
        </w:rPr>
        <w:t>$143.45</w:t>
      </w:r>
      <w:r>
        <w:br/>
      </w:r>
      <w:r>
        <w:tab/>
        <w:t xml:space="preserve">per ha </w:t>
      </w:r>
      <w:r>
        <w:br/>
      </w:r>
      <w:r>
        <w:tab/>
        <w:t xml:space="preserve">(pro rata) in </w:t>
      </w:r>
      <w:r>
        <w:br/>
      </w:r>
      <w:r>
        <w:tab/>
        <w:t>excess of 4 ha</w:t>
      </w:r>
    </w:p>
    <w:p>
      <w:pPr>
        <w:pStyle w:val="yHeading5"/>
      </w:pPr>
      <w:bookmarkStart w:id="820" w:name="_Toc10193924"/>
      <w:bookmarkStart w:id="821" w:name="_Toc10642305"/>
      <w:bookmarkStart w:id="822" w:name="_Toc12277697"/>
      <w:r>
        <w:rPr>
          <w:rStyle w:val="CharSClsNo"/>
        </w:rPr>
        <w:t>4</w:t>
      </w:r>
      <w:r>
        <w:t>.</w:t>
      </w:r>
      <w:r>
        <w:tab/>
        <w:t>Water supplied for purposes other than irrigation, watering stock or dust prevention</w:t>
      </w:r>
      <w:bookmarkEnd w:id="820"/>
      <w:bookmarkEnd w:id="821"/>
      <w:bookmarkEnd w:id="822"/>
    </w:p>
    <w:p>
      <w:pPr>
        <w:pStyle w:val="yMiscellaneousBody"/>
        <w:tabs>
          <w:tab w:val="left" w:pos="284"/>
          <w:tab w:val="right" w:leader="dot" w:pos="6804"/>
        </w:tabs>
        <w:ind w:left="851" w:right="2551" w:hanging="851"/>
      </w:pPr>
      <w:r>
        <w:tab/>
      </w:r>
      <w:r>
        <w:tab/>
        <w:t>For land to which water is supplied from irrigation works of the Water Corporation in the Ord Irrigation District for purposes other than irrigation, watering stock or dust prevention in feed lots, the charge, per supply point, is —</w:t>
      </w:r>
    </w:p>
    <w:p>
      <w:pPr>
        <w:pStyle w:val="yMiscellaneousBody"/>
        <w:tabs>
          <w:tab w:val="left" w:pos="1134"/>
          <w:tab w:val="left" w:pos="1701"/>
          <w:tab w:val="right" w:leader="dot" w:pos="6804"/>
        </w:tabs>
        <w:spacing w:before="80"/>
        <w:ind w:left="1736" w:right="-1" w:hanging="1736"/>
      </w:pPr>
      <w:r>
        <w:tab/>
        <w:t>(a)</w:t>
      </w:r>
      <w:r>
        <w:tab/>
        <w:t xml:space="preserve">if the supply is assured </w:t>
      </w:r>
      <w:r>
        <w:tab/>
        <w:t xml:space="preserve"> </w:t>
      </w:r>
      <w:r>
        <w:rPr>
          <w:szCs w:val="22"/>
        </w:rPr>
        <w:t>$270.01</w:t>
      </w:r>
    </w:p>
    <w:p>
      <w:pPr>
        <w:pStyle w:val="yMiscellaneousBody"/>
        <w:tabs>
          <w:tab w:val="left" w:pos="1134"/>
          <w:tab w:val="left" w:pos="1701"/>
          <w:tab w:val="right" w:leader="dot" w:pos="6804"/>
        </w:tabs>
        <w:spacing w:before="80"/>
        <w:ind w:left="1736" w:right="-1" w:hanging="1736"/>
        <w:rPr>
          <w:szCs w:val="22"/>
        </w:rPr>
      </w:pPr>
      <w:r>
        <w:tab/>
        <w:t>(b)</w:t>
      </w:r>
      <w:r>
        <w:tab/>
        <w:t xml:space="preserve">if the supply is not assured </w:t>
      </w:r>
      <w:r>
        <w:tab/>
        <w:t xml:space="preserve"> </w:t>
      </w:r>
      <w:r>
        <w:rPr>
          <w:szCs w:val="22"/>
        </w:rPr>
        <w:t>$197.47</w:t>
      </w:r>
    </w:p>
    <w:p>
      <w:pPr>
        <w:pStyle w:val="yFootnotesection"/>
      </w:pPr>
      <w:bookmarkStart w:id="823" w:name="_Toc10034308"/>
      <w:bookmarkStart w:id="824" w:name="_Toc10034468"/>
      <w:bookmarkStart w:id="825" w:name="_Toc10107788"/>
      <w:bookmarkStart w:id="826" w:name="_Toc10107948"/>
      <w:bookmarkStart w:id="827" w:name="_Toc10121255"/>
      <w:bookmarkStart w:id="828" w:name="_Toc10124640"/>
      <w:bookmarkStart w:id="829" w:name="_Toc10193925"/>
      <w:bookmarkStart w:id="830" w:name="_Toc10203712"/>
      <w:bookmarkStart w:id="831" w:name="_Toc10203868"/>
      <w:bookmarkStart w:id="832" w:name="_Toc10535022"/>
      <w:bookmarkStart w:id="833" w:name="_Toc10535895"/>
      <w:bookmarkStart w:id="834" w:name="_Toc10642306"/>
      <w:r>
        <w:tab/>
        <w:t>[Schedule 6 inserted: Gazette 14 Jun 2019 p. 1978</w:t>
      </w:r>
      <w:r>
        <w:noBreakHyphen/>
        <w:t>9.]</w:t>
      </w:r>
    </w:p>
    <w:p>
      <w:pPr>
        <w:pStyle w:val="yScheduleHeading"/>
      </w:pPr>
      <w:bookmarkStart w:id="835" w:name="_Toc11835793"/>
      <w:bookmarkStart w:id="836" w:name="_Toc12273870"/>
      <w:bookmarkStart w:id="837" w:name="_Toc12277698"/>
      <w:r>
        <w:rPr>
          <w:rStyle w:val="CharSchNo"/>
        </w:rPr>
        <w:t>Schedule 7</w:t>
      </w:r>
      <w:r>
        <w:t> — </w:t>
      </w:r>
      <w:r>
        <w:rPr>
          <w:rStyle w:val="CharSchText"/>
        </w:rPr>
        <w:t>Miscellaneous charges for the Water Corporation</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yShoulderClause"/>
      </w:pPr>
      <w:r>
        <w:t>[r.  51]</w:t>
      </w:r>
    </w:p>
    <w:p>
      <w:pPr>
        <w:pStyle w:val="yFootnoteheading"/>
        <w:spacing w:after="120"/>
      </w:pPr>
      <w:bookmarkStart w:id="838" w:name="_Toc10193926"/>
      <w:bookmarkStart w:id="839" w:name="_Toc10642307"/>
      <w:r>
        <w:tab/>
        <w:t>[Heading inserted: Gazette 14 Jun 2019 p. 1979.]</w:t>
      </w:r>
    </w:p>
    <w:p>
      <w:pPr>
        <w:pStyle w:val="yHeading5"/>
      </w:pPr>
      <w:bookmarkStart w:id="840" w:name="_Toc12277699"/>
      <w:r>
        <w:rPr>
          <w:rStyle w:val="CharSClsNo"/>
        </w:rPr>
        <w:t>1</w:t>
      </w:r>
      <w:r>
        <w:t>.</w:t>
      </w:r>
      <w:r>
        <w:tab/>
        <w:t>Meters: multi</w:t>
      </w:r>
      <w:r>
        <w:noBreakHyphen/>
        <w:t>unit developments</w:t>
      </w:r>
      <w:bookmarkEnd w:id="838"/>
      <w:bookmarkEnd w:id="839"/>
      <w:bookmarkEnd w:id="840"/>
    </w:p>
    <w:p>
      <w:pPr>
        <w:pStyle w:val="yMiscellaneousBody"/>
        <w:tabs>
          <w:tab w:val="left" w:pos="284"/>
          <w:tab w:val="right" w:leader="dot" w:pos="6804"/>
        </w:tabs>
        <w:ind w:left="851" w:right="2551" w:hanging="851"/>
      </w:pPr>
      <w:r>
        <w:tab/>
      </w:r>
      <w:r>
        <w:tab/>
        <w:t>For supplying and connecting a meter to a pipe supplying water to a unit in a multi</w:t>
      </w:r>
      <w:r>
        <w:noBreakHyphen/>
        <w:t xml:space="preserve">unit development under the </w:t>
      </w:r>
      <w:r>
        <w:rPr>
          <w:i/>
        </w:rPr>
        <w:t>Water Services Regulations 2013</w:t>
      </w:r>
      <w:r>
        <w:t xml:space="preserve"> </w:t>
      </w:r>
      <w:r>
        <w:rPr>
          <w:szCs w:val="22"/>
        </w:rPr>
        <w:t>regulation 23(5)</w:t>
      </w:r>
      <w:r>
        <w:t xml:space="preserve">, the charge is </w:t>
      </w:r>
      <w:r>
        <w:tab/>
        <w:t xml:space="preserve"> </w:t>
      </w:r>
      <w:r>
        <w:rPr>
          <w:szCs w:val="22"/>
        </w:rPr>
        <w:t>$367.12</w:t>
      </w:r>
    </w:p>
    <w:p>
      <w:pPr>
        <w:pStyle w:val="yHeading5"/>
      </w:pPr>
      <w:bookmarkStart w:id="841" w:name="_Toc10193927"/>
      <w:bookmarkStart w:id="842" w:name="_Toc10642308"/>
      <w:bookmarkStart w:id="843" w:name="_Toc12277700"/>
      <w:r>
        <w:rPr>
          <w:rStyle w:val="CharSClsNo"/>
        </w:rPr>
        <w:t>2</w:t>
      </w:r>
      <w:r>
        <w:t>.</w:t>
      </w:r>
      <w:r>
        <w:tab/>
        <w:t>Assessing meters: multi</w:t>
      </w:r>
      <w:r>
        <w:noBreakHyphen/>
        <w:t>unit developments</w:t>
      </w:r>
      <w:bookmarkEnd w:id="841"/>
      <w:bookmarkEnd w:id="842"/>
      <w:bookmarkEnd w:id="843"/>
    </w:p>
    <w:p>
      <w:pPr>
        <w:pStyle w:val="yMiscellaneousBody"/>
        <w:tabs>
          <w:tab w:val="left" w:pos="284"/>
          <w:tab w:val="right" w:leader="dot" w:pos="6804"/>
        </w:tabs>
        <w:ind w:left="851" w:right="2551" w:hanging="851"/>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$260.73</w:t>
      </w:r>
    </w:p>
    <w:p>
      <w:pPr>
        <w:pStyle w:val="yHeading5"/>
      </w:pPr>
      <w:bookmarkStart w:id="844" w:name="_Toc10193928"/>
      <w:bookmarkStart w:id="845" w:name="_Toc10642309"/>
      <w:bookmarkStart w:id="846" w:name="_Toc12277701"/>
      <w:r>
        <w:rPr>
          <w:rStyle w:val="CharSClsNo"/>
        </w:rPr>
        <w:t>3</w:t>
      </w:r>
      <w:r>
        <w:t>.</w:t>
      </w:r>
      <w:r>
        <w:tab/>
        <w:t>Testing meters</w:t>
      </w:r>
      <w:bookmarkEnd w:id="844"/>
      <w:bookmarkEnd w:id="845"/>
      <w:bookmarkEnd w:id="846"/>
    </w:p>
    <w:p>
      <w:pPr>
        <w:pStyle w:val="yMiscellaneousBody"/>
        <w:tabs>
          <w:tab w:val="left" w:pos="284"/>
          <w:tab w:val="right" w:leader="dot" w:pos="6804"/>
        </w:tabs>
        <w:ind w:left="851" w:right="1984" w:hanging="851"/>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left" w:pos="1134"/>
          <w:tab w:val="left" w:pos="1701"/>
          <w:tab w:val="right" w:leader="dot" w:pos="6804"/>
        </w:tabs>
        <w:spacing w:before="80"/>
        <w:ind w:left="1736" w:right="-1" w:hanging="1736"/>
      </w:pPr>
      <w:r>
        <w:tab/>
        <w:t>20</w:t>
      </w:r>
      <w:r>
        <w:noBreakHyphen/>
        <w:t xml:space="preserve">25 mm </w:t>
      </w:r>
      <w:r>
        <w:tab/>
        <w:t xml:space="preserve"> </w:t>
      </w:r>
      <w:r>
        <w:rPr>
          <w:szCs w:val="22"/>
        </w:rPr>
        <w:t>$111.27</w:t>
      </w:r>
    </w:p>
    <w:p>
      <w:pPr>
        <w:pStyle w:val="yMiscellaneousBody"/>
        <w:tabs>
          <w:tab w:val="left" w:pos="1134"/>
          <w:tab w:val="left" w:pos="1701"/>
          <w:tab w:val="right" w:leader="dot" w:pos="6804"/>
        </w:tabs>
        <w:spacing w:before="80"/>
        <w:ind w:left="1736" w:right="-1" w:hanging="1736"/>
      </w:pPr>
      <w:r>
        <w:tab/>
        <w:t xml:space="preserve">more than 25 mm </w:t>
      </w:r>
      <w:r>
        <w:tab/>
        <w:t xml:space="preserve"> an amount</w:t>
      </w:r>
    </w:p>
    <w:p>
      <w:pPr>
        <w:pStyle w:val="yMiscellaneousBody"/>
        <w:tabs>
          <w:tab w:val="left" w:pos="284"/>
          <w:tab w:val="left" w:pos="851"/>
          <w:tab w:val="right" w:pos="6804"/>
        </w:tabs>
        <w:spacing w:before="0"/>
        <w:ind w:left="851" w:hanging="851"/>
      </w:pPr>
      <w:r>
        <w:tab/>
      </w:r>
      <w:r>
        <w:tab/>
      </w:r>
      <w:r>
        <w:tab/>
        <w:t>equal to the</w:t>
      </w:r>
      <w:r>
        <w:br/>
      </w:r>
      <w:r>
        <w:tab/>
        <w:t>cost of testing</w:t>
      </w:r>
    </w:p>
    <w:p>
      <w:pPr>
        <w:pStyle w:val="yHeading5"/>
      </w:pPr>
      <w:bookmarkStart w:id="847" w:name="_Toc10193929"/>
      <w:bookmarkStart w:id="848" w:name="_Toc10642310"/>
      <w:bookmarkStart w:id="849" w:name="_Toc12277702"/>
      <w:r>
        <w:rPr>
          <w:rStyle w:val="CharSClsNo"/>
        </w:rPr>
        <w:t>4</w:t>
      </w:r>
      <w:r>
        <w:t>.</w:t>
      </w:r>
      <w:r>
        <w:tab/>
        <w:t>Installing water supply connection</w:t>
      </w:r>
      <w:bookmarkEnd w:id="847"/>
      <w:bookmarkEnd w:id="848"/>
      <w:bookmarkEnd w:id="849"/>
    </w:p>
    <w:p>
      <w:pPr>
        <w:pStyle w:val="yMiscellaneousBody"/>
        <w:tabs>
          <w:tab w:val="left" w:pos="284"/>
          <w:tab w:val="right" w:leader="dot" w:pos="6804"/>
        </w:tabs>
        <w:ind w:left="851" w:right="1984" w:hanging="851"/>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left" w:pos="1134"/>
          <w:tab w:val="left" w:pos="1701"/>
          <w:tab w:val="right" w:leader="dot" w:pos="6804"/>
        </w:tabs>
        <w:spacing w:before="80"/>
        <w:ind w:left="1736" w:right="-1" w:hanging="1736"/>
      </w:pPr>
      <w:r>
        <w:tab/>
        <w:t xml:space="preserve">20 mm </w:t>
      </w:r>
      <w:r>
        <w:tab/>
        <w:t xml:space="preserve"> $1 242.62</w:t>
      </w:r>
    </w:p>
    <w:p>
      <w:pPr>
        <w:pStyle w:val="yMiscellaneousBody"/>
        <w:tabs>
          <w:tab w:val="left" w:pos="1134"/>
          <w:tab w:val="left" w:pos="1701"/>
          <w:tab w:val="right" w:leader="dot" w:pos="6804"/>
        </w:tabs>
        <w:spacing w:before="80"/>
        <w:ind w:left="1736" w:right="-1" w:hanging="1736"/>
      </w:pPr>
      <w:r>
        <w:tab/>
        <w:t xml:space="preserve">25 mm </w:t>
      </w:r>
      <w:r>
        <w:tab/>
        <w:t xml:space="preserve"> $1 259.00</w:t>
      </w:r>
    </w:p>
    <w:p>
      <w:pPr>
        <w:pStyle w:val="yMiscellaneousBody"/>
        <w:tabs>
          <w:tab w:val="left" w:pos="1134"/>
          <w:tab w:val="left" w:pos="1701"/>
          <w:tab w:val="right" w:leader="dot" w:pos="6804"/>
        </w:tabs>
        <w:spacing w:before="80"/>
        <w:ind w:left="1736" w:right="-1" w:hanging="1736"/>
      </w:pPr>
      <w:r>
        <w:tab/>
        <w:t xml:space="preserve">40 mm </w:t>
      </w:r>
      <w:r>
        <w:tab/>
        <w:t xml:space="preserve"> $1 832.84</w:t>
      </w:r>
    </w:p>
    <w:p>
      <w:pPr>
        <w:pStyle w:val="yMiscellaneousBody"/>
        <w:tabs>
          <w:tab w:val="left" w:pos="1134"/>
          <w:tab w:val="left" w:pos="1701"/>
          <w:tab w:val="right" w:leader="dot" w:pos="6804"/>
        </w:tabs>
        <w:spacing w:before="80"/>
        <w:ind w:left="1736" w:right="-1" w:hanging="1736"/>
      </w:pPr>
      <w:r>
        <w:tab/>
        <w:t xml:space="preserve">50 mm </w:t>
      </w:r>
      <w:r>
        <w:tab/>
        <w:t xml:space="preserve"> $2 264.87</w:t>
      </w:r>
    </w:p>
    <w:p>
      <w:pPr>
        <w:pStyle w:val="yMiscellaneousBody"/>
        <w:tabs>
          <w:tab w:val="left" w:pos="1134"/>
          <w:tab w:val="left" w:pos="1701"/>
          <w:tab w:val="right" w:leader="dot" w:pos="6804"/>
        </w:tabs>
        <w:spacing w:before="80"/>
        <w:ind w:left="1736" w:right="-1" w:hanging="1736"/>
      </w:pPr>
      <w:r>
        <w:tab/>
        <w:t>80</w:t>
      </w:r>
      <w:r>
        <w:noBreakHyphen/>
        <w:t xml:space="preserve">100 mm </w:t>
      </w:r>
      <w:r>
        <w:tab/>
        <w:t xml:space="preserve"> $4 385.71</w:t>
      </w:r>
    </w:p>
    <w:p>
      <w:pPr>
        <w:pStyle w:val="yMiscellaneousBody"/>
        <w:tabs>
          <w:tab w:val="left" w:pos="1134"/>
          <w:tab w:val="left" w:pos="1701"/>
          <w:tab w:val="right" w:leader="dot" w:pos="6804"/>
        </w:tabs>
        <w:spacing w:before="80"/>
        <w:ind w:left="1736" w:right="-1" w:hanging="1736"/>
      </w:pPr>
      <w:r>
        <w:tab/>
        <w:t xml:space="preserve">150 mm </w:t>
      </w:r>
      <w:r>
        <w:tab/>
        <w:t xml:space="preserve"> $5 235.23</w:t>
      </w:r>
    </w:p>
    <w:p>
      <w:pPr>
        <w:pStyle w:val="yMiscellaneousBody"/>
        <w:tabs>
          <w:tab w:val="left" w:pos="1134"/>
          <w:tab w:val="left" w:pos="1701"/>
          <w:tab w:val="right" w:leader="dot" w:pos="6804"/>
        </w:tabs>
        <w:spacing w:before="80"/>
        <w:ind w:left="1736" w:right="-1" w:hanging="1736"/>
      </w:pPr>
      <w:r>
        <w:tab/>
        <w:t xml:space="preserve">more than 150 mm </w:t>
      </w:r>
      <w:r>
        <w:tab/>
        <w:t xml:space="preserve"> an amount</w:t>
      </w:r>
    </w:p>
    <w:p>
      <w:pPr>
        <w:pStyle w:val="yMiscellaneousBody"/>
        <w:tabs>
          <w:tab w:val="left" w:pos="284"/>
          <w:tab w:val="left" w:pos="851"/>
          <w:tab w:val="right" w:pos="6804"/>
        </w:tabs>
        <w:spacing w:before="0"/>
        <w:ind w:left="851" w:hanging="851"/>
      </w:pPr>
      <w:r>
        <w:tab/>
      </w:r>
      <w:r>
        <w:tab/>
      </w:r>
      <w:r>
        <w:tab/>
        <w:t>equal to the</w:t>
      </w:r>
      <w:r>
        <w:br/>
      </w:r>
      <w:r>
        <w:tab/>
        <w:t>cost of</w:t>
      </w:r>
      <w:r>
        <w:br/>
      </w:r>
      <w:r>
        <w:tab/>
        <w:t>installation</w:t>
      </w:r>
    </w:p>
    <w:p>
      <w:pPr>
        <w:pStyle w:val="yMiscellaneousBody"/>
        <w:tabs>
          <w:tab w:val="left" w:pos="284"/>
          <w:tab w:val="right" w:leader="dot" w:pos="6804"/>
        </w:tabs>
        <w:ind w:left="851" w:right="1984" w:hanging="851"/>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left" w:pos="284"/>
          <w:tab w:val="left" w:pos="851"/>
          <w:tab w:val="right" w:pos="6804"/>
        </w:tabs>
        <w:spacing w:before="0"/>
        <w:ind w:left="851" w:hanging="851"/>
      </w:pPr>
      <w:r>
        <w:tab/>
      </w:r>
      <w:r>
        <w:tab/>
      </w:r>
      <w:r>
        <w:tab/>
        <w:t>equal to the</w:t>
      </w:r>
      <w:r>
        <w:br/>
      </w:r>
      <w:r>
        <w:tab/>
        <w:t>cost of</w:t>
      </w:r>
      <w:r>
        <w:br/>
      </w:r>
      <w:r>
        <w:tab/>
        <w:t>installation</w:t>
      </w:r>
    </w:p>
    <w:p>
      <w:pPr>
        <w:pStyle w:val="yHeading5"/>
      </w:pPr>
      <w:bookmarkStart w:id="850" w:name="_Toc10193930"/>
      <w:bookmarkStart w:id="851" w:name="_Toc10642311"/>
      <w:bookmarkStart w:id="852" w:name="_Toc12277703"/>
      <w:r>
        <w:rPr>
          <w:rStyle w:val="CharSClsNo"/>
        </w:rPr>
        <w:t>5</w:t>
      </w:r>
      <w:r>
        <w:t>.</w:t>
      </w:r>
      <w:r>
        <w:tab/>
        <w:t>Activating water supply connection</w:t>
      </w:r>
      <w:bookmarkEnd w:id="850"/>
      <w:bookmarkEnd w:id="851"/>
      <w:bookmarkEnd w:id="852"/>
    </w:p>
    <w:p>
      <w:pPr>
        <w:pStyle w:val="yMiscellaneousBody"/>
        <w:tabs>
          <w:tab w:val="left" w:pos="284"/>
          <w:tab w:val="right" w:leader="dot" w:pos="6804"/>
        </w:tabs>
        <w:ind w:left="851" w:right="1984" w:hanging="851"/>
      </w:pPr>
      <w:r>
        <w:tab/>
        <w:t>(1)</w:t>
      </w:r>
      <w:r>
        <w:tab/>
        <w:t xml:space="preserve">For activating a water supply connection in relation to land in the metropolitan area, whether or not at the same time as installing the connection, the charge is </w:t>
      </w:r>
      <w:r>
        <w:tab/>
        <w:t xml:space="preserve"> </w:t>
      </w:r>
      <w:r>
        <w:rPr>
          <w:szCs w:val="22"/>
        </w:rPr>
        <w:t>$139.09</w:t>
      </w:r>
    </w:p>
    <w:p>
      <w:pPr>
        <w:pStyle w:val="yMiscellaneousBody"/>
        <w:tabs>
          <w:tab w:val="left" w:pos="284"/>
          <w:tab w:val="right" w:leader="dot" w:pos="6804"/>
        </w:tabs>
        <w:ind w:left="851" w:right="1984" w:hanging="851"/>
      </w:pPr>
      <w:r>
        <w:tab/>
        <w:t>(2)</w:t>
      </w:r>
      <w:r>
        <w:tab/>
        <w:t>The charge under this item covers the supply of a meter, stopcock and, if required, a temporary standpipe.</w:t>
      </w:r>
    </w:p>
    <w:p>
      <w:pPr>
        <w:pStyle w:val="yHeading5"/>
      </w:pPr>
      <w:bookmarkStart w:id="853" w:name="_Toc10193931"/>
      <w:bookmarkStart w:id="854" w:name="_Toc10642312"/>
      <w:bookmarkStart w:id="855" w:name="_Toc12277704"/>
      <w:r>
        <w:rPr>
          <w:rStyle w:val="CharSClsNo"/>
        </w:rPr>
        <w:t>6</w:t>
      </w:r>
      <w:r>
        <w:t>.</w:t>
      </w:r>
      <w:r>
        <w:tab/>
        <w:t>Disconnecting water supply connection</w:t>
      </w:r>
      <w:bookmarkEnd w:id="853"/>
      <w:bookmarkEnd w:id="854"/>
      <w:bookmarkEnd w:id="855"/>
    </w:p>
    <w:p>
      <w:pPr>
        <w:pStyle w:val="yMiscellaneousBody"/>
        <w:tabs>
          <w:tab w:val="left" w:pos="284"/>
          <w:tab w:val="right" w:leader="dot" w:pos="6804"/>
        </w:tabs>
        <w:ind w:left="851" w:right="1984" w:hanging="851"/>
      </w:pPr>
      <w:r>
        <w:tab/>
        <w:t>(1)</w:t>
      </w:r>
      <w:r>
        <w:tab/>
        <w:t xml:space="preserve">For disconnecting a water supply connection to land, the charge is </w:t>
      </w:r>
      <w:r>
        <w:tab/>
        <w:t xml:space="preserve"> </w:t>
      </w:r>
      <w:r>
        <w:rPr>
          <w:szCs w:val="22"/>
        </w:rPr>
        <w:t>$784.96</w:t>
      </w:r>
    </w:p>
    <w:p>
      <w:pPr>
        <w:pStyle w:val="yMiscellaneousBody"/>
        <w:tabs>
          <w:tab w:val="left" w:pos="284"/>
          <w:tab w:val="right" w:leader="dot" w:pos="6804"/>
        </w:tabs>
        <w:ind w:left="851" w:right="1984" w:hanging="851"/>
      </w:pPr>
      <w:r>
        <w:tab/>
        <w:t>(2)</w:t>
      </w:r>
      <w:r>
        <w:tab/>
        <w:t>For the purposes of this item, cutting off or reducing the rate of flow of a supply of water under section 95 of the Act is not disconnecting a water supply connection.</w:t>
      </w:r>
    </w:p>
    <w:p>
      <w:pPr>
        <w:pStyle w:val="yHeading5"/>
      </w:pPr>
      <w:bookmarkStart w:id="856" w:name="_Toc10193932"/>
      <w:bookmarkStart w:id="857" w:name="_Toc10642313"/>
      <w:bookmarkStart w:id="858" w:name="_Toc12277705"/>
      <w:r>
        <w:rPr>
          <w:rStyle w:val="CharSClsNo"/>
        </w:rPr>
        <w:t>7</w:t>
      </w:r>
      <w:r>
        <w:t>.</w:t>
      </w:r>
      <w:r>
        <w:tab/>
        <w:t>Reconnecting water supply connection</w:t>
      </w:r>
      <w:bookmarkEnd w:id="856"/>
      <w:bookmarkEnd w:id="857"/>
      <w:bookmarkEnd w:id="858"/>
    </w:p>
    <w:p>
      <w:pPr>
        <w:pStyle w:val="yMiscellaneousBody"/>
        <w:tabs>
          <w:tab w:val="left" w:pos="284"/>
          <w:tab w:val="right" w:leader="dot" w:pos="6804"/>
        </w:tabs>
        <w:ind w:left="851" w:right="1984" w:hanging="851"/>
      </w:pPr>
      <w:r>
        <w:tab/>
        <w:t>(1)</w:t>
      </w:r>
      <w:r>
        <w:tab/>
        <w:t xml:space="preserve">For reconnecting a water supply connection to land, the charge is </w:t>
      </w:r>
      <w:r>
        <w:tab/>
        <w:t xml:space="preserve"> </w:t>
      </w:r>
      <w:r>
        <w:rPr>
          <w:szCs w:val="22"/>
        </w:rPr>
        <w:t>$784.96</w:t>
      </w:r>
    </w:p>
    <w:p>
      <w:pPr>
        <w:pStyle w:val="yMiscellaneousBody"/>
        <w:tabs>
          <w:tab w:val="left" w:pos="284"/>
          <w:tab w:val="right" w:leader="dot" w:pos="6804"/>
        </w:tabs>
        <w:ind w:left="851" w:right="1984" w:hanging="851"/>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859" w:name="_Toc10193933"/>
      <w:bookmarkStart w:id="860" w:name="_Toc10642314"/>
      <w:bookmarkStart w:id="861" w:name="_Toc12277706"/>
      <w:r>
        <w:rPr>
          <w:rStyle w:val="CharSClsNo"/>
        </w:rPr>
        <w:t>8</w:t>
      </w:r>
      <w:r>
        <w:t>.</w:t>
      </w:r>
      <w:r>
        <w:tab/>
        <w:t>Relocating water supply connection</w:t>
      </w:r>
      <w:bookmarkEnd w:id="859"/>
      <w:bookmarkEnd w:id="860"/>
      <w:bookmarkEnd w:id="861"/>
    </w:p>
    <w:p>
      <w:pPr>
        <w:pStyle w:val="yMiscellaneousBody"/>
        <w:tabs>
          <w:tab w:val="left" w:pos="284"/>
          <w:tab w:val="right" w:leader="dot" w:pos="6804"/>
        </w:tabs>
        <w:ind w:left="851" w:right="1984" w:hanging="851"/>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left" w:pos="1134"/>
          <w:tab w:val="left" w:pos="1701"/>
          <w:tab w:val="right" w:leader="dot" w:pos="6804"/>
        </w:tabs>
        <w:spacing w:before="80"/>
        <w:ind w:left="1736" w:right="-1" w:hanging="1736"/>
      </w:pPr>
      <w:r>
        <w:tab/>
        <w:t xml:space="preserve">20 mm </w:t>
      </w:r>
      <w:r>
        <w:tab/>
        <w:t xml:space="preserve"> $469.12</w:t>
      </w:r>
    </w:p>
    <w:p>
      <w:pPr>
        <w:pStyle w:val="yMiscellaneousBody"/>
        <w:tabs>
          <w:tab w:val="left" w:pos="1134"/>
          <w:tab w:val="left" w:pos="1701"/>
          <w:tab w:val="right" w:leader="dot" w:pos="6804"/>
        </w:tabs>
        <w:spacing w:before="80"/>
        <w:ind w:left="1736" w:right="-1" w:hanging="1736"/>
      </w:pPr>
      <w:r>
        <w:tab/>
        <w:t xml:space="preserve">25 mm </w:t>
      </w:r>
      <w:r>
        <w:tab/>
        <w:t xml:space="preserve"> $535.11</w:t>
      </w:r>
    </w:p>
    <w:p>
      <w:pPr>
        <w:pStyle w:val="yMiscellaneousBody"/>
        <w:tabs>
          <w:tab w:val="left" w:pos="1134"/>
          <w:tab w:val="left" w:pos="1701"/>
          <w:tab w:val="right" w:leader="dot" w:pos="6804"/>
        </w:tabs>
        <w:spacing w:before="80"/>
        <w:ind w:left="1736" w:right="-1" w:hanging="1736"/>
      </w:pPr>
      <w:r>
        <w:tab/>
        <w:t xml:space="preserve">40 mm </w:t>
      </w:r>
      <w:r>
        <w:tab/>
        <w:t xml:space="preserve"> $763.68</w:t>
      </w:r>
    </w:p>
    <w:p>
      <w:pPr>
        <w:pStyle w:val="yMiscellaneousBody"/>
        <w:tabs>
          <w:tab w:val="left" w:pos="1134"/>
          <w:tab w:val="left" w:pos="1701"/>
          <w:tab w:val="right" w:leader="dot" w:pos="6804"/>
        </w:tabs>
        <w:spacing w:before="80"/>
        <w:ind w:left="1736" w:right="-1" w:hanging="1736"/>
      </w:pPr>
      <w:r>
        <w:tab/>
        <w:t xml:space="preserve">50 mm </w:t>
      </w:r>
      <w:r>
        <w:tab/>
        <w:t xml:space="preserve"> $895.13</w:t>
      </w:r>
    </w:p>
    <w:p>
      <w:pPr>
        <w:pStyle w:val="yMiscellaneousBody"/>
        <w:tabs>
          <w:tab w:val="left" w:pos="1134"/>
          <w:tab w:val="left" w:pos="1701"/>
          <w:tab w:val="right" w:leader="dot" w:pos="6804"/>
        </w:tabs>
        <w:spacing w:before="80"/>
        <w:ind w:left="1736" w:right="-1" w:hanging="1736"/>
      </w:pPr>
      <w:r>
        <w:tab/>
        <w:t xml:space="preserve">more than 50 mm </w:t>
      </w:r>
      <w:r>
        <w:tab/>
        <w:t xml:space="preserve"> an amount</w:t>
      </w:r>
    </w:p>
    <w:p>
      <w:pPr>
        <w:pStyle w:val="yMiscellaneousBody"/>
        <w:tabs>
          <w:tab w:val="left" w:pos="284"/>
          <w:tab w:val="left" w:pos="851"/>
          <w:tab w:val="right" w:pos="6804"/>
        </w:tabs>
        <w:spacing w:before="0"/>
        <w:ind w:left="851" w:hanging="851"/>
      </w:pPr>
      <w:r>
        <w:tab/>
      </w:r>
      <w:r>
        <w:tab/>
      </w:r>
      <w:r>
        <w:tab/>
        <w:t xml:space="preserve"> equal to</w:t>
      </w:r>
      <w:r>
        <w:br/>
      </w:r>
      <w:r>
        <w:tab/>
        <w:t xml:space="preserve"> the cost of</w:t>
      </w:r>
      <w:r>
        <w:br/>
      </w:r>
      <w:r>
        <w:tab/>
        <w:t xml:space="preserve"> relocation</w:t>
      </w:r>
    </w:p>
    <w:p>
      <w:pPr>
        <w:pStyle w:val="yMiscellaneousBody"/>
        <w:tabs>
          <w:tab w:val="left" w:pos="284"/>
          <w:tab w:val="right" w:leader="dot" w:pos="6804"/>
        </w:tabs>
        <w:ind w:left="851" w:right="1984" w:hanging="851"/>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left" w:pos="1134"/>
          <w:tab w:val="left" w:pos="1701"/>
          <w:tab w:val="right" w:leader="dot" w:pos="6804"/>
        </w:tabs>
        <w:spacing w:before="80"/>
        <w:ind w:left="1736" w:right="-1" w:hanging="1736"/>
      </w:pPr>
      <w:r>
        <w:tab/>
        <w:t xml:space="preserve">20 mm </w:t>
      </w:r>
      <w:r>
        <w:tab/>
        <w:t xml:space="preserve"> $1 380.08</w:t>
      </w:r>
    </w:p>
    <w:p>
      <w:pPr>
        <w:pStyle w:val="yMiscellaneousBody"/>
        <w:tabs>
          <w:tab w:val="left" w:pos="1134"/>
          <w:tab w:val="left" w:pos="1701"/>
          <w:tab w:val="right" w:leader="dot" w:pos="6804"/>
        </w:tabs>
        <w:spacing w:before="80"/>
        <w:ind w:left="1736" w:right="-1" w:hanging="1736"/>
      </w:pPr>
      <w:r>
        <w:tab/>
        <w:t xml:space="preserve">25 mm </w:t>
      </w:r>
      <w:r>
        <w:tab/>
        <w:t xml:space="preserve"> $1 396.44</w:t>
      </w:r>
    </w:p>
    <w:p>
      <w:pPr>
        <w:pStyle w:val="yMiscellaneousBody"/>
        <w:tabs>
          <w:tab w:val="left" w:pos="1134"/>
          <w:tab w:val="left" w:pos="1701"/>
          <w:tab w:val="right" w:leader="dot" w:pos="6804"/>
        </w:tabs>
        <w:spacing w:before="80"/>
        <w:ind w:left="1736" w:right="-1" w:hanging="1736"/>
      </w:pPr>
      <w:r>
        <w:tab/>
        <w:t xml:space="preserve">40 mm </w:t>
      </w:r>
      <w:r>
        <w:tab/>
        <w:t xml:space="preserve"> $1 971.38</w:t>
      </w:r>
    </w:p>
    <w:p>
      <w:pPr>
        <w:pStyle w:val="yMiscellaneousBody"/>
        <w:tabs>
          <w:tab w:val="left" w:pos="1134"/>
          <w:tab w:val="left" w:pos="1701"/>
          <w:tab w:val="right" w:leader="dot" w:pos="6804"/>
        </w:tabs>
        <w:spacing w:before="80"/>
        <w:ind w:left="1736" w:right="-1" w:hanging="1736"/>
      </w:pPr>
      <w:r>
        <w:tab/>
        <w:t xml:space="preserve">50 mm </w:t>
      </w:r>
      <w:r>
        <w:tab/>
        <w:t xml:space="preserve"> $2 402.88</w:t>
      </w:r>
    </w:p>
    <w:p>
      <w:pPr>
        <w:pStyle w:val="yMiscellaneousBody"/>
        <w:tabs>
          <w:tab w:val="left" w:pos="1134"/>
          <w:tab w:val="left" w:pos="1701"/>
          <w:tab w:val="right" w:leader="dot" w:pos="6804"/>
        </w:tabs>
        <w:spacing w:before="80"/>
        <w:ind w:left="1736" w:right="-1" w:hanging="1736"/>
      </w:pPr>
      <w:r>
        <w:tab/>
        <w:t>80</w:t>
      </w:r>
      <w:r>
        <w:noBreakHyphen/>
        <w:t xml:space="preserve">100 mm </w:t>
      </w:r>
      <w:r>
        <w:tab/>
        <w:t xml:space="preserve"> $4 524.79</w:t>
      </w:r>
    </w:p>
    <w:p>
      <w:pPr>
        <w:pStyle w:val="yMiscellaneousBody"/>
        <w:tabs>
          <w:tab w:val="left" w:pos="1134"/>
          <w:tab w:val="left" w:pos="1701"/>
          <w:tab w:val="right" w:leader="dot" w:pos="6804"/>
        </w:tabs>
        <w:spacing w:before="80"/>
        <w:ind w:left="1736" w:right="-1" w:hanging="1736"/>
      </w:pPr>
      <w:r>
        <w:tab/>
        <w:t xml:space="preserve">150 mm </w:t>
      </w:r>
      <w:r>
        <w:tab/>
        <w:t xml:space="preserve"> $5 373.56</w:t>
      </w:r>
    </w:p>
    <w:p>
      <w:pPr>
        <w:pStyle w:val="yMiscellaneousBody"/>
        <w:tabs>
          <w:tab w:val="left" w:pos="1134"/>
          <w:tab w:val="left" w:pos="1701"/>
          <w:tab w:val="right" w:leader="dot" w:pos="6804"/>
        </w:tabs>
        <w:spacing w:before="80"/>
        <w:ind w:left="1736" w:right="-1" w:hanging="1736"/>
      </w:pPr>
      <w:r>
        <w:tab/>
        <w:t xml:space="preserve">more than 150 mm </w:t>
      </w:r>
      <w:r>
        <w:tab/>
        <w:t xml:space="preserve"> an amount</w:t>
      </w:r>
    </w:p>
    <w:p>
      <w:pPr>
        <w:pStyle w:val="yMiscellaneousBody"/>
        <w:tabs>
          <w:tab w:val="left" w:pos="284"/>
          <w:tab w:val="left" w:pos="851"/>
          <w:tab w:val="right" w:pos="6804"/>
        </w:tabs>
        <w:spacing w:before="0"/>
        <w:ind w:left="851" w:hanging="851"/>
      </w:pPr>
      <w:r>
        <w:tab/>
      </w:r>
      <w:r>
        <w:tab/>
      </w:r>
      <w:r>
        <w:tab/>
        <w:t>equal to</w:t>
      </w:r>
      <w:r>
        <w:br/>
      </w:r>
      <w:r>
        <w:tab/>
        <w:t xml:space="preserve"> the cost of</w:t>
      </w:r>
      <w:r>
        <w:br/>
      </w:r>
      <w:r>
        <w:tab/>
        <w:t xml:space="preserve"> relocation</w:t>
      </w:r>
    </w:p>
    <w:p>
      <w:pPr>
        <w:pStyle w:val="yMiscellaneousBody"/>
        <w:tabs>
          <w:tab w:val="left" w:pos="284"/>
          <w:tab w:val="right" w:leader="dot" w:pos="6804"/>
        </w:tabs>
        <w:ind w:left="851" w:right="1984" w:hanging="851"/>
      </w:pPr>
      <w:r>
        <w:tab/>
        <w:t>(3)</w:t>
      </w:r>
      <w:r>
        <w:tab/>
        <w:t xml:space="preserve">For relocating a water supply connection in relation to land in the central business districts, the charge is </w:t>
      </w:r>
      <w:r>
        <w:tab/>
        <w:t xml:space="preserve"> an amount</w:t>
      </w:r>
    </w:p>
    <w:p>
      <w:pPr>
        <w:pStyle w:val="yMiscellaneousBody"/>
        <w:tabs>
          <w:tab w:val="left" w:pos="284"/>
          <w:tab w:val="left" w:pos="851"/>
          <w:tab w:val="right" w:pos="6804"/>
        </w:tabs>
        <w:spacing w:before="0"/>
        <w:ind w:left="851" w:hanging="851"/>
      </w:pPr>
      <w:r>
        <w:tab/>
      </w:r>
      <w:r>
        <w:tab/>
      </w:r>
      <w:r>
        <w:tab/>
        <w:t>equal to the</w:t>
      </w:r>
      <w:r>
        <w:br/>
      </w:r>
      <w:r>
        <w:tab/>
        <w:t>cost of</w:t>
      </w:r>
      <w:r>
        <w:br/>
      </w:r>
      <w:r>
        <w:tab/>
        <w:t>relocation</w:t>
      </w:r>
    </w:p>
    <w:p>
      <w:pPr>
        <w:pStyle w:val="yHeading5"/>
      </w:pPr>
      <w:bookmarkStart w:id="862" w:name="_Toc10193934"/>
      <w:bookmarkStart w:id="863" w:name="_Toc10642315"/>
      <w:bookmarkStart w:id="864" w:name="_Toc12277707"/>
      <w:r>
        <w:rPr>
          <w:rStyle w:val="CharSClsNo"/>
        </w:rPr>
        <w:t>9</w:t>
      </w:r>
      <w:r>
        <w:t>.</w:t>
      </w:r>
      <w:r>
        <w:tab/>
        <w:t>Proposal to connect to sewer</w:t>
      </w:r>
      <w:bookmarkEnd w:id="862"/>
      <w:bookmarkEnd w:id="863"/>
      <w:bookmarkEnd w:id="864"/>
    </w:p>
    <w:p>
      <w:pPr>
        <w:pStyle w:val="yMiscellaneousBody"/>
        <w:tabs>
          <w:tab w:val="left" w:pos="284"/>
          <w:tab w:val="right" w:leader="dot" w:pos="6804"/>
        </w:tabs>
        <w:ind w:left="851" w:right="1984" w:hanging="851"/>
      </w:pPr>
      <w:r>
        <w:tab/>
      </w:r>
      <w:r>
        <w:tab/>
        <w:t xml:space="preserve">For assessing a proposal to connect a wastewater inlet on land to a sewer, the charge is </w:t>
      </w:r>
      <w:r>
        <w:tab/>
        <w:t xml:space="preserve"> </w:t>
      </w:r>
      <w:r>
        <w:rPr>
          <w:szCs w:val="22"/>
        </w:rPr>
        <w:t>$21.77</w:t>
      </w:r>
    </w:p>
    <w:p>
      <w:pPr>
        <w:pStyle w:val="yHeading5"/>
      </w:pPr>
      <w:bookmarkStart w:id="865" w:name="_Toc10193935"/>
      <w:bookmarkStart w:id="866" w:name="_Toc10642316"/>
      <w:bookmarkStart w:id="867" w:name="_Toc12277708"/>
      <w:r>
        <w:rPr>
          <w:rStyle w:val="CharSClsNo"/>
        </w:rPr>
        <w:t>10</w:t>
      </w:r>
      <w:r>
        <w:t>.</w:t>
      </w:r>
      <w:r>
        <w:tab/>
        <w:t>Installing sewer junction</w:t>
      </w:r>
      <w:bookmarkEnd w:id="865"/>
      <w:bookmarkEnd w:id="866"/>
      <w:bookmarkEnd w:id="867"/>
    </w:p>
    <w:p>
      <w:pPr>
        <w:pStyle w:val="yMiscellaneousBody"/>
        <w:tabs>
          <w:tab w:val="left" w:pos="284"/>
          <w:tab w:val="right" w:leader="dot" w:pos="6804"/>
        </w:tabs>
        <w:ind w:left="851" w:right="1984" w:hanging="851"/>
      </w:pPr>
      <w:r>
        <w:tab/>
      </w:r>
      <w:r>
        <w:tab/>
        <w:t>For installing a sewer junction for land, the charge, according to the size of the sewer, is —</w:t>
      </w:r>
    </w:p>
    <w:p>
      <w:pPr>
        <w:pStyle w:val="yMiscellaneousBody"/>
        <w:tabs>
          <w:tab w:val="left" w:pos="1134"/>
          <w:tab w:val="left" w:pos="1701"/>
          <w:tab w:val="right" w:leader="dot" w:pos="6804"/>
        </w:tabs>
        <w:spacing w:before="80"/>
        <w:ind w:left="1736" w:right="-1" w:hanging="1736"/>
      </w:pPr>
      <w:r>
        <w:tab/>
        <w:t xml:space="preserve">100 mm </w:t>
      </w:r>
      <w:r>
        <w:tab/>
        <w:t xml:space="preserve"> $534.36</w:t>
      </w:r>
    </w:p>
    <w:p>
      <w:pPr>
        <w:pStyle w:val="yMiscellaneousBody"/>
        <w:tabs>
          <w:tab w:val="left" w:pos="1134"/>
          <w:tab w:val="left" w:pos="1701"/>
          <w:tab w:val="right" w:leader="dot" w:pos="6804"/>
        </w:tabs>
        <w:spacing w:before="80"/>
        <w:ind w:left="1736" w:right="-1" w:hanging="1736"/>
      </w:pPr>
      <w:r>
        <w:tab/>
        <w:t xml:space="preserve">150 mm </w:t>
      </w:r>
      <w:r>
        <w:tab/>
        <w:t xml:space="preserve"> $666.13</w:t>
      </w:r>
    </w:p>
    <w:p>
      <w:pPr>
        <w:pStyle w:val="yHeading5"/>
      </w:pPr>
      <w:bookmarkStart w:id="868" w:name="_Toc10193936"/>
      <w:bookmarkStart w:id="869" w:name="_Toc10642317"/>
      <w:bookmarkStart w:id="870" w:name="_Toc12277709"/>
      <w:r>
        <w:rPr>
          <w:rStyle w:val="CharSClsNo"/>
        </w:rPr>
        <w:t>11</w:t>
      </w:r>
      <w:r>
        <w:t>.</w:t>
      </w:r>
      <w:r>
        <w:tab/>
        <w:t>Hire of standpipe for fire hydrant</w:t>
      </w:r>
      <w:bookmarkEnd w:id="868"/>
      <w:bookmarkEnd w:id="869"/>
      <w:bookmarkEnd w:id="870"/>
    </w:p>
    <w:p>
      <w:pPr>
        <w:pStyle w:val="yMiscellaneousBody"/>
        <w:tabs>
          <w:tab w:val="left" w:pos="284"/>
          <w:tab w:val="right" w:leader="dot" w:pos="6804"/>
        </w:tabs>
        <w:ind w:left="851" w:right="1984" w:hanging="851"/>
      </w:pPr>
      <w:r>
        <w:tab/>
        <w:t>(1)</w:t>
      </w:r>
      <w:r>
        <w:tab/>
        <w:t xml:space="preserve">For an application to hire a standpipe from the Water Corporation for attachment to a fire hydrant connected to water supply works of the Water Corporation in the metropolitan area, the charge is </w:t>
      </w:r>
      <w:r>
        <w:tab/>
        <w:t xml:space="preserve"> </w:t>
      </w:r>
      <w:r>
        <w:rPr>
          <w:szCs w:val="22"/>
        </w:rPr>
        <w:t>$116.18</w:t>
      </w:r>
    </w:p>
    <w:p>
      <w:pPr>
        <w:pStyle w:val="yMiscellaneousBody"/>
        <w:tabs>
          <w:tab w:val="left" w:pos="284"/>
          <w:tab w:val="right" w:leader="dot" w:pos="6804"/>
        </w:tabs>
        <w:ind w:left="851" w:right="1984" w:hanging="851"/>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left" w:pos="1134"/>
          <w:tab w:val="left" w:pos="1701"/>
          <w:tab w:val="right" w:leader="dot" w:pos="6804"/>
        </w:tabs>
        <w:spacing w:before="80"/>
        <w:ind w:left="1736" w:right="-1" w:hanging="1736"/>
      </w:pPr>
      <w:r>
        <w:tab/>
        <w:t xml:space="preserve">25 mm or less </w:t>
      </w:r>
      <w:r>
        <w:tab/>
        <w:t xml:space="preserve"> </w:t>
      </w:r>
      <w:r>
        <w:rPr>
          <w:szCs w:val="22"/>
        </w:rPr>
        <w:t>$238.92</w:t>
      </w:r>
      <w:r>
        <w:t>/month</w:t>
      </w:r>
    </w:p>
    <w:p>
      <w:pPr>
        <w:pStyle w:val="yMiscellaneousBody"/>
        <w:tabs>
          <w:tab w:val="left" w:pos="284"/>
          <w:tab w:val="left" w:pos="851"/>
          <w:tab w:val="right" w:pos="6804"/>
        </w:tabs>
        <w:spacing w:before="0"/>
        <w:ind w:left="851" w:hanging="851"/>
      </w:pPr>
      <w:r>
        <w:tab/>
      </w:r>
      <w:r>
        <w:tab/>
      </w:r>
      <w:r>
        <w:tab/>
        <w:t>pro rata</w:t>
      </w:r>
    </w:p>
    <w:p>
      <w:pPr>
        <w:pStyle w:val="yMiscellaneousBody"/>
        <w:tabs>
          <w:tab w:val="left" w:pos="1134"/>
          <w:tab w:val="left" w:pos="1701"/>
          <w:tab w:val="right" w:leader="dot" w:pos="6804"/>
        </w:tabs>
        <w:spacing w:before="80"/>
        <w:ind w:left="1736" w:right="-1" w:hanging="1736"/>
      </w:pPr>
      <w:r>
        <w:tab/>
        <w:t xml:space="preserve">more than 25 mm </w:t>
      </w:r>
      <w:r>
        <w:tab/>
        <w:t xml:space="preserve"> </w:t>
      </w:r>
      <w:r>
        <w:rPr>
          <w:szCs w:val="22"/>
        </w:rPr>
        <w:t>$399.83</w:t>
      </w:r>
      <w:r>
        <w:t>/month</w:t>
      </w:r>
    </w:p>
    <w:p>
      <w:pPr>
        <w:pStyle w:val="yMiscellaneousBody"/>
        <w:tabs>
          <w:tab w:val="left" w:pos="284"/>
          <w:tab w:val="left" w:pos="851"/>
          <w:tab w:val="right" w:pos="6804"/>
        </w:tabs>
        <w:spacing w:before="0"/>
        <w:ind w:left="851" w:hanging="851"/>
      </w:pPr>
      <w:r>
        <w:tab/>
      </w:r>
      <w:r>
        <w:tab/>
      </w:r>
      <w:r>
        <w:tab/>
        <w:t>pro rata</w:t>
      </w:r>
    </w:p>
    <w:p>
      <w:pPr>
        <w:pStyle w:val="yHeading5"/>
      </w:pPr>
      <w:bookmarkStart w:id="871" w:name="_Toc10193937"/>
      <w:bookmarkStart w:id="872" w:name="_Toc10642318"/>
      <w:bookmarkStart w:id="873" w:name="_Toc12277710"/>
      <w:r>
        <w:rPr>
          <w:rStyle w:val="CharSClsNo"/>
        </w:rPr>
        <w:t>12</w:t>
      </w:r>
      <w:r>
        <w:t>.</w:t>
      </w:r>
      <w:r>
        <w:tab/>
        <w:t>Trade waste: routine services</w:t>
      </w:r>
      <w:bookmarkEnd w:id="871"/>
      <w:bookmarkEnd w:id="872"/>
      <w:bookmarkEnd w:id="873"/>
    </w:p>
    <w:p>
      <w:pPr>
        <w:pStyle w:val="yMiscellaneousBody"/>
        <w:tabs>
          <w:tab w:val="left" w:pos="284"/>
          <w:tab w:val="right" w:leader="dot" w:pos="6804"/>
        </w:tabs>
        <w:ind w:left="851" w:right="1984" w:hanging="851"/>
      </w:pPr>
      <w:r>
        <w:tab/>
      </w:r>
      <w:r>
        <w:tab/>
        <w:t>For the following scheduled services in relation to the discharge of trade waste into a sewer of the Water Corporation, the charge is —</w:t>
      </w:r>
    </w:p>
    <w:p>
      <w:pPr>
        <w:pStyle w:val="yMiscellaneousBody"/>
        <w:tabs>
          <w:tab w:val="left" w:pos="1134"/>
          <w:tab w:val="left" w:pos="1701"/>
          <w:tab w:val="right" w:leader="dot" w:pos="6804"/>
        </w:tabs>
        <w:ind w:left="1701" w:right="1984" w:hanging="1701"/>
      </w:pPr>
      <w:r>
        <w:tab/>
        <w:t>(a)</w:t>
      </w:r>
      <w:r>
        <w:tab/>
        <w:t xml:space="preserve">for inspection </w:t>
      </w:r>
      <w:r>
        <w:tab/>
        <w:t xml:space="preserve"> </w:t>
      </w:r>
      <w:r>
        <w:rPr>
          <w:szCs w:val="22"/>
        </w:rPr>
        <w:t>$146.85</w:t>
      </w:r>
      <w:r>
        <w:t>/hour</w:t>
      </w:r>
    </w:p>
    <w:p>
      <w:pPr>
        <w:pStyle w:val="yMiscellaneousBody"/>
        <w:tabs>
          <w:tab w:val="left" w:pos="1134"/>
          <w:tab w:val="left" w:pos="1701"/>
          <w:tab w:val="right" w:leader="dot" w:pos="6804"/>
        </w:tabs>
        <w:ind w:left="1701" w:right="1984" w:hanging="1701"/>
      </w:pPr>
      <w:r>
        <w:tab/>
        <w:t>(b)</w:t>
      </w:r>
      <w:r>
        <w:tab/>
        <w:t xml:space="preserve">for a meter reading </w:t>
      </w:r>
      <w:r>
        <w:tab/>
        <w:t xml:space="preserve"> </w:t>
      </w:r>
      <w:r>
        <w:rPr>
          <w:szCs w:val="22"/>
        </w:rPr>
        <w:t>$26.83</w:t>
      </w:r>
    </w:p>
    <w:p>
      <w:pPr>
        <w:pStyle w:val="yMiscellaneousBody"/>
        <w:tabs>
          <w:tab w:val="left" w:pos="1134"/>
          <w:tab w:val="left" w:pos="1701"/>
          <w:tab w:val="right" w:leader="dot" w:pos="6804"/>
        </w:tabs>
        <w:ind w:left="1701" w:right="1984" w:hanging="1701"/>
      </w:pPr>
      <w:r>
        <w:tab/>
        <w:t>(c)</w:t>
      </w:r>
      <w:r>
        <w:tab/>
        <w:t xml:space="preserve">for a grab sample </w:t>
      </w:r>
      <w:r>
        <w:tab/>
        <w:t xml:space="preserve"> </w:t>
      </w:r>
      <w:r>
        <w:rPr>
          <w:szCs w:val="22"/>
        </w:rPr>
        <w:t>$312.07</w:t>
      </w:r>
    </w:p>
    <w:p>
      <w:pPr>
        <w:pStyle w:val="yMiscellaneousBody"/>
        <w:tabs>
          <w:tab w:val="left" w:pos="1134"/>
          <w:tab w:val="left" w:pos="1701"/>
          <w:tab w:val="right" w:leader="dot" w:pos="6804"/>
        </w:tabs>
        <w:ind w:left="1701" w:right="1984" w:hanging="1701"/>
      </w:pPr>
      <w:r>
        <w:tab/>
        <w:t>(d)</w:t>
      </w:r>
      <w:r>
        <w:tab/>
        <w:t xml:space="preserve">for a composite sample </w:t>
      </w:r>
      <w:r>
        <w:tab/>
        <w:t xml:space="preserve"> </w:t>
      </w:r>
      <w:r>
        <w:rPr>
          <w:szCs w:val="22"/>
        </w:rPr>
        <w:t>$733.26</w:t>
      </w:r>
    </w:p>
    <w:p>
      <w:pPr>
        <w:pStyle w:val="yHeading5"/>
      </w:pPr>
      <w:bookmarkStart w:id="874" w:name="_Toc10193938"/>
      <w:bookmarkStart w:id="875" w:name="_Toc10642319"/>
      <w:bookmarkStart w:id="876" w:name="_Toc12277711"/>
      <w:r>
        <w:rPr>
          <w:rStyle w:val="CharSClsNo"/>
        </w:rPr>
        <w:t>13</w:t>
      </w:r>
      <w:r>
        <w:t>.</w:t>
      </w:r>
      <w:r>
        <w:tab/>
        <w:t>Trade waste: ad hoc services</w:t>
      </w:r>
      <w:bookmarkEnd w:id="874"/>
      <w:bookmarkEnd w:id="875"/>
      <w:bookmarkEnd w:id="876"/>
    </w:p>
    <w:p>
      <w:pPr>
        <w:pStyle w:val="yMiscellaneousBody"/>
        <w:tabs>
          <w:tab w:val="left" w:pos="284"/>
          <w:tab w:val="right" w:leader="dot" w:pos="6804"/>
        </w:tabs>
        <w:ind w:left="851" w:right="1984" w:hanging="851"/>
      </w:pPr>
      <w:r>
        <w:tab/>
        <w:t>(1)</w:t>
      </w:r>
      <w:r>
        <w:tab/>
        <w:t xml:space="preserve">In this item — </w:t>
      </w:r>
    </w:p>
    <w:p>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MiscellaneousBody"/>
        <w:tabs>
          <w:tab w:val="left" w:pos="284"/>
          <w:tab w:val="right" w:leader="dot" w:pos="6804"/>
        </w:tabs>
        <w:ind w:left="851" w:right="1984" w:hanging="851"/>
      </w:pPr>
      <w:r>
        <w:tab/>
        <w:t>(2)</w:t>
      </w:r>
      <w:r>
        <w:tab/>
        <w:t>For the following unscheduled services in relation to the discharge of trade waste into a sewer of the Water Corporation, the charge is —</w:t>
      </w:r>
    </w:p>
    <w:p>
      <w:pPr>
        <w:pStyle w:val="yMiscellaneousBody"/>
        <w:tabs>
          <w:tab w:val="left" w:pos="1134"/>
          <w:tab w:val="left" w:pos="1701"/>
          <w:tab w:val="right" w:leader="dot" w:pos="6804"/>
        </w:tabs>
        <w:ind w:left="1701" w:right="1984" w:hanging="1701"/>
      </w:pPr>
      <w:r>
        <w:tab/>
        <w:t>(a)</w:t>
      </w:r>
      <w:r>
        <w:tab/>
        <w:t>for assessing an application to</w:t>
      </w:r>
      <w:r>
        <w:br/>
        <w:t xml:space="preserve">discharge </w:t>
      </w:r>
      <w:r>
        <w:tab/>
        <w:t xml:space="preserve"> </w:t>
      </w:r>
      <w:r>
        <w:rPr>
          <w:szCs w:val="22"/>
        </w:rPr>
        <w:t>$133.65</w:t>
      </w:r>
      <w:r>
        <w:t>/hour</w:t>
      </w:r>
    </w:p>
    <w:p>
      <w:pPr>
        <w:pStyle w:val="yMiscellaneousBody"/>
        <w:tabs>
          <w:tab w:val="left" w:pos="1134"/>
          <w:tab w:val="left" w:pos="1701"/>
          <w:tab w:val="right" w:leader="dot" w:pos="6804"/>
        </w:tabs>
        <w:ind w:left="1701" w:right="1984" w:hanging="1701"/>
        <w:rPr>
          <w:szCs w:val="22"/>
        </w:rPr>
      </w:pPr>
      <w:r>
        <w:tab/>
        <w:t>(b)</w:t>
      </w:r>
      <w:r>
        <w:tab/>
        <w:t xml:space="preserve">for a product evaluation </w:t>
      </w:r>
      <w:r>
        <w:tab/>
        <w:t xml:space="preserve"> $167.25/hour</w:t>
      </w:r>
    </w:p>
    <w:p>
      <w:pPr>
        <w:pStyle w:val="yMiscellaneousBody"/>
        <w:tabs>
          <w:tab w:val="left" w:pos="1134"/>
          <w:tab w:val="left" w:pos="1701"/>
          <w:tab w:val="right" w:leader="dot" w:pos="6804"/>
        </w:tabs>
        <w:ind w:left="1701" w:right="1984" w:hanging="1701"/>
      </w:pPr>
      <w:r>
        <w:tab/>
        <w:t>(c)</w:t>
      </w:r>
      <w:r>
        <w:tab/>
        <w:t xml:space="preserve">for a grab sample </w:t>
      </w:r>
      <w:r>
        <w:tab/>
        <w:t xml:space="preserve"> an amount </w:t>
      </w:r>
    </w:p>
    <w:p>
      <w:pPr>
        <w:pStyle w:val="yMiscellaneousBody"/>
        <w:tabs>
          <w:tab w:val="left" w:pos="284"/>
          <w:tab w:val="left" w:pos="851"/>
          <w:tab w:val="right" w:pos="6804"/>
        </w:tabs>
        <w:spacing w:before="0"/>
        <w:ind w:left="851" w:hanging="851"/>
      </w:pPr>
      <w:r>
        <w:tab/>
      </w:r>
      <w:r>
        <w:tab/>
      </w:r>
      <w:r>
        <w:tab/>
        <w:t xml:space="preserve"> equal to the</w:t>
      </w:r>
      <w:r>
        <w:br/>
      </w:r>
      <w:r>
        <w:tab/>
        <w:t xml:space="preserve"> cost of</w:t>
      </w:r>
      <w:r>
        <w:br/>
      </w:r>
      <w:r>
        <w:tab/>
        <w:t xml:space="preserve"> sampling</w:t>
      </w:r>
    </w:p>
    <w:p>
      <w:pPr>
        <w:pStyle w:val="yMiscellaneousBody"/>
        <w:tabs>
          <w:tab w:val="left" w:pos="1134"/>
          <w:tab w:val="left" w:pos="1701"/>
          <w:tab w:val="right" w:leader="dot" w:pos="6804"/>
        </w:tabs>
        <w:ind w:left="1701" w:right="1984" w:hanging="1701"/>
      </w:pPr>
      <w:r>
        <w:tab/>
        <w:t>(d)</w:t>
      </w:r>
      <w:r>
        <w:tab/>
        <w:t xml:space="preserve">for a composite sample </w:t>
      </w:r>
      <w:r>
        <w:tab/>
        <w:t xml:space="preserve"> an amount </w:t>
      </w:r>
    </w:p>
    <w:p>
      <w:pPr>
        <w:pStyle w:val="yMiscellaneousBody"/>
        <w:tabs>
          <w:tab w:val="left" w:pos="284"/>
          <w:tab w:val="left" w:pos="851"/>
          <w:tab w:val="right" w:pos="6804"/>
        </w:tabs>
        <w:spacing w:before="0"/>
        <w:ind w:left="851" w:hanging="851"/>
      </w:pPr>
      <w:r>
        <w:tab/>
      </w:r>
      <w:r>
        <w:tab/>
      </w:r>
      <w:r>
        <w:tab/>
        <w:t xml:space="preserve"> equal to the</w:t>
      </w:r>
      <w:r>
        <w:br/>
      </w:r>
      <w:r>
        <w:tab/>
        <w:t xml:space="preserve"> cost of</w:t>
      </w:r>
      <w:r>
        <w:br/>
      </w:r>
      <w:r>
        <w:tab/>
        <w:t xml:space="preserve"> sampling</w:t>
      </w:r>
    </w:p>
    <w:p>
      <w:pPr>
        <w:pStyle w:val="yHeading5"/>
      </w:pPr>
      <w:bookmarkStart w:id="877" w:name="_Toc10193939"/>
      <w:bookmarkStart w:id="878" w:name="_Toc10642320"/>
      <w:bookmarkStart w:id="879" w:name="_Toc12277712"/>
      <w:r>
        <w:rPr>
          <w:rStyle w:val="CharSClsNo"/>
        </w:rPr>
        <w:t>14</w:t>
      </w:r>
      <w:r>
        <w:t>.</w:t>
      </w:r>
      <w:r>
        <w:tab/>
        <w:t>Trade waste: one</w:t>
      </w:r>
      <w:r>
        <w:noBreakHyphen/>
        <w:t>off discharge services</w:t>
      </w:r>
      <w:bookmarkEnd w:id="877"/>
      <w:bookmarkEnd w:id="878"/>
      <w:bookmarkEnd w:id="879"/>
    </w:p>
    <w:p>
      <w:pPr>
        <w:pStyle w:val="yMiscellaneousBody"/>
        <w:tabs>
          <w:tab w:val="left" w:pos="284"/>
          <w:tab w:val="right" w:leader="dot" w:pos="6804"/>
        </w:tabs>
        <w:ind w:left="851" w:right="1984" w:hanging="851"/>
      </w:pPr>
      <w:r>
        <w:tab/>
      </w:r>
      <w:r>
        <w:tab/>
        <w:t>For a one</w:t>
      </w:r>
      <w:r>
        <w:noBreakHyphen/>
        <w:t xml:space="preserve">off discharge of trade waste into a sewer of the Water Corporation, the charge is </w:t>
      </w:r>
      <w:r>
        <w:tab/>
        <w:t xml:space="preserve"> </w:t>
      </w:r>
      <w:r>
        <w:rPr>
          <w:szCs w:val="22"/>
        </w:rPr>
        <w:t>$133.65</w:t>
      </w:r>
      <w:r>
        <w:t>/hour</w:t>
      </w:r>
    </w:p>
    <w:p>
      <w:pPr>
        <w:pStyle w:val="yHeading5"/>
      </w:pPr>
      <w:bookmarkStart w:id="880" w:name="_Toc10193940"/>
      <w:bookmarkStart w:id="881" w:name="_Toc10642321"/>
      <w:bookmarkStart w:id="882" w:name="_Toc12277713"/>
      <w:r>
        <w:rPr>
          <w:rStyle w:val="CharSClsNo"/>
        </w:rPr>
        <w:t>15</w:t>
      </w:r>
      <w:r>
        <w:t>.</w:t>
      </w:r>
      <w:r>
        <w:tab/>
        <w:t>Meter reading and other information</w:t>
      </w:r>
      <w:bookmarkEnd w:id="880"/>
      <w:bookmarkEnd w:id="881"/>
      <w:bookmarkEnd w:id="882"/>
    </w:p>
    <w:p>
      <w:pPr>
        <w:pStyle w:val="yMiscellaneousBody"/>
        <w:tabs>
          <w:tab w:val="left" w:pos="284"/>
          <w:tab w:val="right" w:leader="dot" w:pos="6804"/>
        </w:tabs>
        <w:ind w:left="851" w:right="1984" w:hanging="851"/>
      </w:pPr>
      <w:r>
        <w:tab/>
      </w:r>
      <w:r>
        <w:tab/>
        <w:t xml:space="preserve">For — </w:t>
      </w:r>
    </w:p>
    <w:p>
      <w:pPr>
        <w:pStyle w:val="yMiscellaneousBody"/>
        <w:tabs>
          <w:tab w:val="left" w:pos="1134"/>
          <w:tab w:val="left" w:pos="1701"/>
          <w:tab w:val="right" w:leader="dot" w:pos="6804"/>
        </w:tabs>
        <w:ind w:left="1701" w:right="1984" w:hanging="1701"/>
      </w:pPr>
      <w:r>
        <w:tab/>
        <w:t>(a)</w:t>
      </w:r>
      <w:r>
        <w:tab/>
        <w:t xml:space="preserve">a meter reading, the charge is </w:t>
      </w:r>
      <w:r>
        <w:tab/>
        <w:t xml:space="preserve"> $17.33</w:t>
      </w:r>
    </w:p>
    <w:p>
      <w:pPr>
        <w:pStyle w:val="yMiscellaneousBody"/>
        <w:tabs>
          <w:tab w:val="left" w:pos="1134"/>
          <w:tab w:val="left" w:pos="1701"/>
          <w:tab w:val="right" w:leader="dot" w:pos="6804"/>
        </w:tabs>
        <w:ind w:left="1701" w:right="1984" w:hanging="1701"/>
      </w:pPr>
      <w:r>
        <w:tab/>
        <w:t>(b)</w:t>
      </w:r>
      <w:r>
        <w:tab/>
        <w:t xml:space="preserve">an urgent meter reading, the charge is </w:t>
      </w:r>
      <w:r>
        <w:tab/>
        <w:t xml:space="preserve"> </w:t>
      </w:r>
      <w:r>
        <w:rPr>
          <w:szCs w:val="22"/>
        </w:rPr>
        <w:t>$58.24</w:t>
      </w:r>
    </w:p>
    <w:p>
      <w:pPr>
        <w:pStyle w:val="yMiscellaneousBody"/>
        <w:tabs>
          <w:tab w:val="left" w:pos="1134"/>
          <w:tab w:val="left" w:pos="1701"/>
          <w:tab w:val="right" w:leader="dot" w:pos="6804"/>
        </w:tabs>
        <w:ind w:left="1701" w:right="1984" w:hanging="1701"/>
      </w:pPr>
      <w:r>
        <w:tab/>
        <w:t>(c)</w:t>
      </w:r>
      <w:r>
        <w:tab/>
        <w:t xml:space="preserve">the provision of information in relation to water services for land (request lodged electronically) and a meter reading, the charge is </w:t>
      </w:r>
      <w:r>
        <w:tab/>
        <w:t xml:space="preserve"> </w:t>
      </w:r>
      <w:r>
        <w:rPr>
          <w:szCs w:val="22"/>
        </w:rPr>
        <w:t>$46.03</w:t>
      </w:r>
    </w:p>
    <w:p>
      <w:pPr>
        <w:pStyle w:val="yMiscellaneousBody"/>
        <w:tabs>
          <w:tab w:val="left" w:pos="1134"/>
          <w:tab w:val="left" w:pos="1701"/>
          <w:tab w:val="right" w:leader="dot" w:pos="6804"/>
        </w:tabs>
        <w:ind w:left="1701" w:right="1984" w:hanging="1701"/>
      </w:pPr>
      <w:r>
        <w:tab/>
        <w:t>(d)</w:t>
      </w:r>
      <w:r>
        <w:tab/>
        <w:t xml:space="preserve">the provision of information in relation to water services for land (request lodged electronically) and an urgent meter reading, the charge is </w:t>
      </w:r>
      <w:r>
        <w:tab/>
        <w:t xml:space="preserve"> </w:t>
      </w:r>
      <w:r>
        <w:rPr>
          <w:szCs w:val="22"/>
        </w:rPr>
        <w:t>$86.84</w:t>
      </w:r>
    </w:p>
    <w:p>
      <w:pPr>
        <w:pStyle w:val="yMiscellaneousBody"/>
        <w:tabs>
          <w:tab w:val="left" w:pos="1134"/>
          <w:tab w:val="left" w:pos="1701"/>
          <w:tab w:val="right" w:leader="dot" w:pos="6804"/>
        </w:tabs>
        <w:ind w:left="1701" w:right="1984" w:hanging="1701"/>
      </w:pPr>
      <w:r>
        <w:tab/>
        <w:t>(e)</w:t>
      </w:r>
      <w:r>
        <w:tab/>
        <w:t xml:space="preserve">the provision of information in relation to water services for land (request not lodged electronically) and a meter reading, the charge is </w:t>
      </w:r>
      <w:r>
        <w:tab/>
        <w:t xml:space="preserve"> </w:t>
      </w:r>
      <w:r>
        <w:rPr>
          <w:szCs w:val="22"/>
        </w:rPr>
        <w:t>$78.98</w:t>
      </w:r>
    </w:p>
    <w:p>
      <w:pPr>
        <w:pStyle w:val="yMiscellaneousBody"/>
        <w:tabs>
          <w:tab w:val="left" w:pos="1134"/>
          <w:tab w:val="left" w:pos="1701"/>
          <w:tab w:val="right" w:leader="dot" w:pos="6804"/>
        </w:tabs>
        <w:ind w:left="1701" w:right="1984" w:hanging="1701"/>
      </w:pPr>
      <w:r>
        <w:tab/>
        <w:t>(f)</w:t>
      </w:r>
      <w:r>
        <w:tab/>
        <w:t xml:space="preserve">the provision of information in relation to water services for land (request not lodged electronically) and an urgent meter reading, the charge is </w:t>
      </w:r>
      <w:r>
        <w:tab/>
        <w:t xml:space="preserve"> </w:t>
      </w:r>
      <w:r>
        <w:rPr>
          <w:szCs w:val="22"/>
        </w:rPr>
        <w:t>$119.46</w:t>
      </w:r>
    </w:p>
    <w:p>
      <w:pPr>
        <w:pStyle w:val="yMiscellaneousBody"/>
        <w:tabs>
          <w:tab w:val="left" w:pos="1134"/>
          <w:tab w:val="left" w:pos="1701"/>
          <w:tab w:val="right" w:leader="dot" w:pos="6804"/>
        </w:tabs>
        <w:ind w:left="1701" w:right="1984" w:hanging="1701"/>
      </w:pPr>
      <w:r>
        <w:tab/>
        <w:t>(g)</w:t>
      </w:r>
      <w:r>
        <w:tab/>
        <w:t xml:space="preserve">the provision of information not covered by paragraphs (a) to (f), involving research or investigation of more than 15 minutes, the charge is </w:t>
      </w:r>
      <w:r>
        <w:tab/>
        <w:t xml:space="preserve"> </w:t>
      </w:r>
      <w:r>
        <w:rPr>
          <w:szCs w:val="22"/>
        </w:rPr>
        <w:t>$87.27/hour</w:t>
      </w:r>
    </w:p>
    <w:p>
      <w:pPr>
        <w:pStyle w:val="yMiscellaneousBody"/>
        <w:tabs>
          <w:tab w:val="left" w:pos="284"/>
          <w:tab w:val="left" w:pos="851"/>
          <w:tab w:val="right" w:pos="6804"/>
        </w:tabs>
        <w:spacing w:before="0"/>
        <w:ind w:left="851" w:hanging="851"/>
      </w:pPr>
      <w:r>
        <w:tab/>
      </w:r>
      <w:r>
        <w:tab/>
      </w:r>
      <w:r>
        <w:tab/>
        <w:t>or part hour</w:t>
      </w:r>
    </w:p>
    <w:p>
      <w:pPr>
        <w:pStyle w:val="yHeading5"/>
      </w:pPr>
      <w:bookmarkStart w:id="883" w:name="_Toc10193941"/>
      <w:bookmarkStart w:id="884" w:name="_Toc10642322"/>
      <w:bookmarkStart w:id="885" w:name="_Toc12277714"/>
      <w:r>
        <w:rPr>
          <w:rStyle w:val="CharSClsNo"/>
        </w:rPr>
        <w:t>16</w:t>
      </w:r>
      <w:r>
        <w:t>.</w:t>
      </w:r>
      <w:r>
        <w:tab/>
        <w:t>Copies of records</w:t>
      </w:r>
      <w:bookmarkEnd w:id="883"/>
      <w:bookmarkEnd w:id="884"/>
      <w:bookmarkEnd w:id="885"/>
    </w:p>
    <w:p>
      <w:pPr>
        <w:pStyle w:val="yMiscellaneousBody"/>
        <w:keepNext/>
        <w:tabs>
          <w:tab w:val="left" w:pos="284"/>
          <w:tab w:val="right" w:leader="dot" w:pos="6804"/>
        </w:tabs>
        <w:ind w:left="851" w:right="1984" w:hanging="851"/>
        <w:rPr>
          <w:szCs w:val="22"/>
        </w:rPr>
      </w:pPr>
      <w:r>
        <w:tab/>
      </w:r>
      <w:r>
        <w:tab/>
        <w:t xml:space="preserve">For a copy of records under the </w:t>
      </w:r>
      <w:r>
        <w:rPr>
          <w:i/>
        </w:rPr>
        <w:t>Water Services Regulations 2013</w:t>
      </w:r>
      <w:r>
        <w:t xml:space="preserve"> regulation 65(4)(b), the charge is </w:t>
      </w:r>
      <w:r>
        <w:tab/>
        <w:t xml:space="preserve"> </w:t>
      </w:r>
      <w:r>
        <w:rPr>
          <w:szCs w:val="22"/>
        </w:rPr>
        <w:t>$17.82</w:t>
      </w:r>
    </w:p>
    <w:p>
      <w:pPr>
        <w:pStyle w:val="yFootnotesection"/>
      </w:pPr>
      <w:r>
        <w:tab/>
        <w:t>[Schedule 7 inserted: Gazette 14 Jun 2019 p. 1979</w:t>
      </w:r>
      <w:r>
        <w:noBreakHyphen/>
        <w:t>85.]</w:t>
      </w:r>
    </w:p>
    <w:bookmarkEnd w:id="165"/>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887" w:name="_Toc11766400"/>
      <w:bookmarkStart w:id="888" w:name="_Toc11835810"/>
      <w:bookmarkStart w:id="889" w:name="_Toc12273887"/>
      <w:bookmarkStart w:id="890" w:name="_Toc12277715"/>
      <w:r>
        <w:rPr>
          <w:rStyle w:val="CharSchNo"/>
        </w:rPr>
        <w:t>Schedule 8</w:t>
      </w:r>
      <w:r>
        <w:rPr>
          <w:rStyle w:val="CharSDivNo"/>
        </w:rPr>
        <w:t> </w:t>
      </w:r>
      <w:r>
        <w:t>—</w:t>
      </w:r>
      <w:r>
        <w:rPr>
          <w:rStyle w:val="CharSDivText"/>
        </w:rPr>
        <w:t> </w:t>
      </w:r>
      <w:r>
        <w:rPr>
          <w:rStyle w:val="CharSchText"/>
        </w:rPr>
        <w:t>Government trading organisations</w:t>
      </w:r>
      <w:bookmarkEnd w:id="887"/>
      <w:bookmarkEnd w:id="888"/>
      <w:bookmarkEnd w:id="889"/>
      <w:bookmarkEnd w:id="890"/>
    </w:p>
    <w:p>
      <w:pPr>
        <w:pStyle w:val="yShoulderClause"/>
      </w:pPr>
      <w:r>
        <w:t>[r. 16(1)]</w:t>
      </w:r>
    </w:p>
    <w:p>
      <w:pPr>
        <w:pStyle w:val="yMiscellaneousHeading"/>
        <w:rPr>
          <w:b/>
          <w:bCs/>
          <w:snapToGrid w:val="0"/>
        </w:rPr>
      </w:pPr>
      <w:r>
        <w:rPr>
          <w:b/>
          <w:bCs/>
          <w:snapToGrid w:val="0"/>
        </w:rPr>
        <w:t>Government trading organisations</w:t>
      </w:r>
    </w:p>
    <w:p>
      <w:pPr>
        <w:pStyle w:val="yEdnotesubsection"/>
      </w:pPr>
      <w:r>
        <w:t>[(1)-(2)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w:t>
      </w:r>
    </w:p>
    <w:p>
      <w:pPr>
        <w:pStyle w:val="yFootnotesection"/>
      </w:pPr>
    </w:p>
    <w:p>
      <w:pPr>
        <w:pStyle w:val="yFootnotesection"/>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891" w:name="_Toc11766401"/>
      <w:bookmarkStart w:id="892" w:name="_Toc11835811"/>
      <w:bookmarkStart w:id="893" w:name="_Toc12273888"/>
      <w:bookmarkStart w:id="894" w:name="_Toc12277716"/>
      <w:r>
        <w:rPr>
          <w:rStyle w:val="CharSchNo"/>
        </w:rPr>
        <w:t>Schedule 9</w:t>
      </w:r>
      <w:r>
        <w:rPr>
          <w:rStyle w:val="CharSDivNo"/>
        </w:rPr>
        <w:t> </w:t>
      </w:r>
      <w:r>
        <w:t>—</w:t>
      </w:r>
      <w:r>
        <w:rPr>
          <w:rStyle w:val="CharSDivText"/>
        </w:rPr>
        <w:t> </w:t>
      </w:r>
      <w:r>
        <w:rPr>
          <w:rStyle w:val="CharSchText"/>
        </w:rPr>
        <w:t>Central business districts</w:t>
      </w:r>
      <w:bookmarkEnd w:id="891"/>
      <w:bookmarkEnd w:id="892"/>
      <w:bookmarkEnd w:id="893"/>
      <w:bookmarkEnd w:id="894"/>
    </w:p>
    <w:p>
      <w:pPr>
        <w:pStyle w:val="yShoulderClause"/>
      </w:pPr>
      <w:r>
        <w:t>[r. 16(1)]</w:t>
      </w:r>
    </w:p>
    <w:p>
      <w:pPr>
        <w:pStyle w:val="yHeading5"/>
      </w:pPr>
      <w:bookmarkStart w:id="895" w:name="_Toc12277717"/>
      <w:r>
        <w:rPr>
          <w:rStyle w:val="CharSClsNo"/>
        </w:rPr>
        <w:t>1</w:t>
      </w:r>
      <w:r>
        <w:t>.</w:t>
      </w:r>
      <w:r>
        <w:tab/>
        <w:t>Central business districts</w:t>
      </w:r>
      <w:bookmarkEnd w:id="895"/>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896" w:name="_Toc10034326"/>
      <w:bookmarkStart w:id="897" w:name="_Toc10034486"/>
      <w:bookmarkStart w:id="898" w:name="_Toc10107806"/>
      <w:bookmarkStart w:id="899" w:name="_Toc10107966"/>
      <w:bookmarkStart w:id="900" w:name="_Toc10121273"/>
      <w:bookmarkStart w:id="901" w:name="_Toc10124658"/>
      <w:bookmarkStart w:id="902" w:name="_Toc10193943"/>
      <w:bookmarkStart w:id="903" w:name="_Toc10203730"/>
      <w:bookmarkStart w:id="904" w:name="_Toc10203886"/>
      <w:bookmarkStart w:id="905" w:name="_Toc10535040"/>
      <w:bookmarkStart w:id="906" w:name="_Toc10535913"/>
      <w:bookmarkStart w:id="907" w:name="_Toc10642324"/>
      <w:bookmarkStart w:id="908" w:name="_Toc11835813"/>
      <w:bookmarkStart w:id="909" w:name="_Toc12273890"/>
      <w:bookmarkStart w:id="910" w:name="_Toc12277718"/>
      <w:bookmarkStart w:id="911" w:name="_Toc11766403"/>
      <w:r>
        <w:rPr>
          <w:rStyle w:val="CharSchNo"/>
        </w:rPr>
        <w:t>Schedule 10</w:t>
      </w:r>
      <w:r>
        <w:t> — </w:t>
      </w:r>
      <w:r>
        <w:rPr>
          <w:rStyle w:val="CharSchText"/>
        </w:rPr>
        <w:t>Class of town or area: current consumption year</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yShoulderClause"/>
      </w:pPr>
      <w:r>
        <w:t>[Sch. 3 it. 23]</w:t>
      </w:r>
    </w:p>
    <w:p>
      <w:pPr>
        <w:pStyle w:val="yFootnoteheading"/>
        <w:spacing w:after="120"/>
      </w:pPr>
      <w:r>
        <w:tab/>
        <w:t>[Heading inserted: Gazette 14 Jun 2019 p. 1986.]</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bookmarkStart w:id="912" w:name="_Toc10034327"/>
      <w:bookmarkStart w:id="913" w:name="_Toc10034487"/>
      <w:bookmarkStart w:id="914" w:name="_Toc10107807"/>
      <w:bookmarkStart w:id="915" w:name="_Toc10107967"/>
      <w:bookmarkStart w:id="916" w:name="_Toc10121274"/>
      <w:bookmarkStart w:id="917" w:name="_Toc10124659"/>
      <w:bookmarkStart w:id="918" w:name="_Toc10193944"/>
      <w:bookmarkStart w:id="919" w:name="_Toc10203731"/>
      <w:bookmarkStart w:id="920" w:name="_Toc10203887"/>
      <w:bookmarkStart w:id="921" w:name="_Toc10535041"/>
      <w:bookmarkStart w:id="922" w:name="_Toc10535914"/>
      <w:bookmarkStart w:id="923" w:name="_Toc10642325"/>
      <w:r>
        <w:tab/>
        <w:t>[Schedule 10 inserted: Gazette 14 Jun 2019 p. 1986</w:t>
      </w:r>
      <w:r>
        <w:noBreakHyphen/>
        <w:t>95.]</w:t>
      </w:r>
    </w:p>
    <w:p>
      <w:pPr>
        <w:pStyle w:val="yScheduleHeading"/>
      </w:pPr>
      <w:bookmarkStart w:id="924" w:name="_Toc11835814"/>
      <w:bookmarkStart w:id="925" w:name="_Toc12273891"/>
      <w:bookmarkStart w:id="926" w:name="_Toc12277719"/>
      <w:r>
        <w:rPr>
          <w:rStyle w:val="CharSchNo"/>
        </w:rPr>
        <w:t>Schedule 11</w:t>
      </w:r>
      <w:r>
        <w:t> — </w:t>
      </w:r>
      <w:r>
        <w:rPr>
          <w:rStyle w:val="CharSchText"/>
        </w:rPr>
        <w:t>Class of town or area: previous consumption year</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yShoulderClause"/>
      </w:pPr>
      <w:r>
        <w:t>[Sch. 3 it. 23]</w:t>
      </w:r>
    </w:p>
    <w:p>
      <w:pPr>
        <w:pStyle w:val="yFootnoteheading"/>
        <w:spacing w:after="120"/>
      </w:pPr>
      <w:r>
        <w:tab/>
        <w:t>[Heading inserted: Gazette 14 Jun 2019 p. 1995.]</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6</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9</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10</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11 inserted: Gazette 14 Jun 2019 p. 1995</w:t>
      </w:r>
      <w:r>
        <w:noBreakHyphen/>
        <w:t>2005.]</w:t>
      </w:r>
    </w:p>
    <w:bookmarkEnd w:id="911"/>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927" w:name="_Toc11766405"/>
      <w:bookmarkStart w:id="928" w:name="_Toc11835815"/>
      <w:bookmarkStart w:id="929" w:name="_Toc12273892"/>
      <w:bookmarkStart w:id="930" w:name="_Toc12277720"/>
      <w:r>
        <w:t>Notes</w:t>
      </w:r>
      <w:bookmarkEnd w:id="927"/>
      <w:bookmarkEnd w:id="928"/>
      <w:bookmarkEnd w:id="929"/>
      <w:bookmarkEnd w:id="930"/>
    </w:p>
    <w:p>
      <w:pPr>
        <w:pStyle w:val="nSubsection"/>
      </w:pPr>
      <w:r>
        <w:rPr>
          <w:vertAlign w:val="superscript"/>
        </w:rPr>
        <w:t>1</w:t>
      </w:r>
      <w:r>
        <w:tab/>
        <w:t xml:space="preserve">This is a compilation of the </w:t>
      </w:r>
      <w:r>
        <w:rPr>
          <w:i/>
          <w:noProof/>
        </w:rPr>
        <w:t>Water Services (Water Corporations Charges) Regulations 2014</w:t>
      </w:r>
      <w:r>
        <w:t xml:space="preserve"> and includes the amendments made by the other written laws referred to in the following table.  The table also contains information about any reprint.</w:t>
      </w:r>
    </w:p>
    <w:p>
      <w:pPr>
        <w:pStyle w:val="nHeading3"/>
      </w:pPr>
      <w:bookmarkStart w:id="931" w:name="_Toc12277721"/>
      <w:r>
        <w:t>Compilation table</w:t>
      </w:r>
      <w:bookmarkEnd w:id="9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932" w:name="OLE_LINK1"/>
            <w:r>
              <w:rPr>
                <w:i/>
              </w:rPr>
              <w:t>Water Services (Water Corporations Charges) Amendment Regulations 2017</w:t>
            </w:r>
            <w:bookmarkEnd w:id="932"/>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single" w:sz="4" w:space="0" w:color="auto"/>
            </w:tcBorders>
            <w:shd w:val="clear" w:color="auto" w:fill="auto"/>
          </w:tcPr>
          <w:p>
            <w:pPr>
              <w:pStyle w:val="nTable"/>
              <w:spacing w:after="40"/>
            </w:pPr>
            <w:r>
              <w:t>14 Jun 2019 p. 1929</w:t>
            </w:r>
            <w:r>
              <w:noBreakHyphen/>
              <w:t>2010</w:t>
            </w:r>
          </w:p>
        </w:tc>
        <w:tc>
          <w:tcPr>
            <w:tcW w:w="2693" w:type="dxa"/>
            <w:gridSpan w:val="2"/>
            <w:tcBorders>
              <w:top w:val="nil"/>
              <w:bottom w:val="single" w:sz="4" w:space="0" w:color="auto"/>
            </w:tcBorders>
            <w:shd w:val="clear" w:color="auto" w:fill="auto"/>
          </w:tcPr>
          <w:p>
            <w:pPr>
              <w:pStyle w:val="nTable"/>
              <w:spacing w:after="40"/>
              <w:rPr>
                <w:bCs/>
                <w:snapToGrid w:val="0"/>
                <w:spacing w:val="-2"/>
              </w:rPr>
            </w:pPr>
            <w:r>
              <w:rPr>
                <w:bCs/>
                <w:snapToGrid w:val="0"/>
                <w:spacing w:val="-2"/>
              </w:rPr>
              <w:t>1 Jul 2019 (see r. 2(b))</w:t>
            </w:r>
          </w:p>
        </w:tc>
      </w:tr>
    </w:tbl>
    <w:p>
      <w:pPr>
        <w:pStyle w:val="nSubsection"/>
        <w:spacing w:before="160"/>
      </w:pPr>
      <w:r>
        <w:rPr>
          <w:vertAlign w:val="superscript"/>
        </w:rPr>
        <w:t>2</w:t>
      </w:r>
      <w:r>
        <w:tab/>
        <w:t xml:space="preserve">The </w:t>
      </w:r>
      <w:r>
        <w:rPr>
          <w:i/>
        </w:rPr>
        <w:t>Country Town Sewage By-laws 1952</w:t>
      </w:r>
      <w:r>
        <w:t xml:space="preserve"> were repealed by the </w:t>
      </w:r>
      <w:r>
        <w:rPr>
          <w:i/>
        </w:rPr>
        <w:t>Water Services Legislation Amendment and Repeal Act 2012</w:t>
      </w:r>
      <w:r>
        <w:t xml:space="preserve"> s. 200(b) on 18 Nov 2013.</w:t>
      </w:r>
    </w:p>
    <w:p>
      <w:pPr>
        <w:pStyle w:val="nSubsection"/>
      </w:pPr>
      <w:r>
        <w:rPr>
          <w:vertAlign w:val="superscript"/>
        </w:rPr>
        <w:t>3</w:t>
      </w:r>
      <w:r>
        <w:tab/>
        <w:t xml:space="preserve">The </w:t>
      </w:r>
      <w:r>
        <w:rPr>
          <w:i/>
        </w:rPr>
        <w:t xml:space="preserve">Water Agencies (Charges) By-laws 1987 </w:t>
      </w:r>
      <w:r>
        <w:t xml:space="preserve">were repealed by the </w:t>
      </w:r>
      <w:r>
        <w:rPr>
          <w:i/>
        </w:rPr>
        <w:t>Water Services Legislation Amendment and Repeal Act 2012</w:t>
      </w:r>
      <w:r>
        <w:t xml:space="preserve"> s. 202(b) on 1 Jul 2014.</w:t>
      </w:r>
    </w:p>
    <w:p>
      <w:pPr>
        <w:pStyle w:val="nSubsection"/>
      </w:pPr>
      <w:r>
        <w:rPr>
          <w:vertAlign w:val="superscript"/>
        </w:rPr>
        <w:t>4</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Subsection"/>
      </w:pPr>
      <w:r>
        <w:rPr>
          <w:vertAlign w:val="superscript"/>
        </w:rPr>
        <w:t>5</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pStyle w:val="nSubsection"/>
        <w:rPr>
          <w:snapToGrid w:val="0"/>
        </w:rPr>
      </w:pPr>
    </w:p>
    <w:p>
      <w:pPr>
        <w:pStyle w:val="BlankOpen"/>
      </w:pPr>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934" w:name="_Toc11766408"/>
      <w:bookmarkStart w:id="935" w:name="_Toc11835817"/>
      <w:bookmarkStart w:id="936" w:name="_Toc12273894"/>
      <w:bookmarkStart w:id="937" w:name="_Toc12277722"/>
      <w:r>
        <w:rPr>
          <w:sz w:val="28"/>
        </w:rPr>
        <w:t>Defined terms</w:t>
      </w:r>
      <w:bookmarkEnd w:id="934"/>
      <w:bookmarkEnd w:id="935"/>
      <w:bookmarkEnd w:id="936"/>
      <w:bookmarkEnd w:id="9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aged home</w:t>
      </w:r>
      <w:r>
        <w:tab/>
        <w:t>16(1)</w:t>
      </w:r>
    </w:p>
    <w:p>
      <w:pPr>
        <w:pStyle w:val="DefinedTerms"/>
      </w:pPr>
      <w:r>
        <w:t>alienated land</w:t>
      </w:r>
      <w:r>
        <w:tab/>
        <w:t>16(1)</w:t>
      </w:r>
    </w:p>
    <w:p>
      <w:pPr>
        <w:pStyle w:val="DefinedTerms"/>
      </w:pPr>
      <w:r>
        <w:t>approved meter</w:t>
      </w:r>
      <w:r>
        <w:tab/>
        <w:t>23(1)</w:t>
      </w:r>
    </w:p>
    <w:p>
      <w:pPr>
        <w:pStyle w:val="DefinedTerms"/>
      </w:pPr>
      <w:r>
        <w:t>B.O.D.</w:t>
      </w:r>
      <w:r>
        <w:tab/>
        <w:t>Sch. 4 cl. 30</w:t>
      </w:r>
    </w:p>
    <w:p>
      <w:pPr>
        <w:pStyle w:val="DefinedTerms"/>
      </w:pPr>
      <w:r>
        <w:t>boundary volume</w:t>
      </w:r>
      <w:r>
        <w:tab/>
        <w:t>16(1)</w:t>
      </w:r>
    </w:p>
    <w:p>
      <w:pPr>
        <w:pStyle w:val="DefinedTerms"/>
      </w:pPr>
      <w:r>
        <w:t>c/kg</w:t>
      </w:r>
      <w:r>
        <w:tab/>
        <w:t>Sch. 4 cl. 30</w:t>
      </w:r>
    </w:p>
    <w:p>
      <w:pPr>
        <w:pStyle w:val="DefinedTerms"/>
      </w:pPr>
      <w:r>
        <w:t>c/kL</w:t>
      </w:r>
      <w:r>
        <w:tab/>
        <w:t>Sch. 4 cl. 30</w:t>
      </w:r>
    </w:p>
    <w:p>
      <w:pPr>
        <w:pStyle w:val="DefinedTerms"/>
      </w:pPr>
      <w:r>
        <w:t>caravan bay</w:t>
      </w:r>
      <w:r>
        <w:tab/>
        <w:t>16(1)</w:t>
      </w:r>
    </w:p>
    <w:p>
      <w:pPr>
        <w:pStyle w:val="DefinedTerms"/>
      </w:pPr>
      <w:r>
        <w:t>central business districts</w:t>
      </w:r>
      <w:r>
        <w:tab/>
        <w:t>16(1)</w:t>
      </w:r>
    </w:p>
    <w:p>
      <w:pPr>
        <w:pStyle w:val="DefinedTerms"/>
      </w:pPr>
      <w:r>
        <w:t>change of circumstances</w:t>
      </w:r>
      <w:r>
        <w:tab/>
        <w:t>16(1)</w:t>
      </w:r>
    </w:p>
    <w:p>
      <w:pPr>
        <w:pStyle w:val="DefinedTerms"/>
      </w:pPr>
      <w:r>
        <w:t>charge period</w:t>
      </w:r>
      <w:r>
        <w:tab/>
        <w:t>3(1)</w:t>
      </w:r>
    </w:p>
    <w:p>
      <w:pPr>
        <w:pStyle w:val="DefinedTerms"/>
      </w:pPr>
      <w:r>
        <w:t>charitable purposes</w:t>
      </w:r>
      <w:r>
        <w:tab/>
        <w:t>16(1)</w:t>
      </w:r>
    </w:p>
    <w:p>
      <w:pPr>
        <w:pStyle w:val="DefinedTerms"/>
      </w:pPr>
      <w:r>
        <w:t>combined charge</w:t>
      </w:r>
      <w:r>
        <w:tab/>
        <w:t>42(1)</w:t>
      </w:r>
    </w:p>
    <w:p>
      <w:pPr>
        <w:pStyle w:val="DefinedTerms"/>
      </w:pPr>
      <w:r>
        <w:t>Commonwealth seniors health card</w:t>
      </w:r>
      <w:r>
        <w:tab/>
        <w:t>3(1)</w:t>
      </w:r>
    </w:p>
    <w:p>
      <w:pPr>
        <w:pStyle w:val="DefinedTerms"/>
      </w:pPr>
      <w:r>
        <w:t>concession card holder</w:t>
      </w:r>
      <w:r>
        <w:tab/>
        <w:t>16(1)</w:t>
      </w:r>
    </w:p>
    <w:p>
      <w:pPr>
        <w:pStyle w:val="DefinedTerms"/>
      </w:pPr>
      <w:r>
        <w:t>concessional land</w:t>
      </w:r>
      <w:r>
        <w:tab/>
        <w:t>16(1)</w:t>
      </w:r>
    </w:p>
    <w:p>
      <w:pPr>
        <w:pStyle w:val="DefinedTerms"/>
      </w:pPr>
      <w:r>
        <w:t>consumption year</w:t>
      </w:r>
      <w:r>
        <w:tab/>
        <w:t>6, 11, 16(1)</w:t>
      </w:r>
    </w:p>
    <w:p>
      <w:pPr>
        <w:pStyle w:val="DefinedTerms"/>
      </w:pPr>
      <w:r>
        <w:t>cost of sampling</w:t>
      </w:r>
      <w:r>
        <w:tab/>
        <w:t>Sch. 7 cl. 13</w:t>
      </w:r>
    </w:p>
    <w:p>
      <w:pPr>
        <w:pStyle w:val="DefinedTerms"/>
      </w:pPr>
      <w:r>
        <w:t>desalinated water</w:t>
      </w:r>
      <w:r>
        <w:tab/>
        <w:t>16(1)</w:t>
      </w:r>
    </w:p>
    <w:p>
      <w:pPr>
        <w:pStyle w:val="DefinedTerms"/>
      </w:pPr>
      <w:r>
        <w:t>development</w:t>
      </w:r>
      <w:r>
        <w:tab/>
        <w:t>47(4)</w:t>
      </w:r>
    </w:p>
    <w:p>
      <w:pPr>
        <w:pStyle w:val="DefinedTerms"/>
      </w:pPr>
      <w:r>
        <w:t>discharge factor</w:t>
      </w:r>
      <w:r>
        <w:tab/>
        <w:t>16(1)</w:t>
      </w:r>
    </w:p>
    <w:p>
      <w:pPr>
        <w:pStyle w:val="DefinedTerms"/>
      </w:pPr>
      <w:r>
        <w:t>discharge volume</w:t>
      </w:r>
      <w:r>
        <w:tab/>
        <w:t>16(1)</w:t>
      </w:r>
    </w:p>
    <w:p>
      <w:pPr>
        <w:pStyle w:val="DefinedTerms"/>
      </w:pPr>
      <w:r>
        <w:t>discharge year</w:t>
      </w:r>
      <w:r>
        <w:tab/>
        <w:t>16(1)</w:t>
      </w:r>
    </w:p>
    <w:p>
      <w:pPr>
        <w:pStyle w:val="DefinedTerms"/>
      </w:pPr>
      <w:r>
        <w:t>drainage area</w:t>
      </w:r>
      <w:r>
        <w:tab/>
        <w:t>16(1)</w:t>
      </w:r>
    </w:p>
    <w:p>
      <w:pPr>
        <w:pStyle w:val="DefinedTerms"/>
      </w:pPr>
      <w:r>
        <w:t>drainage charge</w:t>
      </w:r>
      <w:r>
        <w:tab/>
        <w:t>16(1)</w:t>
      </w:r>
    </w:p>
    <w:p>
      <w:pPr>
        <w:pStyle w:val="DefinedTerms"/>
      </w:pPr>
      <w:r>
        <w:t>eligible pensioner</w:t>
      </w:r>
      <w:r>
        <w:tab/>
        <w:t>3(1)</w:t>
      </w:r>
    </w:p>
    <w:p>
      <w:pPr>
        <w:pStyle w:val="DefinedTerms"/>
      </w:pPr>
      <w:r>
        <w:t>financial year</w:t>
      </w:r>
      <w:r>
        <w:tab/>
        <w:t>6, 11, 16(1)</w:t>
      </w:r>
    </w:p>
    <w:p>
      <w:pPr>
        <w:pStyle w:val="DefinedTerms"/>
      </w:pPr>
      <w:r>
        <w:t>garden service connection</w:t>
      </w:r>
      <w:r>
        <w:tab/>
        <w:t>3(1)</w:t>
      </w:r>
    </w:p>
    <w:p>
      <w:pPr>
        <w:pStyle w:val="DefinedTerms"/>
      </w:pPr>
      <w:r>
        <w:t>government trading organisation</w:t>
      </w:r>
      <w:r>
        <w:tab/>
        <w:t>16(1)</w:t>
      </w:r>
    </w:p>
    <w:p>
      <w:pPr>
        <w:pStyle w:val="DefinedTerms"/>
      </w:pPr>
      <w:r>
        <w:t>GRV</w:t>
      </w:r>
      <w:r>
        <w:tab/>
        <w:t>16(1)</w:t>
      </w:r>
    </w:p>
    <w:p>
      <w:pPr>
        <w:pStyle w:val="DefinedTerms"/>
      </w:pPr>
      <w:r>
        <w:t>holiday accommodation</w:t>
      </w:r>
      <w:r>
        <w:tab/>
        <w:t>16(1)</w:t>
      </w:r>
    </w:p>
    <w:p>
      <w:pPr>
        <w:pStyle w:val="DefinedTerms"/>
      </w:pPr>
      <w:r>
        <w:t>hydrant standpipe</w:t>
      </w:r>
      <w:r>
        <w:tab/>
        <w:t>16(1)</w:t>
      </w:r>
    </w:p>
    <w:p>
      <w:pPr>
        <w:pStyle w:val="DefinedTerms"/>
      </w:pPr>
      <w:r>
        <w:t>irrigation district</w:t>
      </w:r>
      <w:r>
        <w:tab/>
        <w:t>16(1)</w:t>
      </w:r>
    </w:p>
    <w:p>
      <w:pPr>
        <w:pStyle w:val="DefinedTerms"/>
      </w:pPr>
      <w:r>
        <w:t>irrigation works</w:t>
      </w:r>
      <w:r>
        <w:tab/>
        <w:t>16(1)</w:t>
      </w:r>
    </w:p>
    <w:p>
      <w:pPr>
        <w:pStyle w:val="DefinedTerms"/>
      </w:pPr>
      <w:r>
        <w:t>local government standpipe</w:t>
      </w:r>
      <w:r>
        <w:tab/>
        <w:t>16(1)</w:t>
      </w:r>
    </w:p>
    <w:p>
      <w:pPr>
        <w:pStyle w:val="DefinedTerms"/>
      </w:pPr>
      <w:r>
        <w:t>long</w:t>
      </w:r>
      <w:r>
        <w:noBreakHyphen/>
        <w:t>term residential caravan bay</w:t>
      </w:r>
      <w:r>
        <w:tab/>
        <w:t>16(1)</w:t>
      </w:r>
    </w:p>
    <w:p>
      <w:pPr>
        <w:pStyle w:val="DefinedTerms"/>
      </w:pPr>
      <w:r>
        <w:t>lot</w:t>
      </w:r>
      <w:r>
        <w:tab/>
        <w:t>6, 11, 16(1)</w:t>
      </w:r>
    </w:p>
    <w:p>
      <w:pPr>
        <w:pStyle w:val="DefinedTerms"/>
      </w:pPr>
      <w:r>
        <w:t>major fixture</w:t>
      </w:r>
      <w:r>
        <w:tab/>
        <w:t>16(1)</w:t>
      </w:r>
    </w:p>
    <w:p>
      <w:pPr>
        <w:pStyle w:val="DefinedTerms"/>
      </w:pPr>
      <w:r>
        <w:t>non</w:t>
      </w:r>
      <w:r>
        <w:noBreakHyphen/>
        <w:t>commercial government property</w:t>
      </w:r>
      <w:r>
        <w:tab/>
        <w:t>16(1)</w:t>
      </w:r>
    </w:p>
    <w:p>
      <w:pPr>
        <w:pStyle w:val="DefinedTerms"/>
      </w:pPr>
      <w:r>
        <w:t>non</w:t>
      </w:r>
      <w:r>
        <w:noBreakHyphen/>
        <w:t>profit private organisation</w:t>
      </w:r>
      <w:r>
        <w:tab/>
        <w:t>16(1)</w:t>
      </w:r>
    </w:p>
    <w:p>
      <w:pPr>
        <w:pStyle w:val="DefinedTerms"/>
      </w:pPr>
      <w:r>
        <w:t>non</w:t>
      </w:r>
      <w:r>
        <w:noBreakHyphen/>
        <w:t>residential lot</w:t>
      </w:r>
      <w:r>
        <w:tab/>
        <w:t>6, 11</w:t>
      </w:r>
    </w:p>
    <w:p>
      <w:pPr>
        <w:pStyle w:val="DefinedTerms"/>
      </w:pPr>
      <w:r>
        <w:t>nursing home</w:t>
      </w:r>
      <w:r>
        <w:tab/>
        <w:t>16(1)</w:t>
      </w:r>
    </w:p>
    <w:p>
      <w:pPr>
        <w:pStyle w:val="DefinedTerms"/>
      </w:pPr>
      <w:r>
        <w:t>old provision</w:t>
      </w:r>
      <w:r>
        <w:tab/>
        <w:t>55(1)</w:t>
      </w:r>
    </w:p>
    <w:p>
      <w:pPr>
        <w:pStyle w:val="DefinedTerms"/>
      </w:pPr>
      <w:r>
        <w:t>permitted surcharge</w:t>
      </w:r>
      <w:r>
        <w:tab/>
        <w:t>15A(1), 20(1)</w:t>
      </w:r>
    </w:p>
    <w:p>
      <w:pPr>
        <w:pStyle w:val="DefinedTerms"/>
      </w:pPr>
      <w:r>
        <w:t>product evaluation</w:t>
      </w:r>
      <w:r>
        <w:tab/>
        <w:t>Sch. 7 cl. 13</w:t>
      </w:r>
    </w:p>
    <w:p>
      <w:pPr>
        <w:pStyle w:val="DefinedTerms"/>
      </w:pPr>
      <w:r>
        <w:t>public land</w:t>
      </w:r>
      <w:r>
        <w:tab/>
        <w:t>16(1)</w:t>
      </w:r>
    </w:p>
    <w:p>
      <w:pPr>
        <w:pStyle w:val="DefinedTerms"/>
      </w:pPr>
      <w:r>
        <w:t>RBA Standard No. 3 of 2016</w:t>
      </w:r>
      <w:r>
        <w:tab/>
        <w:t>15A(1), 20(1)</w:t>
      </w:r>
    </w:p>
    <w:p>
      <w:pPr>
        <w:pStyle w:val="DefinedTerms"/>
      </w:pPr>
      <w:r>
        <w:t>registered pensioner</w:t>
      </w:r>
      <w:r>
        <w:tab/>
        <w:t>3(1)</w:t>
      </w:r>
    </w:p>
    <w:p>
      <w:pPr>
        <w:pStyle w:val="DefinedTerms"/>
      </w:pPr>
      <w:r>
        <w:t>registered senior</w:t>
      </w:r>
      <w:r>
        <w:tab/>
        <w:t>3(1)</w:t>
      </w:r>
    </w:p>
    <w:p>
      <w:pPr>
        <w:pStyle w:val="DefinedTerms"/>
      </w:pPr>
      <w:r>
        <w:t>residential lot</w:t>
      </w:r>
      <w:r>
        <w:tab/>
        <w:t>6, 11</w:t>
      </w:r>
    </w:p>
    <w:p>
      <w:pPr>
        <w:pStyle w:val="DefinedTerms"/>
      </w:pPr>
      <w:r>
        <w:t>residential property</w:t>
      </w:r>
      <w:r>
        <w:tab/>
        <w:t>16(1)</w:t>
      </w:r>
    </w:p>
    <w:p>
      <w:pPr>
        <w:pStyle w:val="DefinedTerms"/>
      </w:pPr>
      <w:r>
        <w:t>residential rate</w:t>
      </w:r>
      <w:r>
        <w:tab/>
        <w:t>27(3)</w:t>
      </w:r>
    </w:p>
    <w:p>
      <w:pPr>
        <w:pStyle w:val="DefinedTerms"/>
      </w:pPr>
      <w:r>
        <w:t>retirement village</w:t>
      </w:r>
      <w:r>
        <w:tab/>
        <w:t>16(1)</w:t>
      </w:r>
    </w:p>
    <w:p>
      <w:pPr>
        <w:pStyle w:val="DefinedTerms"/>
      </w:pPr>
      <w:r>
        <w:t>rural land</w:t>
      </w:r>
      <w:r>
        <w:tab/>
        <w:t>47(4)</w:t>
      </w:r>
    </w:p>
    <w:p>
      <w:pPr>
        <w:pStyle w:val="DefinedTerms"/>
      </w:pPr>
      <w:r>
        <w:t>semi</w:t>
      </w:r>
      <w:r>
        <w:noBreakHyphen/>
        <w:t>rural residential property</w:t>
      </w:r>
      <w:r>
        <w:tab/>
        <w:t>16(1)</w:t>
      </w:r>
    </w:p>
    <w:p>
      <w:pPr>
        <w:pStyle w:val="DefinedTerms"/>
      </w:pPr>
      <w:r>
        <w:t>sewerage area</w:t>
      </w:r>
      <w:r>
        <w:tab/>
        <w:t>16(1)</w:t>
      </w:r>
    </w:p>
    <w:p>
      <w:pPr>
        <w:pStyle w:val="DefinedTerms"/>
      </w:pPr>
      <w:r>
        <w:t>sewerage charge</w:t>
      </w:r>
      <w:r>
        <w:tab/>
        <w:t>16(1)</w:t>
      </w:r>
    </w:p>
    <w:p>
      <w:pPr>
        <w:pStyle w:val="DefinedTerms"/>
      </w:pPr>
      <w:r>
        <w:t>shared grease arrestor</w:t>
      </w:r>
      <w:r>
        <w:tab/>
        <w:t>Sch. 4 cl. 8</w:t>
      </w:r>
    </w:p>
    <w:p>
      <w:pPr>
        <w:pStyle w:val="DefinedTerms"/>
      </w:pPr>
      <w:r>
        <w:t>single capital infrastructure charge</w:t>
      </w:r>
      <w:r>
        <w:tab/>
        <w:t>16(1)</w:t>
      </w:r>
    </w:p>
    <w:p>
      <w:pPr>
        <w:pStyle w:val="DefinedTerms"/>
      </w:pPr>
      <w:r>
        <w:t>special meter reading</w:t>
      </w:r>
      <w:r>
        <w:tab/>
        <w:t>16(1)</w:t>
      </w:r>
    </w:p>
    <w:p>
      <w:pPr>
        <w:pStyle w:val="DefinedTerms"/>
      </w:pPr>
      <w:r>
        <w:t>strata</w:t>
      </w:r>
      <w:r>
        <w:noBreakHyphen/>
        <w:t>titled caravan bay</w:t>
      </w:r>
      <w:r>
        <w:tab/>
        <w:t>16(1)</w:t>
      </w:r>
    </w:p>
    <w:p>
      <w:pPr>
        <w:pStyle w:val="DefinedTerms"/>
      </w:pPr>
      <w:r>
        <w:t>trade waste charge</w:t>
      </w:r>
      <w:r>
        <w:tab/>
        <w:t>19(1)</w:t>
      </w:r>
    </w:p>
    <w:p>
      <w:pPr>
        <w:pStyle w:val="DefinedTerms"/>
      </w:pPr>
      <w:r>
        <w:t>vacant land</w:t>
      </w:r>
      <w:r>
        <w:tab/>
        <w:t>3(1)</w:t>
      </w:r>
    </w:p>
    <w:p>
      <w:pPr>
        <w:pStyle w:val="DefinedTerms"/>
      </w:pPr>
      <w:r>
        <w:t>water supply charge</w:t>
      </w:r>
      <w:r>
        <w:tab/>
        <w:t>16(1)</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886" w:name="Schedule"/>
    <w:bookmarkEnd w:id="8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33" w:name="Compilation"/>
    <w:bookmarkEnd w:id="93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8" w:name="DefinedTerms"/>
    <w:bookmarkEnd w:id="938"/>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9" w:name="Coversheet"/>
    <w:bookmarkEnd w:id="9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8155641"/>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4.png"/><Relationship Id="rId42" Type="http://schemas.openxmlformats.org/officeDocument/2006/relationships/header" Target="header24.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04C15-E8C5-4098-9963-141D6515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27690</Words>
  <Characters>132915</Characters>
  <Application>Microsoft Office Word</Application>
  <DocSecurity>0</DocSecurity>
  <Lines>5778</Lines>
  <Paragraphs>4723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2014 - 01-i0-00</dc:title>
  <dc:subject/>
  <dc:creator/>
  <cp:keywords/>
  <dc:description/>
  <cp:lastModifiedBy>svcMRProcess</cp:lastModifiedBy>
  <cp:revision>4</cp:revision>
  <cp:lastPrinted>2019-06-24T04:53:00Z</cp:lastPrinted>
  <dcterms:created xsi:type="dcterms:W3CDTF">2020-02-29T11:32:00Z</dcterms:created>
  <dcterms:modified xsi:type="dcterms:W3CDTF">2020-02-29T11:32:00Z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AsAtDate">
    <vt:lpwstr>01 Jul 2019</vt:lpwstr>
  </property>
  <property fmtid="{D5CDD505-2E9C-101B-9397-08002B2CF9AE}" pid="7" name="Suffix">
    <vt:lpwstr>01-i0-00</vt:lpwstr>
  </property>
  <property fmtid="{D5CDD505-2E9C-101B-9397-08002B2CF9AE}" pid="8" name="CommencementDate">
    <vt:lpwstr>20190701</vt:lpwstr>
  </property>
</Properties>
</file>