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Private Hospitals and Health Services Act 1927</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_Toc12264930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_Toc12264931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_Toc12264932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_Toc12264933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_Toc12264934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_Toc12264935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_Toc12264936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_Toc12264937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_Toc12264938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_Toc12264939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_Toc12264940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_Toc12264941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_Toc12264942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_Toc12264943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_Toc12264944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_Toc12264945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_Toc12264946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_Toc12264947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_Toc12264950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3" w:name="_Toc12264930"/>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12264931"/>
      <w:r>
        <w:rPr>
          <w:rStyle w:val="CharSectno"/>
        </w:rPr>
        <w:t>2</w:t>
      </w:r>
      <w:r>
        <w:rPr>
          <w:snapToGrid w:val="0"/>
        </w:rPr>
        <w:t>.</w:t>
      </w:r>
      <w:r>
        <w:rPr>
          <w:snapToGrid w:val="0"/>
        </w:rPr>
        <w:tab/>
        <w:t>Commencement</w:t>
      </w:r>
      <w:bookmarkEnd w:id="4"/>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5" w:name="_Toc12264932"/>
      <w:r>
        <w:rPr>
          <w:rStyle w:val="CharSectno"/>
        </w:rPr>
        <w:t>3</w:t>
      </w:r>
      <w:r>
        <w:rPr>
          <w:snapToGrid w:val="0"/>
        </w:rPr>
        <w:t>.</w:t>
      </w:r>
      <w:r>
        <w:rPr>
          <w:snapToGrid w:val="0"/>
        </w:rPr>
        <w:tab/>
        <w:t>Terms used</w:t>
      </w:r>
      <w:bookmarkEnd w:id="5"/>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6" w:name="_Toc12264933"/>
      <w:r>
        <w:rPr>
          <w:rStyle w:val="CharSectno"/>
        </w:rPr>
        <w:t>4</w:t>
      </w:r>
      <w:r>
        <w:rPr>
          <w:snapToGrid w:val="0"/>
        </w:rPr>
        <w:t>.</w:t>
      </w:r>
      <w:r>
        <w:rPr>
          <w:snapToGrid w:val="0"/>
        </w:rPr>
        <w:tab/>
        <w:t>Term used: licence holder</w:t>
      </w:r>
      <w:bookmarkEnd w:id="6"/>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7" w:name="_Toc12264934"/>
      <w:r>
        <w:rPr>
          <w:rStyle w:val="CharSectno"/>
        </w:rPr>
        <w:t>5</w:t>
      </w:r>
      <w:r>
        <w:rPr>
          <w:snapToGrid w:val="0"/>
        </w:rPr>
        <w:t>.</w:t>
      </w:r>
      <w:r>
        <w:rPr>
          <w:snapToGrid w:val="0"/>
        </w:rPr>
        <w:tab/>
        <w:t>Licences, application for, duration of etc.</w:t>
      </w:r>
      <w:bookmarkEnd w:id="7"/>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8" w:name="_Toc12264935"/>
      <w:r>
        <w:rPr>
          <w:rStyle w:val="CharSectno"/>
        </w:rPr>
        <w:t>6</w:t>
      </w:r>
      <w:r>
        <w:rPr>
          <w:snapToGrid w:val="0"/>
        </w:rPr>
        <w:t>.</w:t>
      </w:r>
      <w:r>
        <w:rPr>
          <w:snapToGrid w:val="0"/>
        </w:rPr>
        <w:tab/>
        <w:t>Fee for application for approval of premises</w:t>
      </w:r>
      <w:bookmarkEnd w:id="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9" w:name="_Toc12264936"/>
      <w:r>
        <w:rPr>
          <w:rStyle w:val="CharSectno"/>
        </w:rPr>
        <w:t>7</w:t>
      </w:r>
      <w:r>
        <w:rPr>
          <w:snapToGrid w:val="0"/>
        </w:rPr>
        <w:t>.</w:t>
      </w:r>
      <w:r>
        <w:rPr>
          <w:snapToGrid w:val="0"/>
        </w:rPr>
        <w:tab/>
        <w:t>Supervisors of hostels, approval of etc.</w:t>
      </w:r>
      <w:bookmarkEnd w:id="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0" w:name="_Toc12264937"/>
      <w:r>
        <w:rPr>
          <w:rStyle w:val="CharSectno"/>
        </w:rPr>
        <w:t>8</w:t>
      </w:r>
      <w:r>
        <w:rPr>
          <w:snapToGrid w:val="0"/>
        </w:rPr>
        <w:t>.</w:t>
      </w:r>
      <w:r>
        <w:rPr>
          <w:snapToGrid w:val="0"/>
        </w:rPr>
        <w:tab/>
        <w:t>Management of hostels</w:t>
      </w:r>
      <w:bookmarkEnd w:id="10"/>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1" w:name="_Toc12264938"/>
      <w:r>
        <w:rPr>
          <w:rStyle w:val="CharSectno"/>
        </w:rPr>
        <w:t>9</w:t>
      </w:r>
      <w:r>
        <w:rPr>
          <w:snapToGrid w:val="0"/>
        </w:rPr>
        <w:t>.</w:t>
      </w:r>
      <w:r>
        <w:rPr>
          <w:snapToGrid w:val="0"/>
        </w:rPr>
        <w:tab/>
        <w:t>Management of animals at hostels</w:t>
      </w:r>
      <w:bookmarkEnd w:id="1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2" w:name="_Toc12264939"/>
      <w:r>
        <w:rPr>
          <w:rStyle w:val="CharSectno"/>
        </w:rPr>
        <w:t>10</w:t>
      </w:r>
      <w:r>
        <w:rPr>
          <w:snapToGrid w:val="0"/>
        </w:rPr>
        <w:t>.</w:t>
      </w:r>
      <w:r>
        <w:rPr>
          <w:snapToGrid w:val="0"/>
        </w:rPr>
        <w:tab/>
        <w:t>Food preparation and diet at hostels</w:t>
      </w:r>
      <w:bookmarkEnd w:id="1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3" w:name="_Toc12264940"/>
      <w:r>
        <w:rPr>
          <w:rStyle w:val="CharSectno"/>
        </w:rPr>
        <w:t>11</w:t>
      </w:r>
      <w:r>
        <w:rPr>
          <w:snapToGrid w:val="0"/>
        </w:rPr>
        <w:t>.</w:t>
      </w:r>
      <w:r>
        <w:rPr>
          <w:snapToGrid w:val="0"/>
        </w:rPr>
        <w:tab/>
        <w:t>Administration of drugs at hostels</w:t>
      </w:r>
      <w:bookmarkEnd w:id="1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Gazette 1 Apr 2011 p. 1181.]</w:t>
      </w:r>
    </w:p>
    <w:p>
      <w:pPr>
        <w:pStyle w:val="Heading5"/>
        <w:rPr>
          <w:snapToGrid w:val="0"/>
        </w:rPr>
      </w:pPr>
      <w:bookmarkStart w:id="14" w:name="_Toc12264941"/>
      <w:r>
        <w:rPr>
          <w:rStyle w:val="CharSectno"/>
        </w:rPr>
        <w:t>12</w:t>
      </w:r>
      <w:r>
        <w:rPr>
          <w:snapToGrid w:val="0"/>
        </w:rPr>
        <w:t>.</w:t>
      </w:r>
      <w:r>
        <w:rPr>
          <w:snapToGrid w:val="0"/>
        </w:rPr>
        <w:tab/>
        <w:t>Clothing and toiletries for residents</w:t>
      </w:r>
      <w:bookmarkEnd w:id="14"/>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15" w:name="_Toc12264942"/>
      <w:r>
        <w:rPr>
          <w:rStyle w:val="CharSectno"/>
        </w:rPr>
        <w:t>13</w:t>
      </w:r>
      <w:r>
        <w:rPr>
          <w:snapToGrid w:val="0"/>
        </w:rPr>
        <w:t>.</w:t>
      </w:r>
      <w:r>
        <w:rPr>
          <w:snapToGrid w:val="0"/>
        </w:rPr>
        <w:tab/>
        <w:t>Certain events to be reported to Chief Psychiatrist</w:t>
      </w:r>
      <w:bookmarkEnd w:id="15"/>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Gazette 12 Apr 2011 p. 1310; 29 Jan 2016 p. 274.]</w:t>
      </w:r>
    </w:p>
    <w:p>
      <w:pPr>
        <w:pStyle w:val="Heading5"/>
        <w:rPr>
          <w:snapToGrid w:val="0"/>
        </w:rPr>
      </w:pPr>
      <w:bookmarkStart w:id="16" w:name="_Toc12264943"/>
      <w:r>
        <w:rPr>
          <w:rStyle w:val="CharSectno"/>
        </w:rPr>
        <w:t>14</w:t>
      </w:r>
      <w:r>
        <w:rPr>
          <w:snapToGrid w:val="0"/>
        </w:rPr>
        <w:t>.</w:t>
      </w:r>
      <w:r>
        <w:rPr>
          <w:snapToGrid w:val="0"/>
        </w:rPr>
        <w:tab/>
        <w:t>Minimum proportion of pension for resident’s use</w:t>
      </w:r>
      <w:bookmarkEnd w:id="16"/>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p>
    <w:p>
      <w:pPr>
        <w:pStyle w:val="Heading5"/>
        <w:rPr>
          <w:snapToGrid w:val="0"/>
        </w:rPr>
      </w:pPr>
      <w:bookmarkStart w:id="17" w:name="_Toc12264944"/>
      <w:r>
        <w:rPr>
          <w:rStyle w:val="CharSectno"/>
        </w:rPr>
        <w:t>15</w:t>
      </w:r>
      <w:r>
        <w:rPr>
          <w:snapToGrid w:val="0"/>
        </w:rPr>
        <w:t>.</w:t>
      </w:r>
      <w:r>
        <w:rPr>
          <w:snapToGrid w:val="0"/>
        </w:rPr>
        <w:tab/>
        <w:t>Register of information about residents</w:t>
      </w:r>
      <w:bookmarkEnd w:id="17"/>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Gazette 15 Dec 2006 p. 5627.]</w:t>
      </w:r>
    </w:p>
    <w:p>
      <w:pPr>
        <w:pStyle w:val="Heading5"/>
        <w:rPr>
          <w:snapToGrid w:val="0"/>
        </w:rPr>
      </w:pPr>
      <w:bookmarkStart w:id="18" w:name="_Toc12264945"/>
      <w:r>
        <w:rPr>
          <w:rStyle w:val="CharSectno"/>
        </w:rPr>
        <w:t>16</w:t>
      </w:r>
      <w:r>
        <w:rPr>
          <w:snapToGrid w:val="0"/>
        </w:rPr>
        <w:t>.</w:t>
      </w:r>
      <w:r>
        <w:rPr>
          <w:snapToGrid w:val="0"/>
        </w:rPr>
        <w:tab/>
        <w:t>Closure of hostel, advance notice to be given of</w:t>
      </w:r>
      <w:bookmarkEnd w:id="18"/>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Gazette 15 Dec 2006 p. 5627.]</w:t>
      </w:r>
    </w:p>
    <w:p>
      <w:pPr>
        <w:pStyle w:val="Heading5"/>
        <w:rPr>
          <w:snapToGrid w:val="0"/>
        </w:rPr>
      </w:pPr>
      <w:bookmarkStart w:id="19" w:name="_Toc12264946"/>
      <w:r>
        <w:rPr>
          <w:rStyle w:val="CharSectno"/>
        </w:rPr>
        <w:t>17</w:t>
      </w:r>
      <w:r>
        <w:rPr>
          <w:snapToGrid w:val="0"/>
        </w:rPr>
        <w:t>.</w:t>
      </w:r>
      <w:r>
        <w:rPr>
          <w:snapToGrid w:val="0"/>
        </w:rPr>
        <w:tab/>
        <w:t>Inspection of hostels</w:t>
      </w:r>
      <w:bookmarkEnd w:id="19"/>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Gazette 15 Dec 2006 p. 5627.]</w:t>
      </w:r>
    </w:p>
    <w:p>
      <w:pPr>
        <w:pStyle w:val="Heading5"/>
        <w:rPr>
          <w:snapToGrid w:val="0"/>
        </w:rPr>
      </w:pPr>
      <w:bookmarkStart w:id="20" w:name="_Toc12264947"/>
      <w:r>
        <w:rPr>
          <w:rStyle w:val="CharSectno"/>
        </w:rPr>
        <w:t>18</w:t>
      </w:r>
      <w:r>
        <w:rPr>
          <w:snapToGrid w:val="0"/>
        </w:rPr>
        <w:t>.</w:t>
      </w:r>
      <w:r>
        <w:rPr>
          <w:snapToGrid w:val="0"/>
        </w:rPr>
        <w:tab/>
        <w:t>Obstructing CEO etc., offence</w:t>
      </w:r>
      <w:bookmarkEnd w:id="20"/>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Gazette 15 Dec 2006 p. 5627.]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 w:name="_Toc12264926"/>
      <w:bookmarkStart w:id="23" w:name="_Toc12264948"/>
      <w:bookmarkStart w:id="24" w:name="_Toc11330563"/>
      <w:bookmarkStart w:id="25" w:name="_Toc11330793"/>
      <w:bookmarkStart w:id="26" w:name="_Toc11330871"/>
      <w:bookmarkStart w:id="27" w:name="_Toc11401310"/>
      <w:bookmarkStart w:id="28" w:name="_Toc11401341"/>
      <w:r>
        <w:rPr>
          <w:rStyle w:val="CharSchNo"/>
        </w:rPr>
        <w:t>Schedule 1</w:t>
      </w:r>
      <w:r>
        <w:rPr>
          <w:rStyle w:val="CharSDivNo"/>
        </w:rPr>
        <w:t> </w:t>
      </w:r>
      <w:r>
        <w:t>—</w:t>
      </w:r>
      <w:r>
        <w:rPr>
          <w:rStyle w:val="CharSDivText"/>
        </w:rPr>
        <w:t> </w:t>
      </w:r>
      <w:r>
        <w:rPr>
          <w:rStyle w:val="CharSchText"/>
        </w:rPr>
        <w:t>Fees</w:t>
      </w:r>
      <w:bookmarkEnd w:id="22"/>
      <w:bookmarkEnd w:id="23"/>
    </w:p>
    <w:p>
      <w:pPr>
        <w:pStyle w:val="yShoulderClause"/>
      </w:pPr>
      <w:r>
        <w:t xml:space="preserve"> [r. 5 and 6]</w:t>
      </w:r>
    </w:p>
    <w:p>
      <w:pPr>
        <w:pStyle w:val="yFootnoteheading"/>
        <w:spacing w:after="120"/>
      </w:pPr>
      <w:r>
        <w:tab/>
        <w:t>[Heading inserted: Gazette 14 Jun 2019 p. 1887.]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trPr>
        <w:tc>
          <w:tcPr>
            <w:tcW w:w="851" w:type="dxa"/>
          </w:tcPr>
          <w:p>
            <w:pPr>
              <w:pStyle w:val="yTableNAm"/>
              <w:jc w:val="center"/>
            </w:pPr>
            <w:r>
              <w:rPr>
                <w:b/>
                <w:bCs/>
              </w:rPr>
              <w:t>Item</w:t>
            </w:r>
          </w:p>
        </w:tc>
        <w:tc>
          <w:tcPr>
            <w:tcW w:w="4819" w:type="dxa"/>
            <w:gridSpan w:val="2"/>
          </w:tcPr>
          <w:p>
            <w:pPr>
              <w:pStyle w:val="yTableNAm"/>
              <w:jc w:val="center"/>
            </w:pPr>
            <w:r>
              <w:rPr>
                <w:b/>
                <w:bCs/>
              </w:rPr>
              <w:t>Description</w:t>
            </w:r>
          </w:p>
        </w:tc>
        <w:tc>
          <w:tcPr>
            <w:tcW w:w="1134" w:type="dxa"/>
          </w:tcPr>
          <w:p>
            <w:pPr>
              <w:pStyle w:val="yTableNAm"/>
              <w:jc w:val="center"/>
            </w:pPr>
            <w:r>
              <w:rPr>
                <w:b/>
                <w:bCs/>
              </w:rPr>
              <w:t>Fee ($)</w:t>
            </w:r>
          </w:p>
        </w:tc>
      </w:tr>
      <w:tr>
        <w:tc>
          <w:tcPr>
            <w:tcW w:w="851" w:type="dxa"/>
          </w:tcPr>
          <w:p>
            <w:pPr>
              <w:pStyle w:val="yTableNAm"/>
            </w:pPr>
            <w:r>
              <w:t>1.</w:t>
            </w:r>
          </w:p>
        </w:tc>
        <w:tc>
          <w:tcPr>
            <w:tcW w:w="2551" w:type="dxa"/>
          </w:tcPr>
          <w:p>
            <w:pPr>
              <w:pStyle w:val="yTableNAm"/>
            </w:pPr>
            <w:r>
              <w:t>Grant of licence (r. 5(1))</w:t>
            </w:r>
          </w:p>
        </w:tc>
        <w:tc>
          <w:tcPr>
            <w:tcW w:w="2268" w:type="dxa"/>
          </w:tcPr>
          <w:p>
            <w:pPr>
              <w:pStyle w:val="zyTableNAm"/>
            </w:pPr>
          </w:p>
        </w:tc>
        <w:tc>
          <w:tcPr>
            <w:tcW w:w="1134" w:type="dxa"/>
          </w:tcPr>
          <w:p>
            <w:pPr>
              <w:pStyle w:val="yTableNAm"/>
            </w:pPr>
            <w:r>
              <w:rPr>
                <w:szCs w:val="22"/>
              </w:rPr>
              <w:t>1 360</w:t>
            </w:r>
          </w:p>
        </w:tc>
      </w:tr>
      <w:tr>
        <w:tc>
          <w:tcPr>
            <w:tcW w:w="851" w:type="dxa"/>
          </w:tcPr>
          <w:p>
            <w:pPr>
              <w:pStyle w:val="yTableNAm"/>
            </w:pPr>
            <w:r>
              <w:t>2.</w:t>
            </w:r>
          </w:p>
        </w:tc>
        <w:tc>
          <w:tcPr>
            <w:tcW w:w="2551" w:type="dxa"/>
          </w:tcPr>
          <w:p>
            <w:pPr>
              <w:pStyle w:val="yTableNAm"/>
            </w:pPr>
            <w:r>
              <w:t>Renewal of licence (r. 5(3))</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r>
              <w:tab/>
            </w:r>
          </w:p>
          <w:p>
            <w:pPr>
              <w:pStyle w:val="yTableNAm"/>
              <w:tabs>
                <w:tab w:val="clear" w:pos="567"/>
                <w:tab w:val="right" w:leader="dot" w:pos="2018"/>
              </w:tabs>
            </w:pPr>
            <w:r>
              <w:t>25</w:t>
            </w:r>
            <w:r>
              <w:noBreakHyphen/>
              <w:t>100</w:t>
            </w:r>
            <w:r>
              <w:tab/>
            </w:r>
          </w:p>
          <w:p>
            <w:pPr>
              <w:pStyle w:val="yTableNAm"/>
              <w:tabs>
                <w:tab w:val="clear" w:pos="567"/>
                <w:tab w:val="right" w:leader="dot" w:pos="2018"/>
              </w:tabs>
            </w:pPr>
            <w:r>
              <w:t>101</w:t>
            </w:r>
            <w:r>
              <w:noBreakHyphen/>
              <w:t>200</w:t>
            </w:r>
            <w:r>
              <w:tab/>
            </w:r>
          </w:p>
          <w:p>
            <w:pPr>
              <w:pStyle w:val="yTableNAm"/>
              <w:tabs>
                <w:tab w:val="clear" w:pos="567"/>
                <w:tab w:val="right" w:leader="dot" w:pos="2018"/>
              </w:tabs>
            </w:pPr>
            <w:r>
              <w:t>more than 201</w:t>
            </w:r>
            <w:r>
              <w:tab/>
            </w:r>
          </w:p>
        </w:tc>
        <w:tc>
          <w:tcPr>
            <w:tcW w:w="1134" w:type="dxa"/>
          </w:tcPr>
          <w:p>
            <w:pPr>
              <w:pStyle w:val="yTableNAm"/>
            </w:pPr>
            <w:r>
              <w:br/>
            </w:r>
            <w:r>
              <w:br/>
            </w:r>
          </w:p>
          <w:p>
            <w:pPr>
              <w:pStyle w:val="yTableNAm"/>
            </w:pPr>
            <w:r>
              <w:rPr>
                <w:szCs w:val="22"/>
              </w:rPr>
              <w:t>1 350</w:t>
            </w:r>
          </w:p>
          <w:p>
            <w:pPr>
              <w:pStyle w:val="yTableNAm"/>
            </w:pPr>
            <w:r>
              <w:rPr>
                <w:szCs w:val="22"/>
              </w:rPr>
              <w:t>1 400</w:t>
            </w:r>
          </w:p>
          <w:p>
            <w:pPr>
              <w:pStyle w:val="yTableNAm"/>
            </w:pPr>
            <w:r>
              <w:rPr>
                <w:szCs w:val="22"/>
              </w:rPr>
              <w:t>1 625</w:t>
            </w:r>
          </w:p>
          <w:p>
            <w:pPr>
              <w:pStyle w:val="yTableNAm"/>
            </w:pPr>
            <w:r>
              <w:rPr>
                <w:szCs w:val="22"/>
              </w:rPr>
              <w:t>2 225</w:t>
            </w:r>
          </w:p>
        </w:tc>
      </w:tr>
      <w:tr>
        <w:tc>
          <w:tcPr>
            <w:tcW w:w="851" w:type="dxa"/>
          </w:tcPr>
          <w:p>
            <w:pPr>
              <w:pStyle w:val="yTableNAm"/>
            </w:pPr>
            <w:r>
              <w:t>3.</w:t>
            </w:r>
          </w:p>
        </w:tc>
        <w:tc>
          <w:tcPr>
            <w:tcW w:w="2551" w:type="dxa"/>
          </w:tcPr>
          <w:p>
            <w:pPr>
              <w:pStyle w:val="yTableNAm"/>
            </w:pPr>
            <w:r>
              <w:t>Replacement licence (r. 5(6))</w:t>
            </w:r>
          </w:p>
        </w:tc>
        <w:tc>
          <w:tcPr>
            <w:tcW w:w="2268" w:type="dxa"/>
          </w:tcPr>
          <w:p>
            <w:pPr>
              <w:pStyle w:val="zyTableNAm"/>
            </w:pPr>
          </w:p>
        </w:tc>
        <w:tc>
          <w:tcPr>
            <w:tcW w:w="1134"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psychiatric hostel (r. 6)</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r>
              <w:tab/>
            </w:r>
          </w:p>
          <w:p>
            <w:pPr>
              <w:pStyle w:val="yTableNAm"/>
              <w:tabs>
                <w:tab w:val="clear" w:pos="567"/>
                <w:tab w:val="right" w:leader="dot" w:pos="2018"/>
              </w:tabs>
            </w:pPr>
            <w:r>
              <w:t>25</w:t>
            </w:r>
            <w:r>
              <w:noBreakHyphen/>
              <w:t>100</w:t>
            </w:r>
            <w:r>
              <w:tab/>
            </w:r>
          </w:p>
          <w:p>
            <w:pPr>
              <w:pStyle w:val="yTableNAm"/>
              <w:tabs>
                <w:tab w:val="clear" w:pos="567"/>
                <w:tab w:val="right" w:leader="dot" w:pos="2018"/>
              </w:tabs>
            </w:pPr>
            <w:r>
              <w:t>101</w:t>
            </w:r>
            <w:r>
              <w:noBreakHyphen/>
              <w:t>200</w:t>
            </w:r>
            <w:r>
              <w:tab/>
            </w:r>
          </w:p>
          <w:p>
            <w:pPr>
              <w:pStyle w:val="yTableNAm"/>
              <w:tabs>
                <w:tab w:val="clear" w:pos="567"/>
                <w:tab w:val="right" w:leader="dot" w:pos="2018"/>
              </w:tabs>
            </w:pPr>
            <w:r>
              <w:t>more than 201</w:t>
            </w:r>
            <w:r>
              <w:tab/>
            </w:r>
          </w:p>
        </w:tc>
        <w:tc>
          <w:tcPr>
            <w:tcW w:w="1134" w:type="dxa"/>
          </w:tcPr>
          <w:p>
            <w:pPr>
              <w:pStyle w:val="yTableNAm"/>
            </w:pPr>
            <w:r>
              <w:br/>
            </w:r>
            <w:r>
              <w:br/>
            </w:r>
          </w:p>
          <w:p>
            <w:pPr>
              <w:pStyle w:val="yTableNAm"/>
            </w:pPr>
            <w:r>
              <w:rPr>
                <w:szCs w:val="22"/>
              </w:rPr>
              <w:t>7 600</w:t>
            </w:r>
          </w:p>
          <w:p>
            <w:pPr>
              <w:pStyle w:val="yTableNAm"/>
            </w:pPr>
            <w:r>
              <w:rPr>
                <w:szCs w:val="22"/>
              </w:rPr>
              <w:t>8 750</w:t>
            </w:r>
          </w:p>
          <w:p>
            <w:pPr>
              <w:pStyle w:val="yTableNAm"/>
            </w:pPr>
            <w:r>
              <w:rPr>
                <w:szCs w:val="22"/>
              </w:rPr>
              <w:t>11 750</w:t>
            </w:r>
          </w:p>
          <w:p>
            <w:pPr>
              <w:pStyle w:val="yTableNAm"/>
            </w:pPr>
            <w:r>
              <w:rPr>
                <w:szCs w:val="22"/>
              </w:rPr>
              <w:t>14 750</w:t>
            </w:r>
          </w:p>
        </w:tc>
      </w:tr>
    </w:tbl>
    <w:p>
      <w:pPr>
        <w:pStyle w:val="yFootnotesection"/>
      </w:pPr>
      <w:r>
        <w:tab/>
        <w:t>[Schedule 1 inserted: Gazette 14 Jun 2019 p. 1887</w:t>
      </w:r>
      <w:r>
        <w:noBreakHyphen/>
        <w:t>8.]</w:t>
      </w:r>
    </w:p>
    <w:bookmarkEnd w:id="24"/>
    <w:bookmarkEnd w:id="25"/>
    <w:bookmarkEnd w:id="26"/>
    <w:bookmarkEnd w:id="27"/>
    <w:bookmarkEnd w:id="28"/>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6"/>
          <w:pgSz w:w="11907" w:h="16840" w:code="9"/>
          <w:pgMar w:top="2376" w:right="2405" w:bottom="3542" w:left="2405" w:header="706" w:footer="3380" w:gutter="0"/>
          <w:cols w:space="720"/>
          <w:noEndnote/>
          <w:docGrid w:linePitch="326"/>
        </w:sectPr>
      </w:pPr>
    </w:p>
    <w:p>
      <w:pPr>
        <w:pStyle w:val="nHeading2"/>
      </w:pPr>
      <w:bookmarkStart w:id="29" w:name="_Toc11330564"/>
      <w:bookmarkStart w:id="30" w:name="_Toc11330794"/>
      <w:bookmarkStart w:id="31" w:name="_Toc11330872"/>
      <w:bookmarkStart w:id="32" w:name="_Toc11401311"/>
      <w:bookmarkStart w:id="33" w:name="_Toc11401342"/>
      <w:bookmarkStart w:id="34" w:name="_Toc12264927"/>
      <w:bookmarkStart w:id="35" w:name="_Toc12264949"/>
      <w:r>
        <w:t>Notes</w:t>
      </w:r>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12264950"/>
      <w:r>
        <w:rPr>
          <w:snapToGrid w:val="0"/>
        </w:rPr>
        <w:t>Compilation table</w:t>
      </w:r>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rPr>
              <w:t>1 Jul 2017 (see r. 2(b))</w:t>
            </w:r>
          </w:p>
        </w:tc>
      </w:tr>
      <w:tr>
        <w:tc>
          <w:tcPr>
            <w:tcW w:w="3118" w:type="dxa"/>
          </w:tcPr>
          <w:p>
            <w:pPr>
              <w:pStyle w:val="nTable"/>
              <w:spacing w:after="40"/>
              <w:rPr>
                <w:i/>
              </w:rPr>
            </w:pPr>
            <w:r>
              <w:rPr>
                <w:i/>
              </w:rPr>
              <w:t>Health Regulations Amendment (Fees and Charges) Regulations 2018</w:t>
            </w:r>
            <w:r>
              <w:t xml:space="preserve"> Pt. 7</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c>
          <w:tcPr>
            <w:tcW w:w="3118" w:type="dxa"/>
            <w:tcBorders>
              <w:bottom w:val="single" w:sz="4" w:space="0" w:color="auto"/>
            </w:tcBorders>
          </w:tcPr>
          <w:p>
            <w:pPr>
              <w:pStyle w:val="nTable"/>
              <w:spacing w:after="40"/>
              <w:rPr>
                <w:i/>
              </w:rPr>
            </w:pPr>
            <w:r>
              <w:rPr>
                <w:i/>
              </w:rPr>
              <w:t>Health Regulations Amendment (Fees and Charges) Regulations 2019</w:t>
            </w:r>
            <w:r>
              <w:t xml:space="preserve"> Pt. 7</w:t>
            </w:r>
          </w:p>
        </w:tc>
        <w:tc>
          <w:tcPr>
            <w:tcW w:w="1276" w:type="dxa"/>
            <w:tcBorders>
              <w:bottom w:val="single" w:sz="4" w:space="0" w:color="auto"/>
            </w:tcBorders>
          </w:tcPr>
          <w:p>
            <w:pPr>
              <w:pStyle w:val="nTable"/>
              <w:spacing w:after="40"/>
            </w:pPr>
            <w:r>
              <w:t>14 Jun 2019 p. 1883</w:t>
            </w:r>
            <w:r>
              <w:noBreakHyphen/>
              <w:t>94</w:t>
            </w:r>
          </w:p>
        </w:tc>
        <w:tc>
          <w:tcPr>
            <w:tcW w:w="2693" w:type="dxa"/>
            <w:tcBorders>
              <w:bottom w:val="single" w:sz="4" w:space="0" w:color="auto"/>
            </w:tcBorders>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8" w:name="_Toc11330566"/>
      <w:bookmarkStart w:id="39" w:name="_Toc11330798"/>
      <w:bookmarkStart w:id="40" w:name="_Toc11330876"/>
      <w:bookmarkStart w:id="41" w:name="_Toc11401314"/>
      <w:bookmarkStart w:id="42" w:name="_Toc11401345"/>
      <w:bookmarkStart w:id="43" w:name="_Toc12264929"/>
      <w:bookmarkStart w:id="44" w:name="_Toc12264951"/>
      <w:r>
        <w:rPr>
          <w:sz w:val="28"/>
        </w:rPr>
        <w:t>Defined terms</w:t>
      </w:r>
      <w:bookmarkEnd w:id="38"/>
      <w:bookmarkEnd w:id="39"/>
      <w:bookmarkEnd w:id="40"/>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2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4DDA-AC0F-4E38-A936-339B2606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2827</Words>
  <Characters>13207</Characters>
  <Application>Microsoft Office Word</Application>
  <DocSecurity>0</DocSecurity>
  <Lines>489</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1997 - 02-k0-00</dc:title>
  <dc:subject/>
  <dc:creator/>
  <cp:keywords/>
  <dc:description/>
  <cp:lastModifiedBy>svcMRProcess</cp:lastModifiedBy>
  <cp:revision>4</cp:revision>
  <cp:lastPrinted>2011-07-19T05:59:00Z</cp:lastPrinted>
  <dcterms:created xsi:type="dcterms:W3CDTF">2019-06-28T07:34:00Z</dcterms:created>
  <dcterms:modified xsi:type="dcterms:W3CDTF">2019-06-28T07:34:00Z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01 Jul 2019</vt:lpwstr>
  </property>
  <property fmtid="{D5CDD505-2E9C-101B-9397-08002B2CF9AE}" pid="8" name="Suffix">
    <vt:lpwstr>02-k0-00</vt:lpwstr>
  </property>
  <property fmtid="{D5CDD505-2E9C-101B-9397-08002B2CF9AE}" pid="9" name="CommencementDate">
    <vt:lpwstr>20190701</vt:lpwstr>
  </property>
</Properties>
</file>