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(Qualifications)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_Toc12266932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approved</w:t>
      </w:r>
      <w:r>
        <w:tab/>
      </w:r>
      <w:r>
        <w:fldChar w:fldCharType="begin"/>
      </w:r>
      <w:r>
        <w:instrText xml:space="preserve"> PAGEREF _Toc12266933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Qualifications required of persons engaged in certain activities</w:t>
      </w:r>
      <w:r>
        <w:tab/>
      </w:r>
      <w:r>
        <w:fldChar w:fldCharType="begin"/>
      </w:r>
      <w:r>
        <w:instrText xml:space="preserve"> PAGEREF _Toc12266934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require qualifications of certain persons</w:t>
      </w:r>
      <w:r>
        <w:tab/>
      </w:r>
      <w:r>
        <w:fldChar w:fldCharType="begin"/>
      </w:r>
      <w:r>
        <w:instrText xml:space="preserve"> PAGEREF _Toc12266935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Syllabus for examination in radiation safety</w:t>
      </w:r>
      <w:r>
        <w:tab/>
      </w:r>
      <w:r>
        <w:fldChar w:fldCharType="begin"/>
      </w:r>
      <w:r>
        <w:instrText xml:space="preserve"> PAGEREF _Toc12266936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Fees</w:t>
      </w:r>
      <w:r>
        <w:tab/>
      </w:r>
      <w:r>
        <w:fldChar w:fldCharType="begin"/>
      </w:r>
      <w:r>
        <w:instrText xml:space="preserve"> PAGEREF _Toc12266937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Penalty</w:t>
      </w:r>
      <w:r>
        <w:tab/>
      </w:r>
      <w:r>
        <w:fldChar w:fldCharType="begin"/>
      </w:r>
      <w:r>
        <w:instrText xml:space="preserve"> PAGEREF _Toc12266938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examinations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_Toc12266942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3" w:name="_Toc1226693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4" w:name="_Toc12266933"/>
      <w:r>
        <w:rPr>
          <w:rStyle w:val="CharSectno"/>
        </w:rPr>
        <w:t>2</w:t>
      </w:r>
      <w:r>
        <w:rPr>
          <w:snapToGrid w:val="0"/>
        </w:rPr>
        <w:t>.</w:t>
      </w:r>
      <w:r>
        <w:rPr>
          <w:snapToGrid w:val="0"/>
        </w:rPr>
        <w:tab/>
        <w:t>Term used: approved</w:t>
      </w:r>
      <w:bookmarkEnd w:id="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5" w:name="endcomma"/>
      <w:bookmarkEnd w:id="5"/>
      <w:r>
        <w:tab/>
        <w:t xml:space="preserve">[Regulation 2 amended: Gazette 20 Jul 1990 p. 3466; 14 Sep 1999 p. 4530.] </w:t>
      </w:r>
    </w:p>
    <w:p>
      <w:pPr>
        <w:pStyle w:val="Heading5"/>
        <w:rPr>
          <w:snapToGrid w:val="0"/>
        </w:rPr>
      </w:pPr>
      <w:bookmarkStart w:id="6" w:name="_Toc12266934"/>
      <w:r>
        <w:rPr>
          <w:rStyle w:val="CharSectno"/>
        </w:rPr>
        <w:t>3</w:t>
      </w:r>
      <w:r>
        <w:rPr>
          <w:snapToGrid w:val="0"/>
        </w:rPr>
        <w:t>.</w:t>
      </w:r>
      <w:r>
        <w:rPr>
          <w:snapToGrid w:val="0"/>
        </w:rPr>
        <w:tab/>
        <w:t>Qualifications required of persons engaged in certain activities</w:t>
      </w:r>
      <w:bookmarkEnd w:id="6"/>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Gazette 14 Sep 1999 p. 4530.]</w:t>
      </w:r>
    </w:p>
    <w:p>
      <w:pPr>
        <w:pStyle w:val="Heading5"/>
        <w:rPr>
          <w:snapToGrid w:val="0"/>
        </w:rPr>
      </w:pPr>
      <w:bookmarkStart w:id="7" w:name="_Toc12266935"/>
      <w:r>
        <w:rPr>
          <w:rStyle w:val="CharSectno"/>
        </w:rPr>
        <w:t>4</w:t>
      </w:r>
      <w:r>
        <w:rPr>
          <w:snapToGrid w:val="0"/>
        </w:rPr>
        <w:t>.</w:t>
      </w:r>
      <w:r>
        <w:rPr>
          <w:snapToGrid w:val="0"/>
        </w:rPr>
        <w:tab/>
        <w:t>Council may require qualifications of certain persons</w:t>
      </w:r>
      <w:bookmarkEnd w:id="7"/>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8" w:name="_Toc12266936"/>
      <w:r>
        <w:rPr>
          <w:rStyle w:val="CharSectno"/>
        </w:rPr>
        <w:t>5</w:t>
      </w:r>
      <w:r>
        <w:rPr>
          <w:snapToGrid w:val="0"/>
        </w:rPr>
        <w:t>.</w:t>
      </w:r>
      <w:r>
        <w:rPr>
          <w:snapToGrid w:val="0"/>
        </w:rPr>
        <w:tab/>
        <w:t>Syllabus for examination in radiation safety</w:t>
      </w:r>
      <w:bookmarkEnd w:id="8"/>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Gazette 19 Apr 1984 p. 1108; 21 Feb 1997 p. 1172.] </w:t>
      </w:r>
    </w:p>
    <w:p>
      <w:pPr>
        <w:pStyle w:val="Heading5"/>
        <w:rPr>
          <w:snapToGrid w:val="0"/>
        </w:rPr>
      </w:pPr>
      <w:bookmarkStart w:id="9" w:name="_Toc12266937"/>
      <w:r>
        <w:rPr>
          <w:rStyle w:val="CharSectno"/>
        </w:rPr>
        <w:t>5A</w:t>
      </w:r>
      <w:r>
        <w:rPr>
          <w:snapToGrid w:val="0"/>
        </w:rPr>
        <w:t>.</w:t>
      </w:r>
      <w:r>
        <w:rPr>
          <w:snapToGrid w:val="0"/>
        </w:rPr>
        <w:tab/>
        <w:t>Fees</w:t>
      </w:r>
      <w:bookmarkEnd w:id="9"/>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Gazette 19 Apr 1984 p. 1108.] </w:t>
      </w:r>
    </w:p>
    <w:p>
      <w:pPr>
        <w:pStyle w:val="Heading5"/>
        <w:rPr>
          <w:snapToGrid w:val="0"/>
        </w:rPr>
      </w:pPr>
      <w:bookmarkStart w:id="10" w:name="_Toc12266938"/>
      <w:r>
        <w:rPr>
          <w:rStyle w:val="CharSectno"/>
        </w:rPr>
        <w:t>6</w:t>
      </w:r>
      <w:r>
        <w:rPr>
          <w:snapToGrid w:val="0"/>
        </w:rPr>
        <w:t xml:space="preserve">. </w:t>
      </w:r>
      <w:r>
        <w:rPr>
          <w:snapToGrid w:val="0"/>
        </w:rPr>
        <w:tab/>
        <w:t>Penalty</w:t>
      </w:r>
      <w:bookmarkEnd w:id="1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11332282"/>
      <w:bookmarkStart w:id="12" w:name="_Toc11332621"/>
      <w:bookmarkStart w:id="13" w:name="_Toc11402288"/>
      <w:bookmarkStart w:id="14" w:name="_Toc11402381"/>
      <w:bookmarkStart w:id="15" w:name="_Toc12266890"/>
      <w:bookmarkStart w:id="16" w:name="_Toc12266939"/>
      <w:r>
        <w:rPr>
          <w:rStyle w:val="CharSchNo"/>
        </w:rPr>
        <w:t>Schedule 1</w:t>
      </w:r>
      <w:bookmarkEnd w:id="11"/>
      <w:bookmarkEnd w:id="12"/>
      <w:bookmarkEnd w:id="13"/>
      <w:bookmarkEnd w:id="14"/>
      <w:bookmarkEnd w:id="15"/>
      <w:bookmarkEnd w:id="16"/>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Gazette 19 Apr 1984 p. 1108; 15 Mar 1991 p. 1127; 24 Jan 1992 p. 367; 25 Jun 1993 p. 3078; 21 Feb 1997 p. 1172.] </w:t>
      </w:r>
    </w:p>
    <w:p>
      <w:pPr>
        <w:pStyle w:val="yScheduleHeading"/>
      </w:pPr>
      <w:bookmarkStart w:id="17" w:name="_Toc11332283"/>
      <w:bookmarkStart w:id="18" w:name="_Toc11332622"/>
      <w:bookmarkStart w:id="19" w:name="_Toc11402289"/>
      <w:bookmarkStart w:id="20" w:name="_Toc11402382"/>
      <w:bookmarkStart w:id="21" w:name="_Toc12266891"/>
      <w:bookmarkStart w:id="22" w:name="_Toc12266940"/>
      <w:r>
        <w:rPr>
          <w:rStyle w:val="CharSchNo"/>
        </w:rPr>
        <w:t>Schedule 2</w:t>
      </w:r>
      <w:r>
        <w:t xml:space="preserve"> — </w:t>
      </w:r>
      <w:r>
        <w:rPr>
          <w:rStyle w:val="CharSchText"/>
        </w:rPr>
        <w:t>Fees for examinations</w:t>
      </w:r>
      <w:bookmarkEnd w:id="17"/>
      <w:bookmarkEnd w:id="18"/>
      <w:bookmarkEnd w:id="19"/>
      <w:bookmarkEnd w:id="20"/>
      <w:bookmarkEnd w:id="21"/>
      <w:bookmarkEnd w:id="22"/>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r>
              <w:rPr>
                <w:szCs w:val="22"/>
              </w:rPr>
              <w:t>770.00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r>
              <w:rPr>
                <w:szCs w:val="22"/>
              </w:rPr>
              <w:t>385.00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r>
              <w:rPr>
                <w:szCs w:val="22"/>
              </w:rPr>
              <w:t>44.00</w:t>
            </w:r>
          </w:p>
        </w:tc>
      </w:tr>
    </w:tbl>
    <w:p>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 w:name="_Toc11332284"/>
      <w:bookmarkStart w:id="25" w:name="_Toc11332623"/>
      <w:bookmarkStart w:id="26" w:name="_Toc11402290"/>
      <w:bookmarkStart w:id="27" w:name="_Toc11402383"/>
      <w:bookmarkStart w:id="28" w:name="_Toc12266892"/>
      <w:bookmarkStart w:id="29" w:name="_Toc12266941"/>
      <w:r>
        <w:t>Notes</w:t>
      </w:r>
      <w:bookmarkEnd w:id="24"/>
      <w:bookmarkEnd w:id="25"/>
      <w:bookmarkEnd w:id="26"/>
      <w:bookmarkEnd w:id="27"/>
      <w:bookmarkEnd w:id="28"/>
      <w:bookmarkEnd w:id="29"/>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  The table also contains information about any reprint.</w:t>
      </w:r>
    </w:p>
    <w:p>
      <w:pPr>
        <w:pStyle w:val="nHeading3"/>
      </w:pPr>
      <w:bookmarkStart w:id="30" w:name="_Toc12266942"/>
      <w:r>
        <w:t>Compilation table</w:t>
      </w:r>
      <w:bookmarkEnd w:id="30"/>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bCs/>
                <w:snapToGrid w:val="0"/>
                <w:spacing w:val="-2"/>
              </w:rPr>
              <w:t>r. 1 and 2: 30 Dec 2014 (see r. 2(a));</w:t>
            </w:r>
            <w:r>
              <w:rPr>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b/>
                <w:bCs/>
                <w:snapToGrid w:val="0"/>
                <w:spacing w:val="-2"/>
              </w:rPr>
            </w:pPr>
            <w:r>
              <w:t>19 May 2015 p. 1753</w:t>
            </w:r>
            <w:r>
              <w:noBreakHyphen/>
              <w:t>4</w:t>
            </w:r>
          </w:p>
        </w:tc>
        <w:tc>
          <w:tcPr>
            <w:tcW w:w="2664" w:type="dxa"/>
            <w:shd w:val="clear" w:color="auto" w:fill="auto"/>
          </w:tcPr>
          <w:p>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47" w:type="dxa"/>
            <w:gridSpan w:val="2"/>
            <w:shd w:val="clear" w:color="auto" w:fill="auto"/>
          </w:tcPr>
          <w:p>
            <w:pPr>
              <w:pStyle w:val="nTable"/>
              <w:spacing w:after="40"/>
            </w:pPr>
            <w:r>
              <w:rPr>
                <w:i/>
              </w:rPr>
              <w:t>Health Regulations Amendment (Fees and Charges) Regulations 2016</w:t>
            </w:r>
            <w:r>
              <w:t xml:space="preserve"> Pt. 7</w:t>
            </w:r>
          </w:p>
        </w:tc>
        <w:tc>
          <w:tcPr>
            <w:tcW w:w="1276" w:type="dxa"/>
            <w:gridSpan w:val="2"/>
            <w:shd w:val="clear" w:color="auto" w:fill="auto"/>
          </w:tcPr>
          <w:p>
            <w:pPr>
              <w:pStyle w:val="nTable"/>
              <w:spacing w:after="40"/>
            </w:pPr>
            <w:r>
              <w:t>17 Jun 2016 p. 2101-5</w:t>
            </w:r>
          </w:p>
        </w:tc>
        <w:tc>
          <w:tcPr>
            <w:tcW w:w="2664"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47" w:type="dxa"/>
            <w:gridSpan w:val="2"/>
            <w:shd w:val="clear" w:color="auto" w:fill="auto"/>
          </w:tcPr>
          <w:p>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pPr>
              <w:pStyle w:val="nTable"/>
              <w:spacing w:after="40"/>
            </w:pPr>
            <w:r>
              <w:t>30 Jun 2017 p. 3568</w:t>
            </w:r>
            <w:r>
              <w:noBreakHyphen/>
              <w:t>74</w:t>
            </w:r>
          </w:p>
        </w:tc>
        <w:tc>
          <w:tcPr>
            <w:tcW w:w="2664" w:type="dxa"/>
            <w:shd w:val="clear" w:color="auto" w:fill="auto"/>
          </w:tcPr>
          <w:p>
            <w:pPr>
              <w:pStyle w:val="nTable"/>
              <w:spacing w:after="40"/>
              <w:rPr>
                <w:bCs/>
                <w:snapToGrid w:val="0"/>
                <w:spacing w:val="-2"/>
              </w:rPr>
            </w:pPr>
            <w:r>
              <w:rPr>
                <w:bCs/>
                <w:snapToGrid w:val="0"/>
              </w:rPr>
              <w:t>1 Jul 2017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Health Regulations Amendment (Fees and Charges) Regulations 2019</w:t>
            </w:r>
            <w:r>
              <w:t xml:space="preserve"> Pt. 10</w:t>
            </w:r>
          </w:p>
        </w:tc>
        <w:tc>
          <w:tcPr>
            <w:tcW w:w="1276" w:type="dxa"/>
            <w:gridSpan w:val="2"/>
            <w:tcBorders>
              <w:bottom w:val="single" w:sz="8" w:space="0" w:color="auto"/>
            </w:tcBorders>
            <w:shd w:val="clear" w:color="auto" w:fill="auto"/>
          </w:tcPr>
          <w:p>
            <w:pPr>
              <w:pStyle w:val="nTable"/>
              <w:spacing w:after="40"/>
            </w:pPr>
            <w:r>
              <w:t>14 Jun 2019 p. 1883</w:t>
            </w:r>
            <w:r>
              <w:noBreakHyphen/>
              <w:t>94</w:t>
            </w:r>
          </w:p>
        </w:tc>
        <w:tc>
          <w:tcPr>
            <w:tcW w:w="2664" w:type="dxa"/>
            <w:tcBorders>
              <w:bottom w:val="single" w:sz="8" w:space="0" w:color="auto"/>
            </w:tcBorders>
            <w:shd w:val="clear" w:color="auto" w:fill="auto"/>
          </w:tcPr>
          <w:p>
            <w:pPr>
              <w:pStyle w:val="nTable"/>
              <w:spacing w:after="40"/>
              <w:rPr>
                <w:bCs/>
                <w:snapToGrid w:val="0"/>
              </w:rPr>
            </w:pPr>
            <w:r>
              <w:t>1 Jul 2019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2" w:name="_Toc11332286"/>
      <w:bookmarkStart w:id="33" w:name="_Toc11332626"/>
      <w:bookmarkStart w:id="34" w:name="_Toc11402293"/>
      <w:bookmarkStart w:id="35" w:name="_Toc11402386"/>
      <w:bookmarkStart w:id="36" w:name="_Toc12266894"/>
      <w:bookmarkStart w:id="37" w:name="_Toc12266943"/>
      <w:r>
        <w:rPr>
          <w:sz w:val="28"/>
        </w:rPr>
        <w:t>Defined terms</w:t>
      </w:r>
      <w:bookmarkEnd w:id="32"/>
      <w:bookmarkEnd w:id="33"/>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635"/>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8966-AE6D-48A3-AA32-6B54CE93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1522</Words>
  <Characters>7874</Characters>
  <Application>Microsoft Office Word</Application>
  <DocSecurity>0</DocSecurity>
  <Lines>342</Lines>
  <Paragraphs>208</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1980 - 02-g0-00</dc:title>
  <dc:subject/>
  <dc:creator/>
  <cp:keywords/>
  <dc:description/>
  <cp:lastModifiedBy>svcMRProcess</cp:lastModifiedBy>
  <cp:revision>4</cp:revision>
  <cp:lastPrinted>2015-02-24T07:56:00Z</cp:lastPrinted>
  <dcterms:created xsi:type="dcterms:W3CDTF">2019-06-28T07:45:00Z</dcterms:created>
  <dcterms:modified xsi:type="dcterms:W3CDTF">2019-06-28T07:45:00Z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01 Jul 2019</vt:lpwstr>
  </property>
  <property fmtid="{D5CDD505-2E9C-101B-9397-08002B2CF9AE}" pid="8" name="Suffix">
    <vt:lpwstr>02-g0-00</vt:lpwstr>
  </property>
  <property fmtid="{D5CDD505-2E9C-101B-9397-08002B2CF9AE}" pid="9" name="CommencementDate">
    <vt:lpwstr>20190701</vt:lpwstr>
  </property>
</Properties>
</file>