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_Toc12014456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_Toc12014457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_Toc12014458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_Toc12014460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_Toc12014461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_Toc12014462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_Toc12014463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_Toc12014464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_Toc12014465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_Toc12014466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_Toc12014467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_Toc12014468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_Toc12014469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_Toc12014470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_Toc12014471 \h </w:instrText>
      </w:r>
      <w:r>
        <w:fldChar w:fldCharType="separate"/>
      </w:r>
      <w:r>
        <w:t>10</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_Toc12014472 \h </w:instrText>
      </w:r>
      <w:r>
        <w:fldChar w:fldCharType="separate"/>
      </w:r>
      <w:r>
        <w:t>10</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_Toc12014473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_Toc12014474 \h </w:instrText>
      </w:r>
      <w:r>
        <w:fldChar w:fldCharType="separate"/>
      </w:r>
      <w:r>
        <w:t>11</w:t>
      </w:r>
      <w:r>
        <w:fldChar w:fldCharType="end"/>
      </w:r>
    </w:p>
    <w:p>
      <w:pPr>
        <w:pStyle w:val="TOC8"/>
        <w:rPr>
          <w:rFonts w:asciiTheme="minorHAnsi" w:eastAsiaTheme="minorEastAsia" w:hAnsiTheme="minorHAnsi" w:cstheme="minorBidi"/>
          <w:szCs w:val="22"/>
        </w:rPr>
      </w:pPr>
      <w:r>
        <w:t>6A.</w:t>
      </w:r>
      <w:r>
        <w:tab/>
        <w:t>Modified application of s. 71AD(2) of Act when Housing Authority is lessor of premises</w:t>
      </w:r>
      <w:r>
        <w:tab/>
      </w:r>
      <w:r>
        <w:fldChar w:fldCharType="begin"/>
      </w:r>
      <w:r>
        <w:instrText xml:space="preserve"> PAGEREF _Toc12014475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 45(1) of Act</w:t>
      </w:r>
      <w:r>
        <w:tab/>
      </w:r>
      <w:r>
        <w:fldChar w:fldCharType="begin"/>
      </w:r>
      <w:r>
        <w:instrText xml:space="preserve"> PAGEREF _Toc12014476 \h </w:instrText>
      </w:r>
      <w:r>
        <w:fldChar w:fldCharType="separate"/>
      </w:r>
      <w:r>
        <w:t>12</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_Toc12014477 \h </w:instrText>
      </w:r>
      <w:r>
        <w:fldChar w:fldCharType="separate"/>
      </w:r>
      <w:r>
        <w:t>13</w:t>
      </w:r>
      <w:r>
        <w:fldChar w:fldCharType="end"/>
      </w:r>
    </w:p>
    <w:p>
      <w:pPr>
        <w:pStyle w:val="TOC8"/>
        <w:rPr>
          <w:rFonts w:asciiTheme="minorHAnsi" w:eastAsiaTheme="minorEastAsia" w:hAnsiTheme="minorHAnsi" w:cstheme="minorBidi"/>
          <w:szCs w:val="22"/>
        </w:rPr>
      </w:pPr>
      <w:r>
        <w:t>7C.</w:t>
      </w:r>
      <w:r>
        <w:tab/>
        <w:t>Modified application of s. 60(1) of Act</w:t>
      </w:r>
      <w:r>
        <w:tab/>
      </w:r>
      <w:r>
        <w:fldChar w:fldCharType="begin"/>
      </w:r>
      <w:r>
        <w:instrText xml:space="preserve"> PAGEREF _Toc12014478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_Toc12014479 \h </w:instrText>
      </w:r>
      <w:r>
        <w:fldChar w:fldCharType="separate"/>
      </w:r>
      <w:r>
        <w:t>14</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_Toc12014480 \h </w:instrText>
      </w:r>
      <w:r>
        <w:fldChar w:fldCharType="separate"/>
      </w:r>
      <w:r>
        <w:t>15</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_Toc12014481 \h </w:instrText>
      </w:r>
      <w:r>
        <w:fldChar w:fldCharType="separate"/>
      </w:r>
      <w:r>
        <w:t>15</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_Toc12014482 \h </w:instrText>
      </w:r>
      <w:r>
        <w:fldChar w:fldCharType="separate"/>
      </w:r>
      <w:r>
        <w:t>15</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_Toc12014483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_Toc12014485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_Toc12014486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_Toc12014487 \h </w:instrText>
      </w:r>
      <w:r>
        <w:fldChar w:fldCharType="separate"/>
      </w:r>
      <w:r>
        <w:t>20</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_Toc12014488 \h </w:instrText>
      </w:r>
      <w:r>
        <w:fldChar w:fldCharType="separate"/>
      </w:r>
      <w:r>
        <w:t>20</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_Toc12014489 \h </w:instrText>
      </w:r>
      <w:r>
        <w:fldChar w:fldCharType="separate"/>
      </w:r>
      <w:r>
        <w:t>21</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_Toc12014490 \h </w:instrText>
      </w:r>
      <w:r>
        <w:fldChar w:fldCharType="separate"/>
      </w:r>
      <w:r>
        <w:t>21</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_Toc12014491 \h </w:instrText>
      </w:r>
      <w:r>
        <w:fldChar w:fldCharType="separate"/>
      </w:r>
      <w:r>
        <w:t>21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_Toc12014492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_Toc12014493 \h </w:instrText>
      </w:r>
      <w:r>
        <w:fldChar w:fldCharType="separate"/>
      </w:r>
      <w:r>
        <w:t>22</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_Toc12014494 \h </w:instrText>
      </w:r>
      <w:r>
        <w:fldChar w:fldCharType="separate"/>
      </w:r>
      <w:r>
        <w:t>22</w:t>
      </w:r>
      <w:r>
        <w:fldChar w:fldCharType="end"/>
      </w:r>
    </w:p>
    <w:p>
      <w:pPr>
        <w:pStyle w:val="TOC8"/>
        <w:rPr>
          <w:rFonts w:asciiTheme="minorHAnsi" w:eastAsiaTheme="minorEastAsia" w:hAnsiTheme="minorHAnsi" w:cstheme="minorBidi"/>
          <w:szCs w:val="22"/>
        </w:rPr>
      </w:pPr>
      <w:r>
        <w:t>12B.</w:t>
      </w:r>
      <w:r>
        <w:tab/>
        <w:t>Means to secure residential premises prescribed for s. 45(1)(a) of Act</w:t>
      </w:r>
      <w:r>
        <w:tab/>
      </w:r>
      <w:r>
        <w:fldChar w:fldCharType="begin"/>
      </w:r>
      <w:r>
        <w:instrText xml:space="preserve"> PAGEREF _Toc12014495 \h </w:instrText>
      </w:r>
      <w:r>
        <w:fldChar w:fldCharType="separate"/>
      </w:r>
      <w:r>
        <w:t>22</w:t>
      </w:r>
      <w:r>
        <w:fldChar w:fldCharType="end"/>
      </w:r>
    </w:p>
    <w:p>
      <w:pPr>
        <w:pStyle w:val="TOC8"/>
        <w:rPr>
          <w:rFonts w:asciiTheme="minorHAnsi" w:eastAsiaTheme="minorEastAsia" w:hAnsiTheme="minorHAnsi" w:cstheme="minorBidi"/>
          <w:szCs w:val="22"/>
        </w:rPr>
      </w:pPr>
      <w:r>
        <w:t>12BA.</w:t>
      </w:r>
      <w:r>
        <w:tab/>
        <w:t>Prescribed alterations for s. 47(4) of Act</w:t>
      </w:r>
      <w:r>
        <w:tab/>
      </w:r>
      <w:r>
        <w:fldChar w:fldCharType="begin"/>
      </w:r>
      <w:r>
        <w:instrText xml:space="preserve"> PAGEREF _Toc12014496 \h </w:instrText>
      </w:r>
      <w:r>
        <w:fldChar w:fldCharType="separate"/>
      </w:r>
      <w:r>
        <w:t>24</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Act</w:t>
      </w:r>
      <w:r>
        <w:tab/>
      </w:r>
      <w:r>
        <w:fldChar w:fldCharType="begin"/>
      </w:r>
      <w:r>
        <w:instrText xml:space="preserve"> PAGEREF _Toc12014497 \h </w:instrText>
      </w:r>
      <w:r>
        <w:fldChar w:fldCharType="separate"/>
      </w:r>
      <w:r>
        <w:t>24</w:t>
      </w:r>
      <w:r>
        <w:fldChar w:fldCharType="end"/>
      </w:r>
    </w:p>
    <w:p>
      <w:pPr>
        <w:pStyle w:val="TOC8"/>
        <w:rPr>
          <w:rFonts w:asciiTheme="minorHAnsi" w:eastAsiaTheme="minorEastAsia" w:hAnsiTheme="minorHAnsi" w:cstheme="minorBidi"/>
          <w:szCs w:val="22"/>
        </w:rPr>
      </w:pPr>
      <w:r>
        <w:t>12CA.</w:t>
      </w:r>
      <w:r>
        <w:tab/>
        <w:t>Prescribed person for s. 71AB(2)(d)(vi) of Act</w:t>
      </w:r>
      <w:r>
        <w:tab/>
      </w:r>
      <w:r>
        <w:fldChar w:fldCharType="begin"/>
      </w:r>
      <w:r>
        <w:instrText xml:space="preserve"> PAGEREF _Toc12014498 \h </w:instrText>
      </w:r>
      <w:r>
        <w:fldChar w:fldCharType="separate"/>
      </w:r>
      <w:r>
        <w:t>25</w:t>
      </w:r>
      <w:r>
        <w:fldChar w:fldCharType="end"/>
      </w:r>
    </w:p>
    <w:p>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_Toc12014499 \h </w:instrText>
      </w:r>
      <w:r>
        <w:fldChar w:fldCharType="separate"/>
      </w:r>
      <w:r>
        <w:t>26</w:t>
      </w:r>
      <w:r>
        <w:fldChar w:fldCharType="end"/>
      </w:r>
    </w:p>
    <w:p>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_Toc12014500 \h </w:instrText>
      </w:r>
      <w:r>
        <w:fldChar w:fldCharType="separate"/>
      </w:r>
      <w:r>
        <w:t>26</w:t>
      </w:r>
      <w:r>
        <w:fldChar w:fldCharType="end"/>
      </w:r>
    </w:p>
    <w:p>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_Toc12014501 \h </w:instrText>
      </w:r>
      <w:r>
        <w:fldChar w:fldCharType="separate"/>
      </w:r>
      <w:r>
        <w:t>26</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_Toc12014502 \h </w:instrText>
      </w:r>
      <w:r>
        <w:fldChar w:fldCharType="separate"/>
      </w:r>
      <w:r>
        <w:t>27</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_Toc12014503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_Toc12014504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_Toc12014505 \h </w:instrText>
      </w:r>
      <w:r>
        <w:fldChar w:fldCharType="separate"/>
      </w:r>
      <w:r>
        <w:t>29</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_Toc12014506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_Toc12014511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11849020"/>
      <w:bookmarkStart w:id="4" w:name="_Toc12014455"/>
      <w:r>
        <w:rPr>
          <w:rStyle w:val="CharPartNo"/>
        </w:rPr>
        <w:t>Part 1</w:t>
      </w:r>
      <w:r>
        <w:rPr>
          <w:rStyle w:val="CharDivNo"/>
        </w:rPr>
        <w:t> </w:t>
      </w:r>
      <w:r>
        <w:t>—</w:t>
      </w:r>
      <w:r>
        <w:rPr>
          <w:rStyle w:val="CharDivText"/>
        </w:rPr>
        <w:t> </w:t>
      </w:r>
      <w:r>
        <w:rPr>
          <w:rStyle w:val="CharPartText"/>
        </w:rPr>
        <w:t>Preliminary</w:t>
      </w:r>
      <w:bookmarkEnd w:id="3"/>
      <w:bookmarkEnd w:id="4"/>
    </w:p>
    <w:p>
      <w:pPr>
        <w:pStyle w:val="Footnoteheading"/>
        <w:spacing w:before="100"/>
      </w:pPr>
      <w:r>
        <w:tab/>
        <w:t>[Heading inserted: Gazette 3 May 2013 p. 1737.]</w:t>
      </w:r>
    </w:p>
    <w:p>
      <w:pPr>
        <w:pStyle w:val="Heading5"/>
        <w:rPr>
          <w:snapToGrid w:val="0"/>
        </w:rPr>
      </w:pPr>
      <w:bookmarkStart w:id="5" w:name="_Toc12014456"/>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6" w:name="_Toc12014457"/>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Gazette 3 May 2013 p. 1738.]</w:t>
      </w:r>
    </w:p>
    <w:p>
      <w:pPr>
        <w:pStyle w:val="Heading5"/>
      </w:pPr>
      <w:bookmarkStart w:id="7" w:name="_Toc12014458"/>
      <w:r>
        <w:rPr>
          <w:rStyle w:val="CharSectno"/>
        </w:rPr>
        <w:t>3A</w:t>
      </w:r>
      <w:r>
        <w:t>.</w:t>
      </w:r>
      <w:r>
        <w:tab/>
        <w:t>Terms used</w:t>
      </w:r>
      <w:bookmarkEnd w:id="7"/>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8" w:name="_Toc11849024"/>
      <w:bookmarkStart w:id="9" w:name="_Toc12014459"/>
      <w:r>
        <w:rPr>
          <w:rStyle w:val="CharPartNo"/>
        </w:rPr>
        <w:t>Part 2</w:t>
      </w:r>
      <w:r>
        <w:rPr>
          <w:rStyle w:val="CharDivNo"/>
        </w:rPr>
        <w:t> </w:t>
      </w:r>
      <w:r>
        <w:t>—</w:t>
      </w:r>
      <w:r>
        <w:rPr>
          <w:rStyle w:val="CharDivText"/>
        </w:rPr>
        <w:t> </w:t>
      </w:r>
      <w:r>
        <w:rPr>
          <w:rStyle w:val="CharPartText"/>
        </w:rPr>
        <w:t>Application of Act, modification of application</w:t>
      </w:r>
      <w:bookmarkEnd w:id="8"/>
      <w:bookmarkEnd w:id="9"/>
    </w:p>
    <w:p>
      <w:pPr>
        <w:pStyle w:val="Footnoteheading"/>
      </w:pPr>
      <w:r>
        <w:tab/>
        <w:t>[Heading inserted: Gazette 21 Mar 2014 p. 731.]</w:t>
      </w:r>
    </w:p>
    <w:p>
      <w:pPr>
        <w:pStyle w:val="Heading5"/>
        <w:spacing w:before="200"/>
        <w:rPr>
          <w:snapToGrid w:val="0"/>
        </w:rPr>
      </w:pPr>
      <w:bookmarkStart w:id="10" w:name="_Toc12014460"/>
      <w:r>
        <w:rPr>
          <w:rStyle w:val="CharSectno"/>
        </w:rPr>
        <w:t>3</w:t>
      </w:r>
      <w:r>
        <w:rPr>
          <w:snapToGrid w:val="0"/>
        </w:rPr>
        <w:t>.</w:t>
      </w:r>
      <w:r>
        <w:rPr>
          <w:snapToGrid w:val="0"/>
        </w:rPr>
        <w:tab/>
        <w:t>Exemption for retirement villages</w:t>
      </w:r>
      <w:bookmarkEnd w:id="10"/>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11" w:name="_Toc12014461"/>
      <w:r>
        <w:rPr>
          <w:rStyle w:val="CharSectno"/>
        </w:rPr>
        <w:t>4</w:t>
      </w:r>
      <w:r>
        <w:rPr>
          <w:snapToGrid w:val="0"/>
        </w:rPr>
        <w:t>.</w:t>
      </w:r>
      <w:r>
        <w:rPr>
          <w:snapToGrid w:val="0"/>
        </w:rPr>
        <w:tab/>
        <w:t>Exemption for certain agreements with squatters</w:t>
      </w:r>
      <w:bookmarkEnd w:id="11"/>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12" w:name="_Toc12014462"/>
      <w:r>
        <w:rPr>
          <w:rStyle w:val="CharSectno"/>
        </w:rPr>
        <w:t>5</w:t>
      </w:r>
      <w:r>
        <w:rPr>
          <w:snapToGrid w:val="0"/>
        </w:rPr>
        <w:t>.</w:t>
      </w:r>
      <w:r>
        <w:rPr>
          <w:snapToGrid w:val="0"/>
        </w:rPr>
        <w:tab/>
        <w:t xml:space="preserve">Exemption for certain agreements under </w:t>
      </w:r>
      <w:r>
        <w:rPr>
          <w:i/>
          <w:snapToGrid w:val="0"/>
        </w:rPr>
        <w:t>Land Act 1933</w:t>
      </w:r>
      <w:bookmarkEnd w:id="12"/>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13" w:name="_Toc12014463"/>
      <w:r>
        <w:rPr>
          <w:rStyle w:val="CharSectno"/>
        </w:rPr>
        <w:t>5AAA</w:t>
      </w:r>
      <w:r>
        <w:t>.</w:t>
      </w:r>
      <w:r>
        <w:tab/>
        <w:t>Application of Act to certain accommodation at St Thomas More College</w:t>
      </w:r>
      <w:bookmarkEnd w:id="13"/>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14" w:name="_Toc12014464"/>
      <w:r>
        <w:rPr>
          <w:rStyle w:val="CharSectno"/>
        </w:rPr>
        <w:t>5AA</w:t>
      </w:r>
      <w:r>
        <w:t>.</w:t>
      </w:r>
      <w:r>
        <w:tab/>
        <w:t>Modified application of section 22(2) of Act</w:t>
      </w:r>
      <w:bookmarkEnd w:id="14"/>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Gazette 3 May 2013 p. 1738-9.]</w:t>
      </w:r>
    </w:p>
    <w:p>
      <w:pPr>
        <w:pStyle w:val="Heading5"/>
      </w:pPr>
      <w:bookmarkStart w:id="15" w:name="_Toc12014465"/>
      <w:r>
        <w:rPr>
          <w:rStyle w:val="CharSectno"/>
        </w:rPr>
        <w:t>5AB</w:t>
      </w:r>
      <w:r>
        <w:t>.</w:t>
      </w:r>
      <w:r>
        <w:tab/>
        <w:t>Exemptions from section 27A of Act — residential agreements not required to be in prescribed form</w:t>
      </w:r>
      <w:bookmarkEnd w:id="15"/>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16" w:name="_Toc12014466"/>
      <w:r>
        <w:rPr>
          <w:rStyle w:val="CharSectno"/>
        </w:rPr>
        <w:t>5AC</w:t>
      </w:r>
      <w:r>
        <w:t>.</w:t>
      </w:r>
      <w:r>
        <w:tab/>
        <w:t>Exemption from section 27B of Act if residential tenancy agreement extended or renewed</w:t>
      </w:r>
      <w:bookmarkEnd w:id="16"/>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17" w:name="_Toc12014467"/>
      <w:r>
        <w:rPr>
          <w:rStyle w:val="CharSectno"/>
        </w:rPr>
        <w:t>5AD</w:t>
      </w:r>
      <w:r>
        <w:t>.</w:t>
      </w:r>
      <w:r>
        <w:tab/>
        <w:t>Modified application of section 27C(4) of Act for Housing Authority</w:t>
      </w:r>
      <w:bookmarkEnd w:id="17"/>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18" w:name="_Toc12014468"/>
      <w:r>
        <w:rPr>
          <w:rStyle w:val="CharSectno"/>
        </w:rPr>
        <w:t>5A</w:t>
      </w:r>
      <w:r>
        <w:rPr>
          <w:snapToGrid w:val="0"/>
        </w:rPr>
        <w:t>.</w:t>
      </w:r>
      <w:r>
        <w:rPr>
          <w:snapToGrid w:val="0"/>
        </w:rPr>
        <w:tab/>
        <w:t>Exemption of Housing Authority from sections 29(4)(b) and 33 of Act</w:t>
      </w:r>
      <w:bookmarkEnd w:id="18"/>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19" w:name="_Toc12014469"/>
      <w:r>
        <w:rPr>
          <w:rStyle w:val="CharSectno"/>
        </w:rPr>
        <w:t>5BA</w:t>
      </w:r>
      <w:r>
        <w:t>.</w:t>
      </w:r>
      <w:r>
        <w:tab/>
        <w:t>Exemptions from section 29(8) of Act</w:t>
      </w:r>
      <w:bookmarkEnd w:id="19"/>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20" w:name="_Toc12014470"/>
      <w:r>
        <w:rPr>
          <w:rStyle w:val="CharSectno"/>
        </w:rPr>
        <w:t>5B</w:t>
      </w:r>
      <w:r>
        <w:rPr>
          <w:snapToGrid w:val="0"/>
        </w:rPr>
        <w:t>.</w:t>
      </w:r>
      <w:r>
        <w:rPr>
          <w:snapToGrid w:val="0"/>
        </w:rPr>
        <w:tab/>
        <w:t>Exemptions from section 30(1) of Act</w:t>
      </w:r>
      <w:bookmarkEnd w:id="20"/>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21" w:name="_Toc12014471"/>
      <w:r>
        <w:rPr>
          <w:rStyle w:val="CharSectno"/>
        </w:rPr>
        <w:t>5CA</w:t>
      </w:r>
      <w:r>
        <w:t>.</w:t>
      </w:r>
      <w:r>
        <w:tab/>
        <w:t>Modified application of section 30(2)(a) of Act</w:t>
      </w:r>
      <w:bookmarkEnd w:id="21"/>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22" w:name="_Toc12014472"/>
      <w:r>
        <w:rPr>
          <w:rStyle w:val="CharSectno"/>
        </w:rPr>
        <w:t>5C</w:t>
      </w:r>
      <w:r>
        <w:t>.</w:t>
      </w:r>
      <w:r>
        <w:tab/>
        <w:t>Exemption from section 33 of Act for employment</w:t>
      </w:r>
      <w:r>
        <w:noBreakHyphen/>
        <w:t>linked residential tenancy agreements</w:t>
      </w:r>
      <w:bookmarkEnd w:id="22"/>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23" w:name="_Toc12014473"/>
      <w:r>
        <w:rPr>
          <w:rStyle w:val="CharSectno"/>
        </w:rPr>
        <w:t>5D</w:t>
      </w:r>
      <w:r>
        <w:t>.</w:t>
      </w:r>
      <w:r>
        <w:tab/>
        <w:t xml:space="preserve">Exemption for certain agreements under </w:t>
      </w:r>
      <w:r>
        <w:rPr>
          <w:i/>
        </w:rPr>
        <w:t>Land Administration Act 1997</w:t>
      </w:r>
      <w:bookmarkEnd w:id="23"/>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24" w:name="_Toc12014474"/>
      <w:r>
        <w:rPr>
          <w:rStyle w:val="CharSectno"/>
        </w:rPr>
        <w:t>6</w:t>
      </w:r>
      <w:r>
        <w:t>.</w:t>
      </w:r>
      <w:r>
        <w:tab/>
        <w:t>Modified application of section 43(3) of Act when Housing Authority is lessor of premises outside metropolitan region</w:t>
      </w:r>
      <w:bookmarkEnd w:id="24"/>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25" w:name="_Toc12014475"/>
      <w:r>
        <w:rPr>
          <w:rStyle w:val="CharSectno"/>
        </w:rPr>
        <w:t>6A</w:t>
      </w:r>
      <w:r>
        <w:t>.</w:t>
      </w:r>
      <w:r>
        <w:tab/>
        <w:t>Modified application of s. 71AD(2) of Act when Housing Authority is lessor of premises</w:t>
      </w:r>
      <w:bookmarkEnd w:id="25"/>
    </w:p>
    <w:p>
      <w:pPr>
        <w:pStyle w:val="Subsection"/>
      </w:pPr>
      <w:r>
        <w:tab/>
        <w:t>(1)</w:t>
      </w:r>
      <w:r>
        <w:tab/>
        <w:t>This regulation applies to a residential tenancy agreement under which the Housing Authority is the lessor.</w:t>
      </w:r>
    </w:p>
    <w:p>
      <w:pPr>
        <w:pStyle w:val="Subsection"/>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26" w:name="_Toc12014476"/>
      <w:r>
        <w:rPr>
          <w:rStyle w:val="CharSectno"/>
        </w:rPr>
        <w:t>7A</w:t>
      </w:r>
      <w:r>
        <w:t>.</w:t>
      </w:r>
      <w:r>
        <w:tab/>
        <w:t>Modified application of s. 45(1) of Act</w:t>
      </w:r>
      <w:bookmarkEnd w:id="26"/>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w:t>
      </w:r>
    </w:p>
    <w:p>
      <w:pPr>
        <w:pStyle w:val="Heading5"/>
        <w:spacing w:before="180"/>
      </w:pPr>
      <w:bookmarkStart w:id="27" w:name="_Toc12014477"/>
      <w:r>
        <w:rPr>
          <w:rStyle w:val="CharSectno"/>
        </w:rPr>
        <w:t>7B</w:t>
      </w:r>
      <w:r>
        <w:t>.</w:t>
      </w:r>
      <w:r>
        <w:tab/>
        <w:t>Modified application of section 47(1)(b) of Act for Housing Authority</w:t>
      </w:r>
      <w:bookmarkEnd w:id="27"/>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28" w:name="_Toc12014478"/>
      <w:r>
        <w:rPr>
          <w:rStyle w:val="CharSectno"/>
        </w:rPr>
        <w:t>7C</w:t>
      </w:r>
      <w:r>
        <w:t>.</w:t>
      </w:r>
      <w:r>
        <w:tab/>
        <w:t>Modified application of s. 60(1) of Act</w:t>
      </w:r>
      <w:bookmarkEnd w:id="28"/>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keepNext/>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29" w:name="_Toc12014479"/>
      <w:r>
        <w:rPr>
          <w:rStyle w:val="CharSectno"/>
        </w:rPr>
        <w:t>7D</w:t>
      </w:r>
      <w:r>
        <w:t>.</w:t>
      </w:r>
      <w:r>
        <w:tab/>
        <w:t>Modified application of section 70A of Act for Foyer Oxford</w:t>
      </w:r>
      <w:bookmarkEnd w:id="29"/>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30" w:name="_Toc12014480"/>
      <w:r>
        <w:rPr>
          <w:rStyle w:val="CharSectno"/>
        </w:rPr>
        <w:t>7E</w:t>
      </w:r>
      <w:r>
        <w:t>.</w:t>
      </w:r>
      <w:r>
        <w:tab/>
        <w:t>Modified application of section 72 of Act</w:t>
      </w:r>
      <w:bookmarkEnd w:id="30"/>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31" w:name="_Toc12014481"/>
      <w:r>
        <w:rPr>
          <w:rStyle w:val="CharSectno"/>
        </w:rPr>
        <w:t>7F</w:t>
      </w:r>
      <w:r>
        <w:t>.</w:t>
      </w:r>
      <w:r>
        <w:tab/>
        <w:t>Exemption from section 82 of Act</w:t>
      </w:r>
      <w:bookmarkEnd w:id="31"/>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32" w:name="_Toc12014482"/>
      <w:r>
        <w:rPr>
          <w:rStyle w:val="CharSectno"/>
        </w:rPr>
        <w:t>7G</w:t>
      </w:r>
      <w:r>
        <w:t>.</w:t>
      </w:r>
      <w:r>
        <w:tab/>
        <w:t>Modified application of section 93 of Act for Housing Authority</w:t>
      </w:r>
      <w:bookmarkEnd w:id="32"/>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33" w:name="_Toc12014483"/>
      <w:r>
        <w:rPr>
          <w:rStyle w:val="CharSectno"/>
        </w:rPr>
        <w:t>7H</w:t>
      </w:r>
      <w:r>
        <w:t>.</w:t>
      </w:r>
      <w:r>
        <w:tab/>
        <w:t>Modified application of Schedule 1 clauses 5A and 5 of Act</w:t>
      </w:r>
      <w:bookmarkEnd w:id="33"/>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34" w:name="_Toc11849049"/>
      <w:bookmarkStart w:id="35" w:name="_Toc12014484"/>
      <w:r>
        <w:rPr>
          <w:rStyle w:val="CharPartNo"/>
        </w:rPr>
        <w:t>Part 3</w:t>
      </w:r>
      <w:r>
        <w:rPr>
          <w:rStyle w:val="CharDivNo"/>
        </w:rPr>
        <w:t> </w:t>
      </w:r>
      <w:r>
        <w:t>—</w:t>
      </w:r>
      <w:r>
        <w:rPr>
          <w:rStyle w:val="CharDivText"/>
        </w:rPr>
        <w:t> </w:t>
      </w:r>
      <w:r>
        <w:rPr>
          <w:rStyle w:val="CharPartText"/>
        </w:rPr>
        <w:t>Other matters</w:t>
      </w:r>
      <w:bookmarkEnd w:id="34"/>
      <w:bookmarkEnd w:id="35"/>
    </w:p>
    <w:p>
      <w:pPr>
        <w:pStyle w:val="Footnoteheading"/>
      </w:pPr>
      <w:r>
        <w:tab/>
        <w:t>[Heading inserted: Gazette 3 May 2013 p. 1749.]</w:t>
      </w:r>
    </w:p>
    <w:p>
      <w:pPr>
        <w:pStyle w:val="Heading5"/>
        <w:rPr>
          <w:snapToGrid w:val="0"/>
        </w:rPr>
      </w:pPr>
      <w:bookmarkStart w:id="36" w:name="_Toc12014485"/>
      <w:r>
        <w:rPr>
          <w:rStyle w:val="CharSectno"/>
        </w:rPr>
        <w:t>7</w:t>
      </w:r>
      <w:r>
        <w:rPr>
          <w:snapToGrid w:val="0"/>
        </w:rPr>
        <w:t>.</w:t>
      </w:r>
      <w:r>
        <w:rPr>
          <w:snapToGrid w:val="0"/>
        </w:rPr>
        <w:tab/>
        <w:t>Applications prescribed for the purposes of section 13A(2)(a) of Act</w:t>
      </w:r>
      <w:bookmarkEnd w:id="36"/>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37" w:name="_Toc12014486"/>
      <w:r>
        <w:rPr>
          <w:rStyle w:val="CharSectno"/>
        </w:rPr>
        <w:t>9</w:t>
      </w:r>
      <w:r>
        <w:rPr>
          <w:snapToGrid w:val="0"/>
        </w:rPr>
        <w:t>.</w:t>
      </w:r>
      <w:r>
        <w:rPr>
          <w:snapToGrid w:val="0"/>
        </w:rPr>
        <w:tab/>
        <w:t>Determination of nearest Magistrates Court</w:t>
      </w:r>
      <w:bookmarkEnd w:id="37"/>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38" w:name="_Toc12014487"/>
      <w:r>
        <w:rPr>
          <w:rStyle w:val="CharSectno"/>
        </w:rPr>
        <w:t>10</w:t>
      </w:r>
      <w:r>
        <w:rPr>
          <w:snapToGrid w:val="0"/>
        </w:rPr>
        <w:t>.</w:t>
      </w:r>
      <w:r>
        <w:rPr>
          <w:snapToGrid w:val="0"/>
        </w:rPr>
        <w:tab/>
        <w:t>Scale of costs for section 24 of Act</w:t>
      </w:r>
      <w:bookmarkEnd w:id="38"/>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Gazette 19 Apr 2005 p. 1298; 29 Apr 2005 p. 1773.]</w:t>
      </w:r>
    </w:p>
    <w:p>
      <w:pPr>
        <w:pStyle w:val="Heading5"/>
      </w:pPr>
      <w:bookmarkStart w:id="39" w:name="_Toc12014488"/>
      <w:r>
        <w:rPr>
          <w:rStyle w:val="CharSectno"/>
        </w:rPr>
        <w:t>10AA</w:t>
      </w:r>
      <w:r>
        <w:t>.</w:t>
      </w:r>
      <w:r>
        <w:tab/>
        <w:t>Form of written residential tenancy agreement for section 27A of Act</w:t>
      </w:r>
      <w:bookmarkEnd w:id="39"/>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40" w:name="_Toc12014489"/>
      <w:r>
        <w:rPr>
          <w:rStyle w:val="CharSectno"/>
        </w:rPr>
        <w:t>10AB</w:t>
      </w:r>
      <w:r>
        <w:t>.</w:t>
      </w:r>
      <w:r>
        <w:tab/>
        <w:t>Information to be given to tenant for section 27B of Act</w:t>
      </w:r>
      <w:bookmarkEnd w:id="40"/>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41" w:name="_Toc12014490"/>
      <w:r>
        <w:rPr>
          <w:rStyle w:val="CharSectno"/>
        </w:rPr>
        <w:t>10AC</w:t>
      </w:r>
      <w:r>
        <w:t>.</w:t>
      </w:r>
      <w:r>
        <w:tab/>
        <w:t>Information to be included in property condition report for section 27C(6) of Act</w:t>
      </w:r>
      <w:bookmarkEnd w:id="41"/>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42" w:name="_Toc12014491"/>
      <w:r>
        <w:rPr>
          <w:rStyle w:val="CharSectno"/>
        </w:rPr>
        <w:t>10AD</w:t>
      </w:r>
      <w:r>
        <w:t>.</w:t>
      </w:r>
      <w:r>
        <w:tab/>
        <w:t>Amount prescribed for section 27(2)(a) of Act</w:t>
      </w:r>
      <w:bookmarkEnd w:id="42"/>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43" w:name="_Toc12014492"/>
      <w:r>
        <w:rPr>
          <w:rStyle w:val="CharSectno"/>
        </w:rPr>
        <w:t>10A</w:t>
      </w:r>
      <w:r>
        <w:rPr>
          <w:snapToGrid w:val="0"/>
        </w:rPr>
        <w:t>.</w:t>
      </w:r>
      <w:r>
        <w:rPr>
          <w:snapToGrid w:val="0"/>
        </w:rPr>
        <w:tab/>
        <w:t>Amount prescribed for section 29(1)(b)(ii) of Act</w:t>
      </w:r>
      <w:bookmarkEnd w:id="43"/>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44" w:name="_Toc12014493"/>
      <w:r>
        <w:rPr>
          <w:rStyle w:val="CharSectno"/>
        </w:rPr>
        <w:t>11</w:t>
      </w:r>
      <w:r>
        <w:rPr>
          <w:snapToGrid w:val="0"/>
        </w:rPr>
        <w:t>.</w:t>
      </w:r>
      <w:r>
        <w:rPr>
          <w:snapToGrid w:val="0"/>
        </w:rPr>
        <w:tab/>
        <w:t>Amount prescribed for section 29(2) of Act</w:t>
      </w:r>
      <w:bookmarkEnd w:id="44"/>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45" w:name="_Toc12014494"/>
      <w:r>
        <w:rPr>
          <w:rStyle w:val="CharSectno"/>
        </w:rPr>
        <w:t>12A</w:t>
      </w:r>
      <w:r>
        <w:t>.</w:t>
      </w:r>
      <w:r>
        <w:tab/>
        <w:t>Essential services prescribed for section 43(1) of Act</w:t>
      </w:r>
      <w:bookmarkEnd w:id="45"/>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46" w:name="_Toc12014495"/>
      <w:r>
        <w:rPr>
          <w:rStyle w:val="CharSectno"/>
        </w:rPr>
        <w:t>12B</w:t>
      </w:r>
      <w:r>
        <w:t>.</w:t>
      </w:r>
      <w:r>
        <w:tab/>
        <w:t>Means to secure residential premises prescribed for s. 45(1)(a) of Act</w:t>
      </w:r>
      <w:bookmarkEnd w:id="46"/>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Gazette 3 May 2013 p. 1752-4; amended: Gazette 9 Apr 2019 p. 1044.] </w:t>
      </w:r>
    </w:p>
    <w:p>
      <w:pPr>
        <w:pStyle w:val="Heading5"/>
      </w:pPr>
      <w:bookmarkStart w:id="47" w:name="_Toc12014496"/>
      <w:r>
        <w:rPr>
          <w:rStyle w:val="CharSectno"/>
        </w:rPr>
        <w:t>12BA</w:t>
      </w:r>
      <w:r>
        <w:t>.</w:t>
      </w:r>
      <w:r>
        <w:tab/>
        <w:t>Prescribed alterations for s. 47(4) of Act</w:t>
      </w:r>
      <w:bookmarkEnd w:id="47"/>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48" w:name="_Toc12014497"/>
      <w:r>
        <w:rPr>
          <w:rStyle w:val="CharSectno"/>
        </w:rPr>
        <w:t>12C</w:t>
      </w:r>
      <w:r>
        <w:t>.</w:t>
      </w:r>
      <w:r>
        <w:tab/>
        <w:t>Social housing tenancy agreement for the purposes of section 71A of Act</w:t>
      </w:r>
      <w:bookmarkEnd w:id="48"/>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49" w:name="_Toc12014498"/>
      <w:r>
        <w:rPr>
          <w:rStyle w:val="CharSectno"/>
        </w:rPr>
        <w:t>12CA</w:t>
      </w:r>
      <w:r>
        <w:t>.</w:t>
      </w:r>
      <w:r>
        <w:tab/>
        <w:t>Prescribed person for s. 71AB(2)(d)(vi) of Act</w:t>
      </w:r>
      <w:bookmarkEnd w:id="49"/>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50" w:name="_Toc12014499"/>
      <w:r>
        <w:rPr>
          <w:rStyle w:val="CharSectno"/>
        </w:rPr>
        <w:t>12D</w:t>
      </w:r>
      <w:r>
        <w:t>.</w:t>
      </w:r>
      <w:r>
        <w:tab/>
        <w:t>Manner prescribed for purposes of section 79(3)(b) of Act</w:t>
      </w:r>
      <w:bookmarkEnd w:id="50"/>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51" w:name="_Toc12014500"/>
      <w:r>
        <w:rPr>
          <w:rStyle w:val="CharSectno"/>
        </w:rPr>
        <w:t>12E</w:t>
      </w:r>
      <w:r>
        <w:t>.</w:t>
      </w:r>
      <w:r>
        <w:tab/>
        <w:t>Information prescribed for section 79(10) of Act</w:t>
      </w:r>
      <w:bookmarkEnd w:id="51"/>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52" w:name="_Toc12014501"/>
      <w:r>
        <w:rPr>
          <w:rStyle w:val="CharSectno"/>
        </w:rPr>
        <w:t>12</w:t>
      </w:r>
      <w:r>
        <w:t>.</w:t>
      </w:r>
      <w:r>
        <w:tab/>
        <w:t>Manner prescribed for purposes of section 85(3)(c) of Act</w:t>
      </w:r>
      <w:bookmarkEnd w:id="52"/>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53" w:name="_Toc12014502"/>
      <w:r>
        <w:rPr>
          <w:rStyle w:val="CharSectno"/>
        </w:rPr>
        <w:t>13</w:t>
      </w:r>
      <w:r>
        <w:t>.</w:t>
      </w:r>
      <w:r>
        <w:tab/>
        <w:t>Infringement notices</w:t>
      </w:r>
      <w:bookmarkEnd w:id="53"/>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54" w:name="_Toc12014503"/>
      <w:r>
        <w:rPr>
          <w:rStyle w:val="CharSectno"/>
        </w:rPr>
        <w:t>14</w:t>
      </w:r>
      <w:r>
        <w:t>.</w:t>
      </w:r>
      <w:r>
        <w:tab/>
        <w:t>Matters prescribed for section 94 of Act</w:t>
      </w:r>
      <w:bookmarkEnd w:id="54"/>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55" w:name="_Toc12014504"/>
      <w:r>
        <w:rPr>
          <w:rStyle w:val="CharSectno"/>
        </w:rPr>
        <w:t>15</w:t>
      </w:r>
      <w:r>
        <w:rPr>
          <w:snapToGrid w:val="0"/>
        </w:rPr>
        <w:t>.</w:t>
      </w:r>
      <w:r>
        <w:rPr>
          <w:snapToGrid w:val="0"/>
        </w:rPr>
        <w:tab/>
        <w:t>Disposal of unclaimed security bonds</w:t>
      </w:r>
      <w:bookmarkEnd w:id="55"/>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56" w:name="_Toc12014505"/>
      <w:r>
        <w:rPr>
          <w:rStyle w:val="CharSectno"/>
        </w:rPr>
        <w:t>17</w:t>
      </w:r>
      <w:r>
        <w:rPr>
          <w:snapToGrid w:val="0"/>
        </w:rPr>
        <w:t>.</w:t>
      </w:r>
      <w:r>
        <w:rPr>
          <w:snapToGrid w:val="0"/>
        </w:rPr>
        <w:tab/>
        <w:t>Fees prescribed</w:t>
      </w:r>
      <w:bookmarkEnd w:id="56"/>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57" w:name="_Toc12014506"/>
      <w:r>
        <w:rPr>
          <w:rStyle w:val="CharSectno"/>
        </w:rPr>
        <w:t>18</w:t>
      </w:r>
      <w:r>
        <w:t>.</w:t>
      </w:r>
      <w:r>
        <w:tab/>
        <w:t>Forms</w:t>
      </w:r>
      <w:bookmarkEnd w:id="57"/>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8" w:name="_Toc11849072"/>
      <w:bookmarkStart w:id="59" w:name="_Toc12014507"/>
      <w:r>
        <w:rPr>
          <w:rStyle w:val="CharSchNo"/>
        </w:rPr>
        <w:t>Schedule 3</w:t>
      </w:r>
      <w:bookmarkEnd w:id="58"/>
      <w:bookmarkEnd w:id="59"/>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1" w:name="_Toc11849073"/>
      <w:bookmarkStart w:id="62" w:name="_Toc12014508"/>
      <w:r>
        <w:rPr>
          <w:rStyle w:val="CharSchNo"/>
        </w:rPr>
        <w:t>Schedule 4</w:t>
      </w:r>
      <w:r>
        <w:rPr>
          <w:rStyle w:val="CharSDivNo"/>
        </w:rPr>
        <w:t> </w:t>
      </w:r>
      <w:r>
        <w:t>—</w:t>
      </w:r>
      <w:r>
        <w:rPr>
          <w:rStyle w:val="CharSDivText"/>
        </w:rPr>
        <w:t> </w:t>
      </w:r>
      <w:r>
        <w:rPr>
          <w:rStyle w:val="CharSchText"/>
        </w:rPr>
        <w:t>Forms</w:t>
      </w:r>
      <w:bookmarkEnd w:id="61"/>
      <w:bookmarkEnd w:id="62"/>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8"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 xml:space="preserve">Email: </w:t>
      </w:r>
      <w:hyperlink r:id="rId29" w:history="1">
        <w:r>
          <w:rPr>
            <w:rStyle w:val="Hyperlink"/>
            <w:sz w:val="22"/>
          </w:rPr>
          <w:t>consumer@commerce.wa.gov.au</w:t>
        </w:r>
      </w:hyperlink>
    </w:p>
    <w:p>
      <w:pPr>
        <w:pStyle w:val="yMiscellaneousBody"/>
      </w:pPr>
      <w:r>
        <w:t xml:space="preserve">Internet: </w:t>
      </w:r>
      <w:hyperlink r:id="rId30"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 xml:space="preserve">Email: </w:t>
      </w:r>
      <w:hyperlink r:id="rId31" w:history="1">
        <w:r>
          <w:rPr>
            <w:rStyle w:val="Hyperlink"/>
            <w:sz w:val="22"/>
          </w:rPr>
          <w:t>consumer@commerce.wa.gov.au</w:t>
        </w:r>
      </w:hyperlink>
    </w:p>
    <w:p>
      <w:pPr>
        <w:pStyle w:val="yMiscellaneousBody"/>
      </w:pPr>
      <w:r>
        <w:t xml:space="preserve">Internet: </w:t>
      </w:r>
      <w:hyperlink r:id="rId32"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63" w:name="_Toc11849074"/>
      <w:bookmarkStart w:id="64" w:name="_Toc12014509"/>
      <w:r>
        <w:rPr>
          <w:rStyle w:val="CharSchNo"/>
        </w:rPr>
        <w:t>Schedule 5</w:t>
      </w:r>
      <w:r>
        <w:rPr>
          <w:rStyle w:val="CharSDivNo"/>
        </w:rPr>
        <w:t> </w:t>
      </w:r>
      <w:r>
        <w:t>—</w:t>
      </w:r>
      <w:r>
        <w:rPr>
          <w:rStyle w:val="CharSDivText"/>
        </w:rPr>
        <w:t> </w:t>
      </w:r>
      <w:r>
        <w:rPr>
          <w:rStyle w:val="CharSchText"/>
        </w:rPr>
        <w:t>Prescribed offences and modified penalties</w:t>
      </w:r>
      <w:bookmarkEnd w:id="63"/>
      <w:bookmarkEnd w:id="64"/>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65" w:name="_Toc11849075"/>
      <w:bookmarkStart w:id="66" w:name="_Toc12014510"/>
      <w:r>
        <w:t>Notes</w:t>
      </w:r>
      <w:bookmarkEnd w:id="65"/>
      <w:bookmarkEnd w:id="66"/>
    </w:p>
    <w:p>
      <w:pPr>
        <w:pStyle w:val="nSubsection"/>
      </w:pPr>
      <w:r>
        <w:rPr>
          <w:vertAlign w:val="superscript"/>
        </w:rPr>
        <w:t>1</w:t>
      </w:r>
      <w:r>
        <w:tab/>
        <w:t xml:space="preserve">This is a compilation of the </w:t>
      </w:r>
      <w:r>
        <w:rPr>
          <w:i/>
          <w:noProof/>
        </w:rPr>
        <w:t>Residential Tenancies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67" w:name="_Toc12014511"/>
      <w:r>
        <w:rPr>
          <w:snapToGrid w:val="0"/>
        </w:rPr>
        <w:t>Compilation table</w:t>
      </w:r>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17</w:t>
            </w:r>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rPr>
                <w:bCs/>
                <w:snapToGrid w:val="0"/>
                <w:spacing w:val="-2"/>
              </w:rPr>
            </w:pPr>
            <w:r>
              <w:t>1 Jul 2019 (see r. 2(b))</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bookmarkStart w:id="69" w:name="_Toc11849077"/>
      <w:bookmarkStart w:id="70" w:name="_Toc12014512"/>
      <w:r>
        <w:rPr>
          <w:sz w:val="28"/>
        </w:rPr>
        <w:t>Defined terms</w:t>
      </w:r>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914571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consumer@commerce.wa.gov.au" TargetMode="Externa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www.commerce.wa.gov.au/ConsumerProtection" TargetMode="Externa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commerce.wa.gov.au/ConsumerProtection" TargetMode="Externa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mailto:consumer@commerce.wa.gov.au" TargetMode="External"/><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www.commerce.wa.gov.au/ConsumerProtection" TargetMode="External"/><Relationship Id="rId35" Type="http://schemas.openxmlformats.org/officeDocument/2006/relationships/image" Target="media/image2.png"/><Relationship Id="rId43" Type="http://schemas.openxmlformats.org/officeDocument/2006/relationships/header" Target="header22.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746C5-655A-4E9E-B9C2-CF0092DB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30949</Words>
  <Characters>155056</Characters>
  <Application>Microsoft Office Word</Application>
  <DocSecurity>0</DocSecurity>
  <Lines>4698</Lines>
  <Paragraphs>2513</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1989 - 05-i0-00</dc:title>
  <dc:subject/>
  <dc:creator/>
  <cp:keywords/>
  <dc:description/>
  <cp:lastModifiedBy>svcMRProcess</cp:lastModifiedBy>
  <cp:revision>4</cp:revision>
  <cp:lastPrinted>2016-12-22T08:06:00Z</cp:lastPrinted>
  <dcterms:created xsi:type="dcterms:W3CDTF">2019-06-28T08:14:00Z</dcterms:created>
  <dcterms:modified xsi:type="dcterms:W3CDTF">2019-06-28T08:14:00Z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01 Jul 2019</vt:lpwstr>
  </property>
  <property fmtid="{D5CDD505-2E9C-101B-9397-08002B2CF9AE}" pid="8" name="Suffix">
    <vt:lpwstr>05-i0-00</vt:lpwstr>
  </property>
  <property fmtid="{D5CDD505-2E9C-101B-9397-08002B2CF9AE}" pid="9" name="CommencementDate">
    <vt:lpwstr>20190701</vt:lpwstr>
  </property>
</Properties>
</file>