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_Toc12624966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_Toc12624967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_Toc12624968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_Toc12624969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_Toc12624970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_Toc12624971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_Toc12624972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_Toc12624973 \h </w:instrText>
      </w:r>
      <w:r>
        <w:fldChar w:fldCharType="separate"/>
      </w:r>
      <w:r>
        <w:t>6</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_Toc12624974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_Toc12624975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_Toc12624976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_Toc12624977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_Toc12624978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_Toc12624979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_Toc12624980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_Toc12624981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_Toc12624982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_Toc12624983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_Toc12624984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_Toc12624985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_Toc12624990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12624966"/>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12624967"/>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12624968"/>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keepNext w:val="0"/>
        <w:keepLines w:val="0"/>
        <w:rPr>
          <w:snapToGrid w:val="0"/>
        </w:rPr>
      </w:pPr>
      <w:bookmarkStart w:id="6" w:name="_Toc12624969"/>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12624970"/>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12624971"/>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12624972"/>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12624973"/>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12624974"/>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12624975"/>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12624976"/>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12624977"/>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12624978"/>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12624979"/>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12624980"/>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12624981"/>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12624982"/>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12624983"/>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12624984"/>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12624985"/>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12624936"/>
      <w:bookmarkStart w:id="24" w:name="_Toc12624986"/>
      <w:bookmarkStart w:id="25" w:name="_Toc3204536"/>
      <w:bookmarkStart w:id="26" w:name="_Toc3285085"/>
      <w:bookmarkStart w:id="27" w:name="_Toc3285174"/>
      <w:bookmarkStart w:id="28" w:name="_Toc3285380"/>
      <w:bookmarkStart w:id="29" w:name="_Toc3285406"/>
      <w:bookmarkStart w:id="30" w:name="_Toc3285731"/>
      <w:r>
        <w:rPr>
          <w:rStyle w:val="CharSchNo"/>
        </w:rPr>
        <w:t>Schedule 1</w:t>
      </w:r>
      <w:r>
        <w:rPr>
          <w:rStyle w:val="CharSDivNo"/>
        </w:rPr>
        <w:t> </w:t>
      </w:r>
      <w:r>
        <w:t>—</w:t>
      </w:r>
      <w:r>
        <w:rPr>
          <w:rStyle w:val="CharSDivText"/>
        </w:rPr>
        <w:t> </w:t>
      </w:r>
      <w:r>
        <w:rPr>
          <w:rStyle w:val="CharSchText"/>
        </w:rPr>
        <w:t>Registry fees</w:t>
      </w:r>
      <w:bookmarkEnd w:id="23"/>
      <w:bookmarkEnd w:id="24"/>
    </w:p>
    <w:p>
      <w:pPr>
        <w:pStyle w:val="yShoulderClause"/>
      </w:pPr>
      <w:r>
        <w:t>[r. 4]</w:t>
      </w:r>
    </w:p>
    <w:p>
      <w:pPr>
        <w:pStyle w:val="yFootnoteheading"/>
        <w:spacing w:after="60"/>
      </w:pPr>
      <w:r>
        <w:tab/>
        <w:t>[Heading inserted: Gazette 28 Jun 2019 p. 2578.]</w:t>
      </w:r>
    </w:p>
    <w:tbl>
      <w:tblPr>
        <w:tblW w:w="0" w:type="auto"/>
        <w:tblInd w:w="108" w:type="dxa"/>
        <w:tblLook w:val="0000" w:firstRow="0" w:lastRow="0" w:firstColumn="0" w:lastColumn="0" w:noHBand="0" w:noVBand="0"/>
      </w:tblPr>
      <w:tblGrid>
        <w:gridCol w:w="656"/>
        <w:gridCol w:w="3048"/>
        <w:gridCol w:w="1261"/>
        <w:gridCol w:w="1024"/>
        <w:gridCol w:w="1206"/>
      </w:tblGrid>
      <w:tr>
        <w:trPr>
          <w:cantSplit/>
          <w:tblHeader/>
        </w:trPr>
        <w:tc>
          <w:tcPr>
            <w:tcW w:w="0" w:type="auto"/>
            <w:tcBorders>
              <w:top w:val="single" w:sz="4" w:space="0" w:color="auto"/>
              <w:bottom w:val="single" w:sz="4" w:space="0" w:color="auto"/>
            </w:tcBorders>
          </w:tcPr>
          <w:p>
            <w:pPr>
              <w:pStyle w:val="yTableNAm"/>
              <w:jc w:val="center"/>
            </w:pPr>
            <w:r>
              <w:rPr>
                <w:b/>
              </w:rPr>
              <w:t>Item</w:t>
            </w:r>
          </w:p>
        </w:tc>
        <w:tc>
          <w:tcPr>
            <w:tcW w:w="0" w:type="auto"/>
            <w:tcBorders>
              <w:top w:val="single" w:sz="4" w:space="0" w:color="auto"/>
              <w:bottom w:val="single" w:sz="4" w:space="0" w:color="auto"/>
            </w:tcBorders>
          </w:tcPr>
          <w:p>
            <w:pPr>
              <w:pStyle w:val="yTableNAm"/>
              <w:jc w:val="center"/>
            </w:pPr>
            <w:r>
              <w:rPr>
                <w:b/>
              </w:rPr>
              <w:t>Matter</w:t>
            </w:r>
          </w:p>
        </w:tc>
        <w:tc>
          <w:tcPr>
            <w:tcW w:w="0" w:type="auto"/>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0" w:type="auto"/>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t>$</w:t>
            </w:r>
          </w:p>
        </w:tc>
        <w:tc>
          <w:tcPr>
            <w:tcW w:w="0" w:type="auto"/>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0" w:type="auto"/>
            <w:tcBorders>
              <w:top w:val="single" w:sz="4" w:space="0" w:color="auto"/>
            </w:tcBorders>
          </w:tcPr>
          <w:p>
            <w:pPr>
              <w:pStyle w:val="yTableNAm"/>
            </w:pPr>
            <w:r>
              <w:rPr>
                <w:szCs w:val="22"/>
              </w:rPr>
              <w:t>1.</w:t>
            </w:r>
          </w:p>
        </w:tc>
        <w:tc>
          <w:tcPr>
            <w:tcW w:w="0" w:type="auto"/>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0" w:type="auto"/>
            <w:tcBorders>
              <w:top w:val="single" w:sz="4" w:space="0" w:color="auto"/>
            </w:tcBorders>
            <w:vAlign w:val="bottom"/>
          </w:tcPr>
          <w:p>
            <w:pPr>
              <w:pStyle w:val="yTableNAm"/>
            </w:pPr>
            <w:r>
              <w:t>965.00</w:t>
            </w:r>
          </w:p>
        </w:tc>
        <w:tc>
          <w:tcPr>
            <w:tcW w:w="0" w:type="auto"/>
            <w:tcBorders>
              <w:top w:val="single" w:sz="4" w:space="0" w:color="auto"/>
            </w:tcBorders>
            <w:vAlign w:val="bottom"/>
          </w:tcPr>
          <w:p>
            <w:pPr>
              <w:pStyle w:val="yTableNAm"/>
            </w:pPr>
            <w:r>
              <w:t>1 882.00</w:t>
            </w:r>
          </w:p>
        </w:tc>
        <w:tc>
          <w:tcPr>
            <w:tcW w:w="0" w:type="auto"/>
            <w:tcBorders>
              <w:top w:val="single" w:sz="4" w:space="0" w:color="auto"/>
            </w:tcBorders>
            <w:vAlign w:val="bottom"/>
          </w:tcPr>
          <w:p>
            <w:pPr>
              <w:pStyle w:val="yTableNAm"/>
            </w:pPr>
            <w:r>
              <w:t>100.00</w:t>
            </w:r>
          </w:p>
        </w:tc>
      </w:tr>
      <w:tr>
        <w:trPr>
          <w:cantSplit/>
        </w:trPr>
        <w:tc>
          <w:tcPr>
            <w:tcW w:w="0" w:type="auto"/>
          </w:tcPr>
          <w:p>
            <w:pPr>
              <w:pStyle w:val="yTableNAm"/>
            </w:pPr>
            <w:r>
              <w:rPr>
                <w:szCs w:val="22"/>
              </w:rPr>
              <w:t>2.</w:t>
            </w:r>
          </w:p>
        </w:tc>
        <w:tc>
          <w:tcPr>
            <w:tcW w:w="0" w:type="auto"/>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0" w:type="auto"/>
            <w:vAlign w:val="bottom"/>
          </w:tcPr>
          <w:p>
            <w:pPr>
              <w:pStyle w:val="yTableNAm"/>
            </w:pPr>
            <w:r>
              <w:t>232.00</w:t>
            </w:r>
          </w:p>
        </w:tc>
        <w:tc>
          <w:tcPr>
            <w:tcW w:w="0" w:type="auto"/>
            <w:vAlign w:val="bottom"/>
          </w:tcPr>
          <w:p>
            <w:pPr>
              <w:pStyle w:val="yTableNAm"/>
            </w:pPr>
            <w:r>
              <w:rPr>
                <w:szCs w:val="22"/>
              </w:rPr>
              <w:t>N/A</w:t>
            </w:r>
          </w:p>
        </w:tc>
        <w:tc>
          <w:tcPr>
            <w:tcW w:w="0" w:type="auto"/>
            <w:vAlign w:val="bottom"/>
          </w:tcPr>
          <w:p>
            <w:pPr>
              <w:pStyle w:val="yTableNAm"/>
            </w:pPr>
            <w:r>
              <w:t>69.50</w:t>
            </w:r>
          </w:p>
        </w:tc>
      </w:tr>
      <w:tr>
        <w:trPr>
          <w:cantSplit/>
        </w:trPr>
        <w:tc>
          <w:tcPr>
            <w:tcW w:w="0" w:type="auto"/>
          </w:tcPr>
          <w:p>
            <w:pPr>
              <w:pStyle w:val="yTableNAm"/>
            </w:pPr>
            <w:r>
              <w:rPr>
                <w:szCs w:val="22"/>
              </w:rPr>
              <w:t>3.</w:t>
            </w:r>
          </w:p>
        </w:tc>
        <w:tc>
          <w:tcPr>
            <w:tcW w:w="0" w:type="auto"/>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0" w:type="auto"/>
            <w:vAlign w:val="bottom"/>
          </w:tcPr>
          <w:p>
            <w:pPr>
              <w:pStyle w:val="yTableNAm"/>
            </w:pPr>
            <w:r>
              <w:t>141.00</w:t>
            </w:r>
          </w:p>
        </w:tc>
        <w:tc>
          <w:tcPr>
            <w:tcW w:w="0" w:type="auto"/>
            <w:vAlign w:val="bottom"/>
          </w:tcPr>
          <w:p>
            <w:pPr>
              <w:pStyle w:val="yTableNAm"/>
            </w:pPr>
            <w:r>
              <w:rPr>
                <w:szCs w:val="22"/>
              </w:rPr>
              <w:t>N/A</w:t>
            </w:r>
          </w:p>
        </w:tc>
        <w:tc>
          <w:tcPr>
            <w:tcW w:w="0" w:type="auto"/>
            <w:vAlign w:val="bottom"/>
          </w:tcPr>
          <w:p>
            <w:pPr>
              <w:pStyle w:val="yTableNAm"/>
            </w:pPr>
            <w:r>
              <w:t>42.30</w:t>
            </w:r>
          </w:p>
        </w:tc>
      </w:tr>
      <w:tr>
        <w:trPr>
          <w:cantSplit/>
        </w:trPr>
        <w:tc>
          <w:tcPr>
            <w:tcW w:w="0" w:type="auto"/>
          </w:tcPr>
          <w:p>
            <w:pPr>
              <w:pStyle w:val="yTableNAm"/>
            </w:pPr>
            <w:r>
              <w:rPr>
                <w:szCs w:val="22"/>
              </w:rPr>
              <w:t>4.</w:t>
            </w:r>
          </w:p>
        </w:tc>
        <w:tc>
          <w:tcPr>
            <w:tcW w:w="0" w:type="auto"/>
          </w:tcPr>
          <w:p>
            <w:pPr>
              <w:pStyle w:val="yTableNAm"/>
            </w:pPr>
            <w:r>
              <w:rPr>
                <w:szCs w:val="22"/>
              </w:rPr>
              <w:t xml:space="preserve">On filing — </w:t>
            </w:r>
          </w:p>
        </w:tc>
        <w:tc>
          <w:tcPr>
            <w:tcW w:w="0" w:type="auto"/>
          </w:tcPr>
          <w:p>
            <w:pPr>
              <w:pStyle w:val="zyTableNAm"/>
              <w:keepNext/>
              <w:rPr>
                <w:szCs w:val="22"/>
              </w:rPr>
            </w:pPr>
          </w:p>
        </w:tc>
        <w:tc>
          <w:tcPr>
            <w:tcW w:w="0" w:type="auto"/>
          </w:tcPr>
          <w:p>
            <w:pPr>
              <w:pStyle w:val="zyTableNAm"/>
              <w:keepNext/>
              <w:rPr>
                <w:szCs w:val="22"/>
              </w:rPr>
            </w:pPr>
          </w:p>
        </w:tc>
        <w:tc>
          <w:tcPr>
            <w:tcW w:w="0" w:type="auto"/>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a counterclaim</w:t>
            </w:r>
          </w:p>
        </w:tc>
        <w:tc>
          <w:tcPr>
            <w:tcW w:w="0" w:type="auto"/>
            <w:vAlign w:val="bottom"/>
          </w:tcPr>
          <w:p>
            <w:pPr>
              <w:pStyle w:val="yTableNAm"/>
            </w:pPr>
            <w:r>
              <w:t>965.00</w:t>
            </w:r>
          </w:p>
        </w:tc>
        <w:tc>
          <w:tcPr>
            <w:tcW w:w="0" w:type="auto"/>
            <w:vAlign w:val="bottom"/>
          </w:tcPr>
          <w:p>
            <w:pPr>
              <w:pStyle w:val="yTableNAm"/>
            </w:pPr>
            <w:r>
              <w:t>1 882.00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 xml:space="preserve">a third party notice </w:t>
            </w:r>
          </w:p>
        </w:tc>
        <w:tc>
          <w:tcPr>
            <w:tcW w:w="0" w:type="auto"/>
            <w:vAlign w:val="bottom"/>
          </w:tcPr>
          <w:p>
            <w:pPr>
              <w:pStyle w:val="yTableNAm"/>
            </w:pPr>
            <w:r>
              <w:t>965.00</w:t>
            </w:r>
          </w:p>
        </w:tc>
        <w:tc>
          <w:tcPr>
            <w:tcW w:w="0" w:type="auto"/>
            <w:vAlign w:val="bottom"/>
          </w:tcPr>
          <w:p>
            <w:pPr>
              <w:pStyle w:val="yTableNAm"/>
            </w:pPr>
            <w:r>
              <w:t>1 882.00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an application — </w:t>
            </w:r>
          </w:p>
          <w:p>
            <w:pPr>
              <w:pStyle w:val="yTableNAm"/>
              <w:tabs>
                <w:tab w:val="clear" w:pos="567"/>
                <w:tab w:val="left" w:pos="468"/>
                <w:tab w:val="left" w:pos="905"/>
              </w:tabs>
              <w:ind w:left="916" w:hanging="916"/>
            </w:pPr>
            <w:r>
              <w:tab/>
              <w:t>(i)</w:t>
            </w:r>
            <w:r>
              <w:tab/>
              <w:t>to extend a period of time fixed by law, including an application to extend time before proceedings are commenced</w:t>
            </w:r>
          </w:p>
        </w:tc>
        <w:tc>
          <w:tcPr>
            <w:tcW w:w="0" w:type="auto"/>
            <w:vAlign w:val="bottom"/>
          </w:tcPr>
          <w:p>
            <w:pPr>
              <w:pStyle w:val="yTableNAm"/>
            </w:pPr>
            <w:r>
              <w:t>363.00</w:t>
            </w:r>
          </w:p>
        </w:tc>
        <w:tc>
          <w:tcPr>
            <w:tcW w:w="0" w:type="auto"/>
            <w:vAlign w:val="bottom"/>
          </w:tcPr>
          <w:p>
            <w:pPr>
              <w:pStyle w:val="yTableNAm"/>
            </w:pPr>
            <w:r>
              <w:t>626.00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68"/>
                <w:tab w:val="left" w:pos="905"/>
              </w:tabs>
              <w:ind w:left="916" w:hanging="916"/>
            </w:pPr>
            <w:r>
              <w:tab/>
              <w:t>(ii)</w:t>
            </w:r>
            <w:r>
              <w:tab/>
              <w:t>to limit a period of time within which proceedings may be taken</w:t>
            </w:r>
          </w:p>
        </w:tc>
        <w:tc>
          <w:tcPr>
            <w:tcW w:w="0" w:type="auto"/>
            <w:vAlign w:val="bottom"/>
          </w:tcPr>
          <w:p>
            <w:pPr>
              <w:pStyle w:val="yTableNAm"/>
            </w:pPr>
            <w:r>
              <w:t>363.00</w:t>
            </w:r>
          </w:p>
        </w:tc>
        <w:tc>
          <w:tcPr>
            <w:tcW w:w="0" w:type="auto"/>
            <w:vAlign w:val="bottom"/>
          </w:tcPr>
          <w:p>
            <w:pPr>
              <w:pStyle w:val="yTableNAm"/>
            </w:pPr>
            <w:r>
              <w:t>626.00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68"/>
                <w:tab w:val="left" w:pos="905"/>
              </w:tabs>
              <w:ind w:left="916" w:hanging="916"/>
            </w:pPr>
            <w:r>
              <w:tab/>
              <w:t>(iii)</w:t>
            </w:r>
            <w:r>
              <w:tab/>
              <w:t>for leave to serve a writ or notice of a writ out of jurisdiction</w:t>
            </w:r>
          </w:p>
        </w:tc>
        <w:tc>
          <w:tcPr>
            <w:tcW w:w="0" w:type="auto"/>
            <w:vAlign w:val="bottom"/>
          </w:tcPr>
          <w:p>
            <w:pPr>
              <w:pStyle w:val="yTableNAm"/>
            </w:pPr>
            <w:r>
              <w:t>363.00</w:t>
            </w:r>
          </w:p>
        </w:tc>
        <w:tc>
          <w:tcPr>
            <w:tcW w:w="0" w:type="auto"/>
            <w:vAlign w:val="bottom"/>
          </w:tcPr>
          <w:p>
            <w:pPr>
              <w:pStyle w:val="yTableNAm"/>
            </w:pPr>
            <w:r>
              <w:t>626.00</w:t>
            </w:r>
          </w:p>
        </w:tc>
        <w:tc>
          <w:tcPr>
            <w:tcW w:w="0" w:type="auto"/>
            <w:vAlign w:val="bottom"/>
          </w:tcPr>
          <w:p>
            <w:pPr>
              <w:pStyle w:val="yTableNAm"/>
            </w:pPr>
            <w:r>
              <w:t>100.00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(d)</w:t>
            </w:r>
            <w:r>
              <w:tab/>
              <w:t>an application for leave to appeal</w:t>
            </w:r>
          </w:p>
        </w:tc>
        <w:tc>
          <w:tcPr>
            <w:tcW w:w="0" w:type="auto"/>
            <w:shd w:val="clear" w:color="auto" w:fill="auto"/>
            <w:vAlign w:val="bottom"/>
          </w:tcPr>
          <w:p>
            <w:pPr>
              <w:pStyle w:val="yTableNAm"/>
            </w:pPr>
            <w:r>
              <w:t>0.00</w:t>
            </w:r>
          </w:p>
        </w:tc>
        <w:tc>
          <w:tcPr>
            <w:tcW w:w="0" w:type="auto"/>
            <w:shd w:val="clear" w:color="auto" w:fill="auto"/>
            <w:vAlign w:val="bottom"/>
          </w:tcPr>
          <w:p>
            <w:pPr>
              <w:pStyle w:val="yTableNAm"/>
            </w:pPr>
            <w:r>
              <w:t>0.00</w:t>
            </w:r>
          </w:p>
        </w:tc>
        <w:tc>
          <w:tcPr>
            <w:tcW w:w="0" w:type="auto"/>
            <w:shd w:val="clear" w:color="auto" w:fill="auto"/>
            <w:vAlign w:val="bottom"/>
          </w:tcPr>
          <w:p>
            <w:pPr>
              <w:pStyle w:val="yTableNAm"/>
            </w:pPr>
            <w:r>
              <w:t>0.00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(e)</w:t>
            </w:r>
            <w:r>
              <w:tab/>
              <w:t>any other application for which no fee has been provided in this Schedule</w:t>
            </w:r>
          </w:p>
        </w:tc>
        <w:tc>
          <w:tcPr>
            <w:tcW w:w="0" w:type="auto"/>
            <w:shd w:val="clear" w:color="auto" w:fill="auto"/>
            <w:vAlign w:val="bottom"/>
          </w:tcPr>
          <w:p>
            <w:pPr>
              <w:pStyle w:val="yTableNAm"/>
            </w:pPr>
            <w:r>
              <w:t>363.00</w:t>
            </w:r>
          </w:p>
        </w:tc>
        <w:tc>
          <w:tcPr>
            <w:tcW w:w="0" w:type="auto"/>
            <w:shd w:val="clear" w:color="auto" w:fill="auto"/>
            <w:vAlign w:val="bottom"/>
          </w:tcPr>
          <w:p>
            <w:pPr>
              <w:pStyle w:val="yTableNAm"/>
            </w:pPr>
            <w:r>
              <w:t>626.00</w:t>
            </w:r>
          </w:p>
        </w:tc>
        <w:tc>
          <w:tcPr>
            <w:tcW w:w="0" w:type="auto"/>
            <w:shd w:val="clear" w:color="auto" w:fill="auto"/>
            <w:vAlign w:val="bottom"/>
          </w:tcPr>
          <w:p>
            <w:pPr>
              <w:pStyle w:val="yTableNAm"/>
            </w:pPr>
            <w:r>
              <w:t>100.00</w:t>
            </w:r>
          </w:p>
        </w:tc>
      </w:tr>
      <w:tr>
        <w:tblPrEx>
          <w:tblCellMar>
            <w:bottom w:w="113" w:type="dxa"/>
          </w:tblCellMar>
        </w:tblPrEx>
        <w:trPr>
          <w:cantSplit/>
        </w:trPr>
        <w:tc>
          <w:tcPr>
            <w:tcW w:w="0" w:type="auto"/>
          </w:tcPr>
          <w:p>
            <w:pPr>
              <w:pStyle w:val="yTableNAm"/>
            </w:pPr>
            <w:r>
              <w:rPr>
                <w:szCs w:val="22"/>
              </w:rPr>
              <w:t>5.</w:t>
            </w:r>
          </w:p>
        </w:tc>
        <w:tc>
          <w:tcPr>
            <w:tcW w:w="0" w:type="auto"/>
          </w:tcPr>
          <w:p>
            <w:pPr>
              <w:pStyle w:val="yTableNAm"/>
            </w:pPr>
            <w:r>
              <w:t xml:space="preserve">On filing — </w:t>
            </w:r>
          </w:p>
          <w:p>
            <w:pPr>
              <w:pStyle w:val="yTableNAm"/>
              <w:tabs>
                <w:tab w:val="clear" w:pos="567"/>
                <w:tab w:val="left" w:pos="454"/>
              </w:tabs>
              <w:ind w:left="468" w:hanging="468"/>
            </w:pPr>
            <w:r>
              <w:t>(a)</w:t>
            </w:r>
            <w:r>
              <w:tab/>
              <w:t>an appeal notice</w:t>
            </w:r>
          </w:p>
        </w:tc>
        <w:tc>
          <w:tcPr>
            <w:tcW w:w="0" w:type="auto"/>
            <w:vAlign w:val="bottom"/>
          </w:tcPr>
          <w:p>
            <w:pPr>
              <w:pStyle w:val="yTableNAm"/>
            </w:pPr>
            <w:r>
              <w:t>547.00</w:t>
            </w:r>
          </w:p>
        </w:tc>
        <w:tc>
          <w:tcPr>
            <w:tcW w:w="0" w:type="auto"/>
            <w:vAlign w:val="bottom"/>
          </w:tcPr>
          <w:p>
            <w:pPr>
              <w:pStyle w:val="yTableNAm"/>
            </w:pPr>
            <w:r>
              <w:t>1 415.00</w:t>
            </w:r>
          </w:p>
        </w:tc>
        <w:tc>
          <w:tcPr>
            <w:tcW w:w="0" w:type="auto"/>
            <w:vAlign w:val="bottom"/>
          </w:tcPr>
          <w:p>
            <w:pPr>
              <w:pStyle w:val="yTableNAm"/>
            </w:pPr>
            <w:r>
              <w:t>100.00</w:t>
            </w:r>
          </w:p>
        </w:tc>
      </w:tr>
      <w:tr>
        <w:tblPrEx>
          <w:tblCellMar>
            <w:bottom w:w="113" w:type="dxa"/>
          </w:tblCellMar>
        </w:tblPrEx>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for each additional half day allocated for the hearing of the appeal</w:t>
            </w:r>
          </w:p>
        </w:tc>
        <w:tc>
          <w:tcPr>
            <w:tcW w:w="0" w:type="auto"/>
            <w:vAlign w:val="bottom"/>
          </w:tcPr>
          <w:p>
            <w:pPr>
              <w:pStyle w:val="yTableNAm"/>
            </w:pPr>
            <w:r>
              <w:t>424.00</w:t>
            </w:r>
          </w:p>
        </w:tc>
        <w:tc>
          <w:tcPr>
            <w:tcW w:w="0" w:type="auto"/>
            <w:vAlign w:val="bottom"/>
          </w:tcPr>
          <w:p>
            <w:pPr>
              <w:pStyle w:val="yTableNAm"/>
            </w:pPr>
            <w:r>
              <w:rPr>
                <w:szCs w:val="22"/>
              </w:rPr>
              <w:t>1 103.00</w:t>
            </w:r>
          </w:p>
        </w:tc>
        <w:tc>
          <w:tcPr>
            <w:tcW w:w="0" w:type="auto"/>
            <w:vAlign w:val="bottom"/>
          </w:tcPr>
          <w:p>
            <w:pPr>
              <w:pStyle w:val="yTableNAm"/>
            </w:pPr>
            <w:r>
              <w:t>100.00</w:t>
            </w:r>
          </w:p>
        </w:tc>
      </w:tr>
      <w:tr>
        <w:tblPrEx>
          <w:tblCellMar>
            <w:bottom w:w="113" w:type="dxa"/>
          </w:tblCellMar>
        </w:tblPrEx>
        <w:trPr>
          <w:cantSplit/>
          <w:trHeight w:val="567"/>
        </w:trPr>
        <w:tc>
          <w:tcPr>
            <w:tcW w:w="0" w:type="auto"/>
          </w:tcPr>
          <w:p>
            <w:pPr>
              <w:pStyle w:val="zyTableNAm"/>
              <w:keepNext/>
              <w:keepLines/>
              <w:rPr>
                <w:rFonts w:ascii="Arial" w:hAnsi="Arial" w:cs="Arial"/>
                <w:sz w:val="18"/>
                <w:szCs w:val="18"/>
              </w:rPr>
            </w:pPr>
          </w:p>
        </w:tc>
        <w:tc>
          <w:tcPr>
            <w:tcW w:w="0" w:type="auto"/>
            <w:gridSpan w:val="4"/>
          </w:tcPr>
          <w:p>
            <w:pPr>
              <w:pStyle w:val="yTableNAm"/>
              <w:tabs>
                <w:tab w:val="clear" w:pos="567"/>
              </w:tabs>
              <w:rPr>
                <w:rFonts w:ascii="Arial" w:hAnsi="Arial" w:cs="Arial"/>
                <w:sz w:val="18"/>
                <w:szCs w:val="18"/>
              </w:rPr>
            </w:pPr>
            <w:r>
              <w:rPr>
                <w:rFonts w:ascii="Arial" w:hAnsi="Arial" w:cs="Arial"/>
                <w:sz w:val="18"/>
                <w:szCs w:val="18"/>
              </w:rPr>
              <w:t>Notes for this item:</w:t>
            </w:r>
          </w:p>
          <w:p>
            <w:pPr>
              <w:pStyle w:val="yTableNAm"/>
              <w:tabs>
                <w:tab w:val="clear" w:pos="567"/>
                <w:tab w:val="left" w:pos="454"/>
              </w:tabs>
              <w:ind w:left="468" w:hanging="46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first half day allocated by the District Court for the hearing of the appeal.</w:t>
            </w:r>
          </w:p>
        </w:tc>
      </w:tr>
      <w:tr>
        <w:tblPrEx>
          <w:tblCellMar>
            <w:bottom w:w="113" w:type="dxa"/>
          </w:tblCellMar>
        </w:tblPrEx>
        <w:trPr>
          <w:cantSplit/>
          <w:trHeight w:val="567"/>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0" w:type="auto"/>
          </w:tcPr>
          <w:p>
            <w:pPr>
              <w:pStyle w:val="yTableNAm"/>
            </w:pPr>
            <w:r>
              <w:rPr>
                <w:szCs w:val="22"/>
              </w:rPr>
              <w:t>6.</w:t>
            </w:r>
          </w:p>
        </w:tc>
        <w:tc>
          <w:tcPr>
            <w:tcW w:w="0" w:type="auto"/>
          </w:tcPr>
          <w:p>
            <w:pPr>
              <w:pStyle w:val="yTableNAm"/>
            </w:pPr>
            <w:r>
              <w:rPr>
                <w:szCs w:val="22"/>
              </w:rPr>
              <w:t>Entry for hearing a cause or matter (including the assessment of damages in an action for personal injury) or notice of an appointment to hear an originating summons</w:t>
            </w:r>
          </w:p>
        </w:tc>
        <w:tc>
          <w:tcPr>
            <w:tcW w:w="0" w:type="auto"/>
            <w:vAlign w:val="bottom"/>
          </w:tcPr>
          <w:p>
            <w:pPr>
              <w:pStyle w:val="yTableNAm"/>
            </w:pPr>
            <w:r>
              <w:t>965.00</w:t>
            </w:r>
          </w:p>
        </w:tc>
        <w:tc>
          <w:tcPr>
            <w:tcW w:w="0" w:type="auto"/>
            <w:vAlign w:val="bottom"/>
          </w:tcPr>
          <w:p>
            <w:pPr>
              <w:pStyle w:val="yTableNAm"/>
            </w:pPr>
            <w:r>
              <w:t>1 882.00</w:t>
            </w:r>
          </w:p>
        </w:tc>
        <w:tc>
          <w:tcPr>
            <w:tcW w:w="0" w:type="auto"/>
            <w:vAlign w:val="bottom"/>
          </w:tcPr>
          <w:p>
            <w:pPr>
              <w:pStyle w:val="yTableNAm"/>
            </w:pPr>
            <w:r>
              <w:t>100.00</w:t>
            </w:r>
          </w:p>
        </w:tc>
      </w:tr>
      <w:tr>
        <w:trPr>
          <w:cantSplit/>
          <w:trHeight w:val="567"/>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0" w:type="auto"/>
          </w:tcPr>
          <w:p>
            <w:pPr>
              <w:pStyle w:val="yTableNAm"/>
            </w:pPr>
            <w:r>
              <w:rPr>
                <w:szCs w:val="22"/>
              </w:rPr>
              <w:t>7.</w:t>
            </w:r>
          </w:p>
        </w:tc>
        <w:tc>
          <w:tcPr>
            <w:tcW w:w="0" w:type="auto"/>
          </w:tcPr>
          <w:p>
            <w:pPr>
              <w:pStyle w:val="yTableNAm"/>
            </w:pPr>
            <w:r>
              <w:rPr>
                <w:szCs w:val="22"/>
              </w:rPr>
              <w:t>Allocation of hearing date, for each day allocated</w:t>
            </w:r>
          </w:p>
        </w:tc>
        <w:tc>
          <w:tcPr>
            <w:tcW w:w="0" w:type="auto"/>
            <w:vAlign w:val="bottom"/>
          </w:tcPr>
          <w:p>
            <w:pPr>
              <w:pStyle w:val="yTableNAm"/>
            </w:pPr>
            <w:r>
              <w:t>847.00</w:t>
            </w:r>
          </w:p>
        </w:tc>
        <w:tc>
          <w:tcPr>
            <w:tcW w:w="0" w:type="auto"/>
            <w:vAlign w:val="bottom"/>
          </w:tcPr>
          <w:p>
            <w:pPr>
              <w:pStyle w:val="yTableNAm"/>
            </w:pPr>
            <w:r>
              <w:t>2 206.00</w:t>
            </w:r>
          </w:p>
        </w:tc>
        <w:tc>
          <w:tcPr>
            <w:tcW w:w="0" w:type="auto"/>
            <w:vAlign w:val="bottom"/>
          </w:tcPr>
          <w:p>
            <w:pPr>
              <w:pStyle w:val="yTableNAm"/>
            </w:pPr>
            <w:r>
              <w:t>100.00</w:t>
            </w:r>
          </w:p>
        </w:tc>
      </w:tr>
      <w:tr>
        <w:tblPrEx>
          <w:tblCellMar>
            <w:bottom w:w="113" w:type="dxa"/>
          </w:tblCellMar>
        </w:tblPrEx>
        <w:trPr>
          <w:cantSplit/>
          <w:trHeight w:val="567"/>
        </w:trPr>
        <w:tc>
          <w:tcPr>
            <w:tcW w:w="0" w:type="auto"/>
          </w:tcPr>
          <w:p>
            <w:pPr>
              <w:pStyle w:val="zyTableNAm"/>
              <w:rPr>
                <w:rFonts w:ascii="Arial" w:hAnsi="Arial" w:cs="Arial"/>
                <w:sz w:val="18"/>
                <w:szCs w:val="18"/>
              </w:rPr>
            </w:pPr>
          </w:p>
        </w:tc>
        <w:tc>
          <w:tcPr>
            <w:tcW w:w="0" w:type="auto"/>
            <w:gridSpan w:val="4"/>
          </w:tcPr>
          <w:p>
            <w:pPr>
              <w:pStyle w:val="yTableNAm"/>
              <w:tabs>
                <w:tab w:val="clear" w:pos="567"/>
              </w:tabs>
            </w:pPr>
            <w:r>
              <w:rPr>
                <w:rFonts w:ascii="Arial" w:hAnsi="Arial" w:cs="Arial"/>
                <w:sz w:val="18"/>
                <w:szCs w:val="18"/>
              </w:rPr>
              <w:t>Notes for this item:</w:t>
            </w:r>
          </w:p>
          <w:p>
            <w:pPr>
              <w:pStyle w:val="yTableNAm"/>
              <w:tabs>
                <w:tab w:val="clear" w:pos="567"/>
                <w:tab w:val="left" w:pos="454"/>
              </w:tabs>
              <w:ind w:left="468" w:hanging="468"/>
            </w:pPr>
            <w:r>
              <w:rPr>
                <w:rFonts w:ascii="Arial" w:hAnsi="Arial" w:cs="Arial"/>
                <w:sz w:val="18"/>
                <w:szCs w:val="18"/>
              </w:rPr>
              <w:t>1.</w:t>
            </w:r>
            <w:r>
              <w:rPr>
                <w:rFonts w:ascii="Arial" w:hAnsi="Arial" w:cs="Arial"/>
                <w:sz w:val="18"/>
                <w:szCs w:val="18"/>
              </w:rPr>
              <w:tab/>
              <w:t>See regulation 10.</w:t>
            </w:r>
          </w:p>
        </w:tc>
      </w:tr>
      <w:tr>
        <w:tblPrEx>
          <w:tblCellMar>
            <w:bottom w:w="113" w:type="dxa"/>
          </w:tblCellMar>
        </w:tblPrEx>
        <w:trPr>
          <w:cantSplit/>
          <w:trHeight w:val="170"/>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0" w:type="auto"/>
          </w:tcPr>
          <w:p>
            <w:pPr>
              <w:pStyle w:val="yTableNAm"/>
            </w:pPr>
            <w:r>
              <w:rPr>
                <w:szCs w:val="22"/>
              </w:rPr>
              <w:t>8.</w:t>
            </w:r>
          </w:p>
        </w:tc>
        <w:tc>
          <w:tcPr>
            <w:tcW w:w="0" w:type="auto"/>
          </w:tcPr>
          <w:p>
            <w:pPr>
              <w:pStyle w:val="yTableNAm"/>
            </w:pPr>
            <w:r>
              <w:rPr>
                <w:szCs w:val="22"/>
              </w:rPr>
              <w:t>Daily hearing fee before a court constituted by a judge</w:t>
            </w:r>
          </w:p>
        </w:tc>
        <w:tc>
          <w:tcPr>
            <w:tcW w:w="0" w:type="auto"/>
            <w:vAlign w:val="bottom"/>
          </w:tcPr>
          <w:p>
            <w:pPr>
              <w:pStyle w:val="yTableNAm"/>
            </w:pPr>
            <w:r>
              <w:t>847.00</w:t>
            </w:r>
          </w:p>
        </w:tc>
        <w:tc>
          <w:tcPr>
            <w:tcW w:w="0" w:type="auto"/>
            <w:vAlign w:val="bottom"/>
          </w:tcPr>
          <w:p>
            <w:pPr>
              <w:pStyle w:val="yTableNAm"/>
            </w:pPr>
            <w:r>
              <w:t>2 206.00</w:t>
            </w:r>
          </w:p>
        </w:tc>
        <w:tc>
          <w:tcPr>
            <w:tcW w:w="0" w:type="auto"/>
            <w:vAlign w:val="bottom"/>
          </w:tcPr>
          <w:p>
            <w:pPr>
              <w:pStyle w:val="yTableNAm"/>
            </w:pPr>
            <w:r>
              <w:t>100.00</w:t>
            </w:r>
          </w:p>
        </w:tc>
      </w:tr>
      <w:tr>
        <w:trPr>
          <w:cantSplit/>
          <w:trHeight w:val="850"/>
        </w:trPr>
        <w:tc>
          <w:tcPr>
            <w:tcW w:w="0" w:type="auto"/>
          </w:tcPr>
          <w:p>
            <w:pPr>
              <w:pStyle w:val="zyTableNAm"/>
              <w:rPr>
                <w:rFonts w:ascii="Arial" w:hAnsi="Arial" w:cs="Arial"/>
                <w:sz w:val="18"/>
                <w:szCs w:val="18"/>
              </w:rPr>
            </w:pPr>
          </w:p>
        </w:tc>
        <w:tc>
          <w:tcPr>
            <w:tcW w:w="0" w:type="auto"/>
            <w:gridSpan w:val="4"/>
          </w:tcPr>
          <w:p>
            <w:pPr>
              <w:pStyle w:val="yTableNAm"/>
            </w:pPr>
            <w:r>
              <w:rPr>
                <w:rFonts w:ascii="Arial" w:hAnsi="Arial" w:cs="Arial"/>
                <w:sz w:val="18"/>
                <w:szCs w:val="18"/>
              </w:rPr>
              <w:t>Notes for this item:</w:t>
            </w:r>
          </w:p>
          <w:p>
            <w:pPr>
              <w:pStyle w:val="yTableNAm"/>
              <w:tabs>
                <w:tab w:val="clear" w:pos="567"/>
                <w:tab w:val="left" w:pos="454"/>
              </w:tabs>
              <w:ind w:left="468" w:hanging="468"/>
            </w:pPr>
            <w:r>
              <w:rPr>
                <w:rFonts w:ascii="Arial" w:hAnsi="Arial" w:cs="Arial"/>
                <w:sz w:val="18"/>
                <w:szCs w:val="18"/>
              </w:rPr>
              <w:t>1.</w:t>
            </w:r>
            <w:r>
              <w:rPr>
                <w:rFonts w:ascii="Arial" w:hAnsi="Arial" w:cs="Arial"/>
                <w:sz w:val="18"/>
                <w:szCs w:val="18"/>
              </w:rPr>
              <w:tab/>
              <w:t>No fee is payable if the proceedings are of an interlocutory nature only</w:t>
            </w:r>
            <w:r>
              <w:t>.</w:t>
            </w:r>
          </w:p>
        </w:tc>
      </w:tr>
      <w:tr>
        <w:trPr>
          <w:cantSplit/>
          <w:trHeight w:val="737"/>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pPr>
            <w:r>
              <w:rPr>
                <w:szCs w:val="22"/>
              </w:rPr>
              <w:t>9.</w:t>
            </w:r>
          </w:p>
        </w:tc>
        <w:tc>
          <w:tcPr>
            <w:tcW w:w="0" w:type="auto"/>
          </w:tcPr>
          <w:p>
            <w:pPr>
              <w:pStyle w:val="yTableNAm"/>
            </w:pPr>
            <w:r>
              <w:rPr>
                <w:szCs w:val="22"/>
              </w:rPr>
              <w:t xml:space="preserve">On filing, before a judge or registrar in chambers — </w:t>
            </w:r>
          </w:p>
        </w:tc>
        <w:tc>
          <w:tcPr>
            <w:tcW w:w="0" w:type="auto"/>
            <w:vAlign w:val="bottom"/>
          </w:tcPr>
          <w:p>
            <w:pPr>
              <w:pStyle w:val="zyTableNAm"/>
              <w:keepNext/>
              <w:jc w:val="center"/>
              <w:rPr>
                <w:szCs w:val="22"/>
              </w:rPr>
            </w:pPr>
          </w:p>
        </w:tc>
        <w:tc>
          <w:tcPr>
            <w:tcW w:w="0" w:type="auto"/>
            <w:vAlign w:val="bottom"/>
          </w:tcPr>
          <w:p>
            <w:pPr>
              <w:pStyle w:val="zyTableNAm"/>
              <w:keepNext/>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an interlocutory application or summons or motion returnable</w:t>
            </w:r>
          </w:p>
        </w:tc>
        <w:tc>
          <w:tcPr>
            <w:tcW w:w="0" w:type="auto"/>
            <w:vAlign w:val="bottom"/>
          </w:tcPr>
          <w:p>
            <w:pPr>
              <w:pStyle w:val="yTableNAm"/>
            </w:pPr>
            <w:r>
              <w:t>242.00</w:t>
            </w:r>
          </w:p>
        </w:tc>
        <w:tc>
          <w:tcPr>
            <w:tcW w:w="0" w:type="auto"/>
            <w:vAlign w:val="bottom"/>
          </w:tcPr>
          <w:p>
            <w:pPr>
              <w:pStyle w:val="yTableNAm"/>
            </w:pPr>
            <w:r>
              <w:t>472.00</w:t>
            </w:r>
          </w:p>
        </w:tc>
        <w:tc>
          <w:tcPr>
            <w:tcW w:w="0" w:type="auto"/>
            <w:vAlign w:val="bottom"/>
          </w:tcPr>
          <w:p>
            <w:pPr>
              <w:pStyle w:val="yTableNAm"/>
            </w:pPr>
            <w:r>
              <w:t>72.50</w:t>
            </w:r>
          </w:p>
        </w:tc>
      </w:tr>
      <w:tr>
        <w:trPr>
          <w:cantSplit/>
        </w:trPr>
        <w:tc>
          <w:tcPr>
            <w:tcW w:w="0" w:type="auto"/>
          </w:tcPr>
          <w:p>
            <w:pPr>
              <w:pStyle w:val="zyTableNAm"/>
              <w:rPr>
                <w:rStyle w:val="CommentReference"/>
                <w:rFonts w:ascii="Times" w:hAnsi="Times"/>
                <w:szCs w:val="22"/>
              </w:rPr>
            </w:pPr>
          </w:p>
        </w:tc>
        <w:tc>
          <w:tcPr>
            <w:tcW w:w="0" w:type="auto"/>
          </w:tcPr>
          <w:p>
            <w:pPr>
              <w:pStyle w:val="yTableNAm"/>
              <w:tabs>
                <w:tab w:val="clear" w:pos="567"/>
                <w:tab w:val="left" w:pos="454"/>
              </w:tabs>
              <w:ind w:left="468" w:hanging="468"/>
            </w:pPr>
            <w:r>
              <w:t>(b)</w:t>
            </w:r>
            <w:r>
              <w:tab/>
              <w:t>an application for assessment of damages other than in an action for personal injury</w:t>
            </w:r>
          </w:p>
        </w:tc>
        <w:tc>
          <w:tcPr>
            <w:tcW w:w="0" w:type="auto"/>
            <w:vAlign w:val="bottom"/>
          </w:tcPr>
          <w:p>
            <w:pPr>
              <w:pStyle w:val="yTableNAm"/>
            </w:pPr>
            <w:r>
              <w:t>242.00</w:t>
            </w:r>
          </w:p>
        </w:tc>
        <w:tc>
          <w:tcPr>
            <w:tcW w:w="0" w:type="auto"/>
            <w:vAlign w:val="bottom"/>
          </w:tcPr>
          <w:p>
            <w:pPr>
              <w:pStyle w:val="yTableNAm"/>
            </w:pPr>
            <w:r>
              <w:t>472.00</w:t>
            </w:r>
          </w:p>
        </w:tc>
        <w:tc>
          <w:tcPr>
            <w:tcW w:w="0" w:type="auto"/>
            <w:vAlign w:val="bottom"/>
          </w:tcPr>
          <w:p>
            <w:pPr>
              <w:pStyle w:val="yTableNAm"/>
            </w:pPr>
            <w:r>
              <w:t>72.50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an application for summary judgment</w:t>
            </w:r>
          </w:p>
        </w:tc>
        <w:tc>
          <w:tcPr>
            <w:tcW w:w="0" w:type="auto"/>
            <w:vAlign w:val="bottom"/>
          </w:tcPr>
          <w:p>
            <w:pPr>
              <w:pStyle w:val="yTableNAm"/>
            </w:pPr>
            <w:r>
              <w:t>242.00</w:t>
            </w:r>
          </w:p>
        </w:tc>
        <w:tc>
          <w:tcPr>
            <w:tcW w:w="0" w:type="auto"/>
            <w:vAlign w:val="bottom"/>
          </w:tcPr>
          <w:p>
            <w:pPr>
              <w:pStyle w:val="yTableNAm"/>
            </w:pPr>
            <w:r>
              <w:t>472.00</w:t>
            </w:r>
          </w:p>
        </w:tc>
        <w:tc>
          <w:tcPr>
            <w:tcW w:w="0" w:type="auto"/>
            <w:vAlign w:val="bottom"/>
          </w:tcPr>
          <w:p>
            <w:pPr>
              <w:pStyle w:val="yTableNAm"/>
            </w:pPr>
            <w:r>
              <w:t>72.50</w:t>
            </w:r>
          </w:p>
        </w:tc>
      </w:tr>
      <w:tr>
        <w:trPr>
          <w:cantSplit/>
          <w:trHeight w:val="964"/>
        </w:trPr>
        <w:tc>
          <w:tcPr>
            <w:tcW w:w="0" w:type="auto"/>
          </w:tcPr>
          <w:p>
            <w:pPr>
              <w:pStyle w:val="zyTableNAm"/>
              <w:rPr>
                <w:rFonts w:ascii="Arial" w:hAnsi="Arial" w:cs="Arial"/>
                <w:sz w:val="18"/>
                <w:szCs w:val="18"/>
              </w:rPr>
            </w:pPr>
          </w:p>
        </w:tc>
        <w:tc>
          <w:tcPr>
            <w:tcW w:w="0" w:type="auto"/>
            <w:gridSpan w:val="4"/>
          </w:tcPr>
          <w:p>
            <w:pPr>
              <w:pStyle w:val="yTableNAm"/>
              <w:tabs>
                <w:tab w:val="clear" w:pos="567"/>
              </w:tabs>
            </w:pPr>
            <w:r>
              <w:rPr>
                <w:rFonts w:ascii="Arial" w:hAnsi="Arial" w:cs="Arial"/>
                <w:sz w:val="18"/>
                <w:szCs w:val="18"/>
              </w:rPr>
              <w:t>Notes for this item:</w:t>
            </w:r>
          </w:p>
          <w:p>
            <w:pPr>
              <w:pStyle w:val="yTableNAm"/>
              <w:tabs>
                <w:tab w:val="clear" w:pos="567"/>
                <w:tab w:val="left" w:pos="454"/>
              </w:tabs>
              <w:ind w:left="468" w:hanging="468"/>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0" w:type="auto"/>
          </w:tcPr>
          <w:p>
            <w:pPr>
              <w:pStyle w:val="yTableNAm"/>
            </w:pPr>
            <w:r>
              <w:rPr>
                <w:szCs w:val="22"/>
              </w:rPr>
              <w:t>10.</w:t>
            </w:r>
          </w:p>
        </w:tc>
        <w:tc>
          <w:tcPr>
            <w:tcW w:w="0" w:type="auto"/>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Height w:val="907"/>
        </w:trPr>
        <w:tc>
          <w:tcPr>
            <w:tcW w:w="0" w:type="auto"/>
          </w:tcPr>
          <w:p>
            <w:pPr>
              <w:pStyle w:val="zyTableNAm"/>
              <w:rPr>
                <w:rFonts w:ascii="Arial" w:hAnsi="Arial" w:cs="Arial"/>
                <w:sz w:val="18"/>
                <w:szCs w:val="18"/>
              </w:rPr>
            </w:pPr>
          </w:p>
        </w:tc>
        <w:tc>
          <w:tcPr>
            <w:tcW w:w="0" w:type="auto"/>
            <w:gridSpan w:val="4"/>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pPr>
            <w:r>
              <w:rPr>
                <w:szCs w:val="22"/>
              </w:rPr>
              <w:t>11.</w:t>
            </w:r>
          </w:p>
        </w:tc>
        <w:tc>
          <w:tcPr>
            <w:tcW w:w="0" w:type="auto"/>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lodgment fee</w:t>
            </w:r>
          </w:p>
        </w:tc>
        <w:tc>
          <w:tcPr>
            <w:tcW w:w="0" w:type="auto"/>
            <w:vAlign w:val="bottom"/>
          </w:tcPr>
          <w:p>
            <w:pPr>
              <w:pStyle w:val="yTableNAm"/>
            </w:pPr>
            <w:r>
              <w:t>242.00</w:t>
            </w:r>
          </w:p>
        </w:tc>
        <w:tc>
          <w:tcPr>
            <w:tcW w:w="0" w:type="auto"/>
            <w:vAlign w:val="bottom"/>
          </w:tcPr>
          <w:p>
            <w:pPr>
              <w:pStyle w:val="yTableNAm"/>
            </w:pPr>
            <w:r>
              <w:t>472.00</w:t>
            </w:r>
          </w:p>
        </w:tc>
        <w:tc>
          <w:tcPr>
            <w:tcW w:w="0" w:type="auto"/>
            <w:vAlign w:val="bottom"/>
          </w:tcPr>
          <w:p>
            <w:pPr>
              <w:pStyle w:val="yTableNAm"/>
            </w:pPr>
            <w:r>
              <w:t>72.50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in addition to the lodgment fee, a taxing fee at the rate of</w:t>
            </w:r>
          </w:p>
        </w:tc>
        <w:tc>
          <w:tcPr>
            <w:tcW w:w="0" w:type="auto"/>
            <w:vAlign w:val="bottom"/>
          </w:tcPr>
          <w:p>
            <w:pPr>
              <w:pStyle w:val="yTableNAm"/>
            </w:pPr>
            <w:r>
              <w:rPr>
                <w:szCs w:val="22"/>
              </w:rPr>
              <w:t>2.50%</w:t>
            </w:r>
          </w:p>
        </w:tc>
        <w:tc>
          <w:tcPr>
            <w:tcW w:w="0" w:type="auto"/>
            <w:vAlign w:val="bottom"/>
          </w:tcPr>
          <w:p>
            <w:pPr>
              <w:pStyle w:val="yTableNAm"/>
            </w:pPr>
            <w:r>
              <w:rPr>
                <w:szCs w:val="22"/>
              </w:rPr>
              <w:t>2.50%</w:t>
            </w:r>
          </w:p>
        </w:tc>
        <w:tc>
          <w:tcPr>
            <w:tcW w:w="0" w:type="auto"/>
            <w:vAlign w:val="bottom"/>
          </w:tcPr>
          <w:p>
            <w:pPr>
              <w:pStyle w:val="yTableNAm"/>
            </w:pPr>
            <w:r>
              <w:rPr>
                <w:szCs w:val="22"/>
              </w:rPr>
              <w:t>0.00%</w:t>
            </w:r>
          </w:p>
        </w:tc>
      </w:tr>
      <w:tr>
        <w:trPr>
          <w:cantSplit/>
          <w:trHeight w:val="624"/>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pPr>
            <w:r>
              <w:rPr>
                <w:rFonts w:ascii="Arial" w:hAnsi="Arial" w:cs="Arial"/>
                <w:sz w:val="18"/>
                <w:szCs w:val="18"/>
              </w:rPr>
              <w:t>Notes for this item:</w:t>
            </w:r>
          </w:p>
          <w:p>
            <w:pPr>
              <w:pStyle w:val="yTableNAm"/>
              <w:tabs>
                <w:tab w:val="clear" w:pos="567"/>
                <w:tab w:val="left" w:pos="454"/>
              </w:tabs>
              <w:ind w:left="468" w:hanging="468"/>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in a cause or matter or under the Commercial Arbitration Act 2012 and the appointment is cancelled, the following percentage of the fee paid is to be refunded —</w:t>
            </w:r>
          </w:p>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ab/>
              <w:t>(a)</w:t>
            </w:r>
            <w:r>
              <w:rPr>
                <w:rFonts w:ascii="Arial" w:hAnsi="Arial" w:cs="Arial"/>
                <w:sz w:val="18"/>
                <w:szCs w:val="18"/>
              </w:rPr>
              <w:tab/>
              <w:t>if the appointment is cancelled less than 3 days before the day of the appointment, nil;</w:t>
            </w:r>
          </w:p>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ab/>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ab/>
              <w:t>(c)</w:t>
            </w:r>
            <w:r>
              <w:rPr>
                <w:rFonts w:ascii="Arial" w:hAnsi="Arial" w:cs="Arial"/>
                <w:sz w:val="18"/>
                <w:szCs w:val="18"/>
              </w:rPr>
              <w:tab/>
              <w:t>if the appointment is cancelled 10 days or more before the day of the appointment, 80%.</w:t>
            </w:r>
          </w:p>
        </w:tc>
      </w:tr>
      <w:tr>
        <w:trPr>
          <w:cantSplit/>
        </w:trPr>
        <w:tc>
          <w:tcPr>
            <w:tcW w:w="0" w:type="auto"/>
          </w:tcPr>
          <w:p>
            <w:pPr>
              <w:pStyle w:val="yTableNAm"/>
            </w:pPr>
            <w:r>
              <w:rPr>
                <w:szCs w:val="22"/>
              </w:rPr>
              <w:t>12.</w:t>
            </w:r>
          </w:p>
        </w:tc>
        <w:tc>
          <w:tcPr>
            <w:tcW w:w="0" w:type="auto"/>
          </w:tcPr>
          <w:p>
            <w:pPr>
              <w:pStyle w:val="yTableNAm"/>
            </w:pPr>
            <w:r>
              <w:rPr>
                <w:szCs w:val="22"/>
              </w:rPr>
              <w:t>For searching any record or proceeding</w:t>
            </w:r>
          </w:p>
        </w:tc>
        <w:tc>
          <w:tcPr>
            <w:tcW w:w="0" w:type="auto"/>
          </w:tcPr>
          <w:p>
            <w:pPr>
              <w:pStyle w:val="yTableNAm"/>
            </w:pPr>
            <w:r>
              <w:t>49.00</w:t>
            </w:r>
          </w:p>
        </w:tc>
        <w:tc>
          <w:tcPr>
            <w:tcW w:w="0" w:type="auto"/>
          </w:tcPr>
          <w:p>
            <w:pPr>
              <w:pStyle w:val="yTableNAm"/>
            </w:pPr>
            <w:r>
              <w:t>49.00</w:t>
            </w:r>
          </w:p>
        </w:tc>
        <w:tc>
          <w:tcPr>
            <w:tcW w:w="0" w:type="auto"/>
          </w:tcPr>
          <w:p>
            <w:pPr>
              <w:pStyle w:val="yTableNAm"/>
            </w:pPr>
            <w:r>
              <w:t>14.70</w:t>
            </w:r>
          </w:p>
        </w:tc>
      </w:tr>
      <w:tr>
        <w:trPr>
          <w:cantSplit/>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Note for this item:</w:t>
            </w:r>
          </w:p>
          <w:p>
            <w:pPr>
              <w:pStyle w:val="yTableNAm"/>
              <w:tabs>
                <w:tab w:val="clear" w:pos="567"/>
                <w:tab w:val="left" w:pos="454"/>
                <w:tab w:val="left" w:pos="874"/>
              </w:tabs>
              <w:ind w:left="874" w:hanging="874"/>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454"/>
              </w:tabs>
              <w:ind w:left="468" w:hanging="468"/>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454"/>
              </w:tabs>
              <w:ind w:left="468" w:hanging="468"/>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0" w:type="auto"/>
          </w:tcPr>
          <w:p>
            <w:pPr>
              <w:pStyle w:val="yTableNAm"/>
            </w:pPr>
            <w:r>
              <w:rPr>
                <w:rFonts w:ascii="Times" w:hAnsi="Times"/>
                <w:spacing w:val="-6"/>
                <w:szCs w:val="22"/>
              </w:rPr>
              <w:t>13.</w:t>
            </w:r>
          </w:p>
        </w:tc>
        <w:tc>
          <w:tcPr>
            <w:tcW w:w="0" w:type="auto"/>
          </w:tcPr>
          <w:p>
            <w:pPr>
              <w:pStyle w:val="yTableNAm"/>
            </w:pPr>
            <w:r>
              <w:rPr>
                <w:szCs w:val="22"/>
              </w:rPr>
              <w:t xml:space="preserve">For provision of searchable information to approved recipients under regulation 11A — </w:t>
            </w:r>
          </w:p>
        </w:tc>
        <w:tc>
          <w:tcPr>
            <w:tcW w:w="0" w:type="auto"/>
            <w:vAlign w:val="bottom"/>
          </w:tcPr>
          <w:p>
            <w:pPr>
              <w:pStyle w:val="zyTableNAm"/>
              <w:jc w:val="center"/>
              <w:rPr>
                <w:szCs w:val="22"/>
              </w:rPr>
            </w:pPr>
          </w:p>
        </w:tc>
        <w:tc>
          <w:tcPr>
            <w:tcW w:w="0" w:type="auto"/>
            <w:vAlign w:val="bottom"/>
          </w:tcPr>
          <w:p>
            <w:pPr>
              <w:pStyle w:val="zyTableNAm"/>
              <w:jc w:val="center"/>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(a)</w:t>
            </w:r>
            <w:r>
              <w:tab/>
              <w:t>fee per action or matter provided to recipient</w:t>
            </w:r>
          </w:p>
        </w:tc>
        <w:tc>
          <w:tcPr>
            <w:tcW w:w="0" w:type="auto"/>
            <w:vAlign w:val="bottom"/>
          </w:tcPr>
          <w:p>
            <w:pPr>
              <w:pStyle w:val="yTableNAm"/>
            </w:pPr>
            <w:r>
              <w:t>2.20</w:t>
            </w:r>
          </w:p>
        </w:tc>
        <w:tc>
          <w:tcPr>
            <w:tcW w:w="0" w:type="auto"/>
            <w:vAlign w:val="bottom"/>
          </w:tcPr>
          <w:p>
            <w:pPr>
              <w:pStyle w:val="yTableNAm"/>
            </w:pPr>
            <w:r>
              <w:t>2.20</w:t>
            </w:r>
          </w:p>
        </w:tc>
        <w:tc>
          <w:tcPr>
            <w:tcW w:w="0" w:type="auto"/>
            <w:vAlign w:val="bottom"/>
          </w:tcPr>
          <w:p>
            <w:pPr>
              <w:pStyle w:val="yTableNAm"/>
            </w:pPr>
            <w:r>
              <w:t>0.65</w:t>
            </w:r>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annual fee for information provided by email to approved recipient</w:t>
            </w:r>
          </w:p>
        </w:tc>
        <w:tc>
          <w:tcPr>
            <w:tcW w:w="0" w:type="auto"/>
            <w:vAlign w:val="bottom"/>
          </w:tcPr>
          <w:p>
            <w:pPr>
              <w:pStyle w:val="yTableNAm"/>
            </w:pPr>
            <w:r>
              <w:t>2 220.00</w:t>
            </w:r>
          </w:p>
        </w:tc>
        <w:tc>
          <w:tcPr>
            <w:tcW w:w="0" w:type="auto"/>
            <w:vAlign w:val="bottom"/>
          </w:tcPr>
          <w:p>
            <w:pPr>
              <w:pStyle w:val="yTableNAm"/>
            </w:pPr>
            <w:r>
              <w:t>2 220.00</w:t>
            </w:r>
          </w:p>
        </w:tc>
        <w:tc>
          <w:tcPr>
            <w:tcW w:w="0" w:type="auto"/>
            <w:vAlign w:val="bottom"/>
          </w:tcPr>
          <w:p>
            <w:pPr>
              <w:pStyle w:val="yTableNAm"/>
            </w:pPr>
            <w:r>
              <w:t>100.00</w:t>
            </w:r>
          </w:p>
        </w:tc>
      </w:tr>
      <w:tr>
        <w:trPr>
          <w:cantSplit/>
          <w:trHeight w:val="999"/>
        </w:trPr>
        <w:tc>
          <w:tcPr>
            <w:tcW w:w="0" w:type="auto"/>
          </w:tcPr>
          <w:p>
            <w:pPr>
              <w:pStyle w:val="zyTableNAm"/>
              <w:rPr>
                <w:rFonts w:ascii="Arial" w:hAnsi="Arial" w:cs="Arial"/>
                <w:sz w:val="18"/>
                <w:szCs w:val="18"/>
              </w:rPr>
            </w:pPr>
          </w:p>
        </w:tc>
        <w:tc>
          <w:tcPr>
            <w:tcW w:w="0" w:type="auto"/>
            <w:gridSpan w:val="4"/>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Note for this item:</w:t>
            </w:r>
          </w:p>
          <w:p>
            <w:pPr>
              <w:pStyle w:val="yTableNAm"/>
              <w:tabs>
                <w:tab w:val="clear" w:pos="567"/>
              </w:tabs>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0" w:type="auto"/>
          </w:tcPr>
          <w:p>
            <w:pPr>
              <w:pStyle w:val="yTableNAm"/>
            </w:pPr>
            <w:r>
              <w:rPr>
                <w:szCs w:val="22"/>
              </w:rPr>
              <w:t>14.</w:t>
            </w:r>
          </w:p>
        </w:tc>
        <w:tc>
          <w:tcPr>
            <w:tcW w:w="0" w:type="auto"/>
          </w:tcPr>
          <w:p>
            <w:pPr>
              <w:pStyle w:val="yTableNAm"/>
              <w:tabs>
                <w:tab w:val="clear" w:pos="567"/>
                <w:tab w:val="left" w:pos="454"/>
              </w:tabs>
              <w:ind w:left="468" w:hanging="468"/>
            </w:pPr>
            <w:r>
              <w:t>(a)</w:t>
            </w:r>
            <w:r>
              <w:tab/>
              <w:t xml:space="preserve">On an application for the production of records or documents that are required to be produced to any court, tribunal, arbitrator or umpire </w:t>
            </w:r>
          </w:p>
        </w:tc>
        <w:tc>
          <w:tcPr>
            <w:tcW w:w="0" w:type="auto"/>
            <w:vAlign w:val="bottom"/>
          </w:tcPr>
          <w:p>
            <w:pPr>
              <w:pStyle w:val="yTableNAm"/>
            </w:pPr>
            <w:r>
              <w:t>72.00</w:t>
            </w:r>
          </w:p>
        </w:tc>
        <w:tc>
          <w:tcPr>
            <w:tcW w:w="0" w:type="auto"/>
            <w:vAlign w:val="bottom"/>
          </w:tcPr>
          <w:p>
            <w:pPr>
              <w:pStyle w:val="yTableNAm"/>
            </w:pPr>
            <w:r>
              <w:t>72.00</w:t>
            </w:r>
          </w:p>
        </w:tc>
        <w:tc>
          <w:tcPr>
            <w:tcW w:w="0" w:type="auto"/>
            <w:vAlign w:val="bottom"/>
          </w:tcPr>
          <w:p>
            <w:pPr>
              <w:pStyle w:val="yTableNAm"/>
            </w:pPr>
            <w:r>
              <w:t>21.60</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If an officer is required to attend at any court or place out of the District Court building, the officer’s reasonable expenses and, in addition for each hour when the officer is necessarily absent from the officer’s office</w:t>
            </w:r>
          </w:p>
        </w:tc>
        <w:tc>
          <w:tcPr>
            <w:tcW w:w="0" w:type="auto"/>
            <w:vAlign w:val="bottom"/>
          </w:tcPr>
          <w:p>
            <w:pPr>
              <w:pStyle w:val="yTableNAm"/>
            </w:pPr>
            <w:r>
              <w:t>108.00</w:t>
            </w:r>
          </w:p>
        </w:tc>
        <w:tc>
          <w:tcPr>
            <w:tcW w:w="0" w:type="auto"/>
            <w:vAlign w:val="bottom"/>
          </w:tcPr>
          <w:p>
            <w:pPr>
              <w:pStyle w:val="yTableNAm"/>
            </w:pPr>
            <w:r>
              <w:t>108.00</w:t>
            </w:r>
          </w:p>
        </w:tc>
        <w:tc>
          <w:tcPr>
            <w:tcW w:w="0" w:type="auto"/>
            <w:vAlign w:val="bottom"/>
          </w:tcPr>
          <w:p>
            <w:pPr>
              <w:pStyle w:val="yTableNAm"/>
            </w:pPr>
            <w:r>
              <w:t>32.40</w:t>
            </w:r>
          </w:p>
        </w:tc>
      </w:tr>
      <w:tr>
        <w:trPr>
          <w:cantSplit/>
        </w:trPr>
        <w:tc>
          <w:tcPr>
            <w:tcW w:w="0" w:type="auto"/>
          </w:tcPr>
          <w:p>
            <w:pPr>
              <w:pStyle w:val="yTableNAm"/>
            </w:pPr>
            <w:r>
              <w:rPr>
                <w:szCs w:val="22"/>
              </w:rPr>
              <w:t>15.</w:t>
            </w:r>
          </w:p>
        </w:tc>
        <w:tc>
          <w:tcPr>
            <w:tcW w:w="0" w:type="auto"/>
          </w:tcPr>
          <w:p>
            <w:pPr>
              <w:pStyle w:val="yTableNAm"/>
              <w:tabs>
                <w:tab w:val="clear" w:pos="567"/>
                <w:tab w:val="left" w:pos="454"/>
              </w:tabs>
              <w:ind w:left="468" w:hanging="468"/>
            </w:pPr>
            <w:r>
              <w:t>(a)</w:t>
            </w:r>
            <w:r>
              <w:tab/>
              <w:t xml:space="preserve">For a copy of a document of any kind or an exhibit, including marking as an office copy if required, for each page or part thereof </w:t>
            </w:r>
          </w:p>
        </w:tc>
        <w:tc>
          <w:tcPr>
            <w:tcW w:w="0" w:type="auto"/>
            <w:vAlign w:val="bottom"/>
          </w:tcPr>
          <w:p>
            <w:pPr>
              <w:pStyle w:val="yTableNAm"/>
            </w:pPr>
            <w:r>
              <w:t>2.05</w:t>
            </w:r>
          </w:p>
        </w:tc>
        <w:tc>
          <w:tcPr>
            <w:tcW w:w="0" w:type="auto"/>
            <w:vAlign w:val="bottom"/>
          </w:tcPr>
          <w:p>
            <w:pPr>
              <w:pStyle w:val="yTableNAm"/>
            </w:pPr>
            <w:r>
              <w:t>2.05</w:t>
            </w:r>
          </w:p>
        </w:tc>
        <w:tc>
          <w:tcPr>
            <w:tcW w:w="0" w:type="auto"/>
            <w:vAlign w:val="bottom"/>
          </w:tcPr>
          <w:p>
            <w:pPr>
              <w:pStyle w:val="yTableNAm"/>
            </w:pPr>
            <w:r>
              <w:t>0.60</w:t>
            </w:r>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s>
              <w:ind w:left="468" w:hanging="468"/>
            </w:pPr>
            <w:r>
              <w:t>(b)</w:t>
            </w:r>
            <w:r>
              <w:tab/>
              <w:t>For a copy of reasons for judgment —</w:t>
            </w:r>
          </w:p>
        </w:tc>
        <w:tc>
          <w:tcPr>
            <w:tcW w:w="0" w:type="auto"/>
            <w:vAlign w:val="bottom"/>
          </w:tcPr>
          <w:p>
            <w:pPr>
              <w:pStyle w:val="zyTableNAm"/>
              <w:keepNext/>
              <w:keepLines/>
              <w:rPr>
                <w:szCs w:val="22"/>
              </w:rPr>
            </w:pPr>
          </w:p>
        </w:tc>
        <w:tc>
          <w:tcPr>
            <w:tcW w:w="0" w:type="auto"/>
            <w:vAlign w:val="bottom"/>
          </w:tcPr>
          <w:p>
            <w:pPr>
              <w:pStyle w:val="zyTableNAm"/>
              <w:keepNext/>
              <w:keepLines/>
              <w:rPr>
                <w:szCs w:val="22"/>
              </w:rPr>
            </w:pPr>
          </w:p>
        </w:tc>
        <w:tc>
          <w:tcPr>
            <w:tcW w:w="0" w:type="auto"/>
            <w:vAlign w:val="bottom"/>
          </w:tcPr>
          <w:p>
            <w:pPr>
              <w:pStyle w:val="yTableNAm"/>
            </w:pP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w:t>
            </w:r>
            <w:r>
              <w:tab/>
              <w:t>for each copy issued to a person not a party to the proceedings and for each copy in excess of 1 copy issued to a party to the proceedings</w:t>
            </w:r>
          </w:p>
        </w:tc>
        <w:tc>
          <w:tcPr>
            <w:tcW w:w="0" w:type="auto"/>
            <w:vAlign w:val="bottom"/>
          </w:tcPr>
          <w:p>
            <w:pPr>
              <w:pStyle w:val="yTableNAm"/>
            </w:pPr>
            <w:r>
              <w:rPr>
                <w:szCs w:val="22"/>
              </w:rPr>
              <w:t>17.05</w:t>
            </w:r>
          </w:p>
        </w:tc>
        <w:tc>
          <w:tcPr>
            <w:tcW w:w="0" w:type="auto"/>
            <w:vAlign w:val="bottom"/>
          </w:tcPr>
          <w:p>
            <w:pPr>
              <w:pStyle w:val="yTableNAm"/>
            </w:pPr>
            <w:r>
              <w:rPr>
                <w:szCs w:val="22"/>
              </w:rPr>
              <w:t>17.05</w:t>
            </w:r>
          </w:p>
        </w:tc>
        <w:tc>
          <w:tcPr>
            <w:tcW w:w="0" w:type="auto"/>
            <w:vAlign w:val="bottom"/>
          </w:tcPr>
          <w:p>
            <w:pPr>
              <w:pStyle w:val="yTableNAm"/>
            </w:pPr>
            <w:r>
              <w:rPr>
                <w:szCs w:val="22"/>
              </w:rPr>
              <w:t>5.10</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(ii)</w:t>
            </w:r>
            <w:r>
              <w:tab/>
              <w:t>for each copy consisting of 10 or more pages an additional fee per page of</w:t>
            </w:r>
          </w:p>
        </w:tc>
        <w:tc>
          <w:tcPr>
            <w:tcW w:w="0" w:type="auto"/>
            <w:vAlign w:val="bottom"/>
          </w:tcPr>
          <w:p>
            <w:pPr>
              <w:pStyle w:val="yTableNAm"/>
            </w:pPr>
            <w:r>
              <w:rPr>
                <w:szCs w:val="22"/>
              </w:rPr>
              <w:t>2.20</w:t>
            </w:r>
          </w:p>
        </w:tc>
        <w:tc>
          <w:tcPr>
            <w:tcW w:w="0" w:type="auto"/>
            <w:vAlign w:val="bottom"/>
          </w:tcPr>
          <w:p>
            <w:pPr>
              <w:pStyle w:val="yTableNAm"/>
            </w:pPr>
            <w:r>
              <w:rPr>
                <w:szCs w:val="22"/>
              </w:rPr>
              <w:t>2.20</w:t>
            </w:r>
          </w:p>
        </w:tc>
        <w:tc>
          <w:tcPr>
            <w:tcW w:w="0" w:type="auto"/>
            <w:vAlign w:val="bottom"/>
          </w:tcPr>
          <w:p>
            <w:pPr>
              <w:pStyle w:val="yTableNAm"/>
            </w:pPr>
            <w:r>
              <w:rPr>
                <w:szCs w:val="22"/>
              </w:rPr>
              <w:t>0.65</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(c)</w:t>
            </w:r>
            <w:r>
              <w:tab/>
              <w:t>For certifying under seal that a document is a true copy,C an additional fee of</w:t>
            </w:r>
          </w:p>
        </w:tc>
        <w:tc>
          <w:tcPr>
            <w:tcW w:w="0" w:type="auto"/>
            <w:vAlign w:val="bottom"/>
          </w:tcPr>
          <w:p>
            <w:pPr>
              <w:pStyle w:val="yTableNAm"/>
            </w:pPr>
            <w:r>
              <w:t>23.50</w:t>
            </w:r>
          </w:p>
        </w:tc>
        <w:tc>
          <w:tcPr>
            <w:tcW w:w="0" w:type="auto"/>
            <w:vAlign w:val="bottom"/>
          </w:tcPr>
          <w:p>
            <w:pPr>
              <w:pStyle w:val="yTableNAm"/>
            </w:pPr>
            <w:r>
              <w:t>23.50</w:t>
            </w:r>
          </w:p>
        </w:tc>
        <w:tc>
          <w:tcPr>
            <w:tcW w:w="0" w:type="auto"/>
            <w:vAlign w:val="bottom"/>
          </w:tcPr>
          <w:p>
            <w:pPr>
              <w:pStyle w:val="yTableNAm"/>
            </w:pPr>
            <w:r>
              <w:t>7.05</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(d)</w:t>
            </w:r>
            <w:r>
              <w:tab/>
              <w:t>For a certificate under the hand of a registrar</w:t>
            </w:r>
          </w:p>
        </w:tc>
        <w:tc>
          <w:tcPr>
            <w:tcW w:w="0" w:type="auto"/>
            <w:vAlign w:val="bottom"/>
          </w:tcPr>
          <w:p>
            <w:pPr>
              <w:pStyle w:val="yTableNAm"/>
            </w:pPr>
            <w:r>
              <w:t>46.30</w:t>
            </w:r>
          </w:p>
        </w:tc>
        <w:tc>
          <w:tcPr>
            <w:tcW w:w="0" w:type="auto"/>
            <w:vAlign w:val="bottom"/>
          </w:tcPr>
          <w:p>
            <w:pPr>
              <w:pStyle w:val="yTableNAm"/>
            </w:pPr>
            <w:r>
              <w:t>46.30</w:t>
            </w:r>
          </w:p>
        </w:tc>
        <w:tc>
          <w:tcPr>
            <w:tcW w:w="0" w:type="auto"/>
            <w:vAlign w:val="bottom"/>
          </w:tcPr>
          <w:p>
            <w:pPr>
              <w:pStyle w:val="yTableNAm"/>
            </w:pPr>
            <w:r>
              <w:t>13.90</w:t>
            </w:r>
          </w:p>
        </w:tc>
      </w:tr>
      <w:tr>
        <w:trPr>
          <w:cantSplit/>
        </w:trPr>
        <w:tc>
          <w:tcPr>
            <w:tcW w:w="0" w:type="auto"/>
          </w:tcPr>
          <w:p>
            <w:pPr>
              <w:pStyle w:val="yTableNAm"/>
              <w:keepNext/>
            </w:pPr>
            <w:r>
              <w:rPr>
                <w:szCs w:val="22"/>
              </w:rPr>
              <w:t>16.</w:t>
            </w:r>
          </w:p>
        </w:tc>
        <w:tc>
          <w:tcPr>
            <w:tcW w:w="0" w:type="auto"/>
          </w:tcPr>
          <w:p>
            <w:pPr>
              <w:pStyle w:val="yTableNAm"/>
              <w:keepNext/>
              <w:tabs>
                <w:tab w:val="clear" w:pos="567"/>
                <w:tab w:val="left" w:pos="454"/>
              </w:tabs>
              <w:ind w:left="468" w:hanging="468"/>
            </w:pPr>
            <w:r>
              <w:t>(a)</w:t>
            </w:r>
            <w:r>
              <w:tab/>
              <w:t xml:space="preserve">For the provision of a transcript, or part of a transcript — </w:t>
            </w:r>
          </w:p>
        </w:tc>
        <w:tc>
          <w:tcPr>
            <w:tcW w:w="0" w:type="auto"/>
            <w:vAlign w:val="bottom"/>
          </w:tcPr>
          <w:p>
            <w:pPr>
              <w:pStyle w:val="zyTableNAm"/>
              <w:keepNext/>
            </w:pPr>
          </w:p>
        </w:tc>
        <w:tc>
          <w:tcPr>
            <w:tcW w:w="0" w:type="auto"/>
            <w:vAlign w:val="bottom"/>
          </w:tcPr>
          <w:p>
            <w:pPr>
              <w:pStyle w:val="zyTableNAm"/>
              <w:keepNext/>
            </w:pPr>
          </w:p>
        </w:tc>
        <w:tc>
          <w:tcPr>
            <w:tcW w:w="0" w:type="auto"/>
            <w:vAlign w:val="bottom"/>
          </w:tcPr>
          <w:p>
            <w:pPr>
              <w:pStyle w:val="yTableNAm"/>
              <w:keepNext/>
            </w:pP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w:t>
            </w:r>
            <w:r>
              <w:tab/>
              <w:t xml:space="preserve">provided within 1 day after the day on which the fee is paid </w:t>
            </w:r>
          </w:p>
        </w:tc>
        <w:tc>
          <w:tcPr>
            <w:tcW w:w="0" w:type="auto"/>
          </w:tcPr>
          <w:p>
            <w:pPr>
              <w:pStyle w:val="yTableNAm"/>
            </w:pPr>
            <w:r>
              <w:t>22.60 plus</w:t>
            </w:r>
            <w:r>
              <w:br/>
              <w:t>9.30 per page</w:t>
            </w:r>
          </w:p>
        </w:tc>
        <w:tc>
          <w:tcPr>
            <w:tcW w:w="0" w:type="auto"/>
          </w:tcPr>
          <w:p>
            <w:pPr>
              <w:pStyle w:val="yTableNAm"/>
            </w:pPr>
            <w:r>
              <w:t>22.60 plus</w:t>
            </w:r>
            <w:r>
              <w:br/>
              <w:t>18.60 per page</w:t>
            </w:r>
          </w:p>
        </w:tc>
        <w:tc>
          <w:tcPr>
            <w:tcW w:w="0" w:type="auto"/>
          </w:tcPr>
          <w:p>
            <w:pPr>
              <w:pStyle w:val="yTableNAm"/>
            </w:pPr>
            <w:r>
              <w:t xml:space="preserve">6.80 plus </w:t>
            </w:r>
            <w:r>
              <w:br/>
              <w:t>2.80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(ii)</w:t>
            </w:r>
            <w:r>
              <w:tab/>
              <w:t xml:space="preserve">provided within 2 days after the day on which the fee is paid </w:t>
            </w:r>
          </w:p>
        </w:tc>
        <w:tc>
          <w:tcPr>
            <w:tcW w:w="0" w:type="auto"/>
          </w:tcPr>
          <w:p>
            <w:pPr>
              <w:pStyle w:val="yTableNAm"/>
            </w:pPr>
            <w:r>
              <w:t>22.60 plus</w:t>
            </w:r>
            <w:r>
              <w:br/>
              <w:t>8.55 per page</w:t>
            </w:r>
          </w:p>
        </w:tc>
        <w:tc>
          <w:tcPr>
            <w:tcW w:w="0" w:type="auto"/>
          </w:tcPr>
          <w:p>
            <w:pPr>
              <w:pStyle w:val="yTableNAm"/>
            </w:pPr>
            <w:r>
              <w:t>22.60 plus</w:t>
            </w:r>
            <w:r>
              <w:br/>
              <w:t>17.05 per page</w:t>
            </w:r>
          </w:p>
        </w:tc>
        <w:tc>
          <w:tcPr>
            <w:tcW w:w="0" w:type="auto"/>
          </w:tcPr>
          <w:p>
            <w:pPr>
              <w:pStyle w:val="yTableNAm"/>
            </w:pPr>
            <w:r>
              <w:t xml:space="preserve">6.80 plus </w:t>
            </w:r>
            <w:r>
              <w:br/>
              <w:t>2.55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(iii)</w:t>
            </w:r>
            <w:r>
              <w:tab/>
              <w:t xml:space="preserve">provided within 4 days after the day on which the fee is paid </w:t>
            </w:r>
          </w:p>
        </w:tc>
        <w:tc>
          <w:tcPr>
            <w:tcW w:w="0" w:type="auto"/>
          </w:tcPr>
          <w:p>
            <w:pPr>
              <w:pStyle w:val="yTableNAm"/>
            </w:pPr>
            <w:r>
              <w:t>22.60 plus</w:t>
            </w:r>
            <w:r>
              <w:br/>
              <w:t>8.05 per page</w:t>
            </w:r>
          </w:p>
        </w:tc>
        <w:tc>
          <w:tcPr>
            <w:tcW w:w="0" w:type="auto"/>
          </w:tcPr>
          <w:p>
            <w:pPr>
              <w:pStyle w:val="yTableNAm"/>
            </w:pPr>
            <w:r>
              <w:t>22.60 plus</w:t>
            </w:r>
            <w:r>
              <w:br/>
              <w:t>16.25 per page</w:t>
            </w:r>
          </w:p>
        </w:tc>
        <w:tc>
          <w:tcPr>
            <w:tcW w:w="0" w:type="auto"/>
          </w:tcPr>
          <w:p>
            <w:pPr>
              <w:pStyle w:val="yTableNAm"/>
            </w:pPr>
            <w:r>
              <w:t xml:space="preserve">6.80 plus </w:t>
            </w:r>
            <w:r>
              <w:br/>
              <w:t>2.40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(iv)</w:t>
            </w:r>
            <w:r>
              <w:tab/>
              <w:t xml:space="preserve">provided within 7 days after the day on which the fee is paid </w:t>
            </w:r>
          </w:p>
        </w:tc>
        <w:tc>
          <w:tcPr>
            <w:tcW w:w="0" w:type="auto"/>
          </w:tcPr>
          <w:p>
            <w:pPr>
              <w:pStyle w:val="yTableNAm"/>
            </w:pPr>
            <w:r>
              <w:t xml:space="preserve">22.60 plus </w:t>
            </w:r>
            <w:r>
              <w:br/>
              <w:t>7.75 per page</w:t>
            </w:r>
          </w:p>
        </w:tc>
        <w:tc>
          <w:tcPr>
            <w:tcW w:w="0" w:type="auto"/>
          </w:tcPr>
          <w:p>
            <w:pPr>
              <w:pStyle w:val="yTableNAm"/>
            </w:pPr>
            <w:r>
              <w:t>22.60 plus</w:t>
            </w:r>
            <w:r>
              <w:br/>
              <w:t>15.45 per page</w:t>
            </w:r>
          </w:p>
        </w:tc>
        <w:tc>
          <w:tcPr>
            <w:tcW w:w="0" w:type="auto"/>
          </w:tcPr>
          <w:p>
            <w:pPr>
              <w:pStyle w:val="yTableNAm"/>
            </w:pPr>
            <w:r>
              <w:t xml:space="preserve">6.80 plus </w:t>
            </w:r>
            <w:r>
              <w:br/>
              <w:t>2.30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(v)</w:t>
            </w:r>
            <w:r>
              <w:tab/>
              <w:t xml:space="preserve">provided within 14 days after the day on which the fee is paid </w:t>
            </w:r>
          </w:p>
        </w:tc>
        <w:tc>
          <w:tcPr>
            <w:tcW w:w="0" w:type="auto"/>
          </w:tcPr>
          <w:p>
            <w:pPr>
              <w:pStyle w:val="yTableNAm"/>
            </w:pPr>
            <w:r>
              <w:t xml:space="preserve">22.60 plus </w:t>
            </w:r>
            <w:r>
              <w:br/>
              <w:t>6.60 per page</w:t>
            </w:r>
          </w:p>
        </w:tc>
        <w:tc>
          <w:tcPr>
            <w:tcW w:w="0" w:type="auto"/>
          </w:tcPr>
          <w:p>
            <w:pPr>
              <w:pStyle w:val="yTableNAm"/>
            </w:pPr>
            <w:r>
              <w:t>22.60 plus</w:t>
            </w:r>
            <w:r>
              <w:br/>
              <w:t>13.20 per page</w:t>
            </w:r>
          </w:p>
        </w:tc>
        <w:tc>
          <w:tcPr>
            <w:tcW w:w="0" w:type="auto"/>
          </w:tcPr>
          <w:p>
            <w:pPr>
              <w:pStyle w:val="yTableNAm"/>
            </w:pPr>
            <w:r>
              <w:t xml:space="preserve">6.80 plus </w:t>
            </w:r>
            <w:r>
              <w:br/>
              <w:t>2.00 per page</w:t>
            </w:r>
          </w:p>
        </w:tc>
      </w:tr>
      <w:tr>
        <w:trPr>
          <w:cantSplit/>
        </w:trPr>
        <w:tc>
          <w:tcPr>
            <w:tcW w:w="0" w:type="auto"/>
          </w:tcPr>
          <w:p>
            <w:pPr>
              <w:pStyle w:val="zyTableNAm"/>
              <w:rPr>
                <w:szCs w:val="22"/>
              </w:rPr>
            </w:pPr>
          </w:p>
        </w:tc>
        <w:tc>
          <w:tcPr>
            <w:tcW w:w="0" w:type="auto"/>
          </w:tcPr>
          <w:p>
            <w:pPr>
              <w:pStyle w:val="yTableNAm"/>
              <w:tabs>
                <w:tab w:val="clear" w:pos="567"/>
                <w:tab w:val="left" w:pos="454"/>
                <w:tab w:val="left" w:pos="905"/>
              </w:tabs>
              <w:ind w:left="902" w:hanging="902"/>
            </w:pPr>
            <w:r>
              <w:tab/>
              <w:t>(vi)</w:t>
            </w:r>
            <w:r>
              <w:tab/>
              <w:t>provided on a running basis (i.e. periodically throughout or following the day of the proceedings)</w:t>
            </w:r>
          </w:p>
        </w:tc>
        <w:tc>
          <w:tcPr>
            <w:tcW w:w="0" w:type="auto"/>
          </w:tcPr>
          <w:p>
            <w:pPr>
              <w:pStyle w:val="yTableNAm"/>
            </w:pPr>
            <w:r>
              <w:t xml:space="preserve">22.60 plus </w:t>
            </w:r>
            <w:r>
              <w:br/>
              <w:t>9.90 per page</w:t>
            </w:r>
          </w:p>
        </w:tc>
        <w:tc>
          <w:tcPr>
            <w:tcW w:w="0" w:type="auto"/>
          </w:tcPr>
          <w:p>
            <w:pPr>
              <w:pStyle w:val="yTableNAm"/>
            </w:pPr>
            <w:r>
              <w:t>22.60 plus</w:t>
            </w:r>
            <w:r>
              <w:br/>
              <w:t>19.80 per page</w:t>
            </w:r>
          </w:p>
        </w:tc>
        <w:tc>
          <w:tcPr>
            <w:tcW w:w="0" w:type="auto"/>
          </w:tcPr>
          <w:p>
            <w:pPr>
              <w:pStyle w:val="yTableNAm"/>
            </w:pPr>
            <w:r>
              <w:t xml:space="preserve">6.80 plus </w:t>
            </w:r>
            <w:r>
              <w:br/>
              <w:t>2.95 per page</w:t>
            </w:r>
          </w:p>
        </w:tc>
      </w:tr>
      <w:tr>
        <w:trPr>
          <w:cantSplit/>
        </w:trPr>
        <w:tc>
          <w:tcPr>
            <w:tcW w:w="0" w:type="auto"/>
          </w:tcPr>
          <w:p>
            <w:pPr>
              <w:pStyle w:val="zyTableNAm"/>
              <w:rPr>
                <w:szCs w:val="22"/>
              </w:rPr>
            </w:pPr>
          </w:p>
        </w:tc>
        <w:tc>
          <w:tcPr>
            <w:tcW w:w="0" w:type="auto"/>
          </w:tcPr>
          <w:p>
            <w:pPr>
              <w:pStyle w:val="yTableNAm"/>
              <w:tabs>
                <w:tab w:val="clear" w:pos="567"/>
                <w:tab w:val="left" w:pos="454"/>
              </w:tabs>
              <w:ind w:left="468" w:hanging="468"/>
            </w:pPr>
            <w:r>
              <w:t>(b)</w:t>
            </w:r>
            <w:r>
              <w:tab/>
              <w:t>For the provision of a copy of a transcript, or part of a transcript, where the transcript or part has already been provided to the person requesting the copy —</w:t>
            </w:r>
            <w:r>
              <w:rPr>
                <w:szCs w:val="22"/>
              </w:rPr>
              <w:t xml:space="preserve"> </w:t>
            </w:r>
          </w:p>
        </w:tc>
        <w:tc>
          <w:tcPr>
            <w:tcW w:w="0" w:type="auto"/>
          </w:tcPr>
          <w:p>
            <w:pPr>
              <w:pStyle w:val="zyTableNAm"/>
            </w:pPr>
          </w:p>
        </w:tc>
        <w:tc>
          <w:tcPr>
            <w:tcW w:w="0" w:type="auto"/>
          </w:tcPr>
          <w:p>
            <w:pPr>
              <w:pStyle w:val="zyTableNAm"/>
            </w:pPr>
          </w:p>
        </w:tc>
        <w:tc>
          <w:tcPr>
            <w:tcW w:w="0" w:type="auto"/>
          </w:tcPr>
          <w:p>
            <w:pPr>
              <w:pStyle w:val="yTableNAm"/>
            </w:pPr>
          </w:p>
        </w:tc>
      </w:tr>
      <w:tr>
        <w:trPr>
          <w:cantSplit/>
        </w:trPr>
        <w:tc>
          <w:tcPr>
            <w:tcW w:w="0" w:type="auto"/>
          </w:tcPr>
          <w:p>
            <w:pPr>
              <w:pStyle w:val="zyTableNAm"/>
              <w:keepNext/>
              <w:keepLines/>
              <w:rPr>
                <w:szCs w:val="22"/>
              </w:rPr>
            </w:pPr>
          </w:p>
        </w:tc>
        <w:tc>
          <w:tcPr>
            <w:tcW w:w="0" w:type="auto"/>
          </w:tcPr>
          <w:p>
            <w:pPr>
              <w:pStyle w:val="yTableNAm"/>
              <w:tabs>
                <w:tab w:val="clear" w:pos="567"/>
                <w:tab w:val="left" w:pos="454"/>
                <w:tab w:val="left" w:pos="905"/>
              </w:tabs>
              <w:ind w:left="902" w:hanging="902"/>
            </w:pPr>
            <w:r>
              <w:tab/>
              <w:t>(i)</w:t>
            </w:r>
            <w:r>
              <w:tab/>
              <w:t xml:space="preserve">electronic format </w:t>
            </w:r>
          </w:p>
        </w:tc>
        <w:tc>
          <w:tcPr>
            <w:tcW w:w="0" w:type="auto"/>
          </w:tcPr>
          <w:p>
            <w:pPr>
              <w:pStyle w:val="yTableNAm"/>
            </w:pPr>
            <w:r>
              <w:t>23.50 per copy</w:t>
            </w:r>
          </w:p>
        </w:tc>
        <w:tc>
          <w:tcPr>
            <w:tcW w:w="0" w:type="auto"/>
          </w:tcPr>
          <w:p>
            <w:pPr>
              <w:pStyle w:val="yTableNAm"/>
            </w:pPr>
            <w:r>
              <w:t>23.50 per copy</w:t>
            </w:r>
          </w:p>
        </w:tc>
        <w:tc>
          <w:tcPr>
            <w:tcW w:w="0" w:type="auto"/>
          </w:tcPr>
          <w:p>
            <w:pPr>
              <w:pStyle w:val="yTableNAm"/>
            </w:pPr>
            <w:r>
              <w:t>7.05 per copy</w:t>
            </w:r>
          </w:p>
        </w:tc>
      </w:tr>
      <w:tr>
        <w:trPr>
          <w:cantSplit/>
        </w:trPr>
        <w:tc>
          <w:tcPr>
            <w:tcW w:w="0" w:type="auto"/>
            <w:tcBorders>
              <w:bottom w:val="single" w:sz="4" w:space="0" w:color="auto"/>
            </w:tcBorders>
          </w:tcPr>
          <w:p>
            <w:pPr>
              <w:pStyle w:val="zyTableNAm"/>
              <w:rPr>
                <w:szCs w:val="22"/>
              </w:rPr>
            </w:pPr>
          </w:p>
        </w:tc>
        <w:tc>
          <w:tcPr>
            <w:tcW w:w="0" w:type="auto"/>
            <w:tcBorders>
              <w:bottom w:val="single" w:sz="4" w:space="0" w:color="auto"/>
            </w:tcBorders>
          </w:tcPr>
          <w:p>
            <w:pPr>
              <w:pStyle w:val="yTableNAm"/>
              <w:tabs>
                <w:tab w:val="clear" w:pos="567"/>
                <w:tab w:val="left" w:pos="454"/>
                <w:tab w:val="left" w:pos="905"/>
              </w:tabs>
              <w:ind w:left="902" w:hanging="902"/>
            </w:pPr>
            <w:r>
              <w:tab/>
              <w:t>(ii)</w:t>
            </w:r>
            <w:r>
              <w:tab/>
              <w:t xml:space="preserve">paper copy </w:t>
            </w:r>
          </w:p>
        </w:tc>
        <w:tc>
          <w:tcPr>
            <w:tcW w:w="0" w:type="auto"/>
            <w:tcBorders>
              <w:bottom w:val="single" w:sz="4" w:space="0" w:color="auto"/>
            </w:tcBorders>
          </w:tcPr>
          <w:p>
            <w:pPr>
              <w:pStyle w:val="yTableNAm"/>
            </w:pPr>
            <w:r>
              <w:t>2.30 per page</w:t>
            </w:r>
          </w:p>
        </w:tc>
        <w:tc>
          <w:tcPr>
            <w:tcW w:w="0" w:type="auto"/>
            <w:tcBorders>
              <w:bottom w:val="single" w:sz="4" w:space="0" w:color="auto"/>
            </w:tcBorders>
          </w:tcPr>
          <w:p>
            <w:pPr>
              <w:pStyle w:val="yTableNAm"/>
            </w:pPr>
            <w:r>
              <w:t>2.30 per page</w:t>
            </w:r>
          </w:p>
        </w:tc>
        <w:tc>
          <w:tcPr>
            <w:tcW w:w="0" w:type="auto"/>
            <w:tcBorders>
              <w:bottom w:val="single" w:sz="4" w:space="0" w:color="auto"/>
            </w:tcBorders>
          </w:tcPr>
          <w:p>
            <w:pPr>
              <w:pStyle w:val="yTableNAm"/>
            </w:pPr>
            <w:r>
              <w:t>0.70 per page</w:t>
            </w:r>
          </w:p>
        </w:tc>
      </w:tr>
    </w:tbl>
    <w:p>
      <w:pPr>
        <w:pStyle w:val="yFootnotesection"/>
      </w:pPr>
      <w:r>
        <w:tab/>
        <w:t>[Schedule 1 inserted: Gazette 28 Jun 2019 p. 2578</w:t>
      </w:r>
      <w:r>
        <w:noBreakHyphen/>
        <w:t>86.]</w:t>
      </w:r>
    </w:p>
    <w:p>
      <w:pPr>
        <w:pStyle w:val="yScheduleHeading"/>
      </w:pPr>
      <w:bookmarkStart w:id="31" w:name="_Toc12624937"/>
      <w:bookmarkStart w:id="32" w:name="_Toc12624987"/>
      <w:r>
        <w:rPr>
          <w:rStyle w:val="CharSchNo"/>
        </w:rPr>
        <w:t>Schedule 2</w:t>
      </w:r>
      <w:r>
        <w:rPr>
          <w:rStyle w:val="CharSDivNo"/>
        </w:rPr>
        <w:t> </w:t>
      </w:r>
      <w:r>
        <w:t>—</w:t>
      </w:r>
      <w:r>
        <w:rPr>
          <w:rStyle w:val="CharSDivText"/>
        </w:rPr>
        <w:t> </w:t>
      </w:r>
      <w:r>
        <w:rPr>
          <w:rStyle w:val="CharSchText"/>
        </w:rPr>
        <w:t>Sheriff’s fees</w:t>
      </w:r>
      <w:bookmarkEnd w:id="31"/>
      <w:bookmarkEnd w:id="32"/>
    </w:p>
    <w:p>
      <w:pPr>
        <w:pStyle w:val="yShoulderClause"/>
      </w:pPr>
      <w:r>
        <w:t>[r. 4]</w:t>
      </w:r>
    </w:p>
    <w:p>
      <w:pPr>
        <w:pStyle w:val="yFootnoteheading"/>
        <w:spacing w:after="60"/>
      </w:pPr>
      <w:r>
        <w:tab/>
        <w:t>[Heading inserted: Gazette 28 Jun 2019 p. 2586.]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tabs>
                <w:tab w:val="clear" w:pos="567"/>
                <w:tab w:val="left" w:pos="454"/>
              </w:tabs>
              <w:ind w:left="468" w:hanging="468"/>
            </w:pPr>
            <w:r>
              <w:t>(a)</w:t>
            </w:r>
            <w:r>
              <w:tab/>
              <w:t xml:space="preserve">for arresting the person </w:t>
            </w:r>
          </w:p>
        </w:tc>
        <w:tc>
          <w:tcPr>
            <w:tcW w:w="1316" w:type="dxa"/>
            <w:vAlign w:val="bottom"/>
          </w:tcPr>
          <w:p>
            <w:pPr>
              <w:pStyle w:val="yTableNAm"/>
            </w:pPr>
            <w:r>
              <w:rPr>
                <w:szCs w:val="22"/>
              </w:rPr>
              <w:t>155.50</w:t>
            </w:r>
          </w:p>
        </w:tc>
      </w:tr>
      <w:tr>
        <w:trPr>
          <w:cantSplit/>
        </w:trPr>
        <w:tc>
          <w:tcPr>
            <w:tcW w:w="669" w:type="dxa"/>
          </w:tcPr>
          <w:p>
            <w:pPr>
              <w:pStyle w:val="zyTableNAm"/>
            </w:pPr>
          </w:p>
        </w:tc>
        <w:tc>
          <w:tcPr>
            <w:tcW w:w="5103" w:type="dxa"/>
          </w:tcPr>
          <w:p>
            <w:pPr>
              <w:pStyle w:val="yTableNAm"/>
              <w:tabs>
                <w:tab w:val="clear" w:pos="567"/>
                <w:tab w:val="left" w:pos="454"/>
              </w:tabs>
              <w:ind w:left="468" w:hanging="468"/>
            </w:pPr>
            <w:r>
              <w:t>(b)</w:t>
            </w:r>
            <w:r>
              <w:tab/>
              <w:t xml:space="preserve">for conveying the person to a court or a custodial place and releasing the person from arrest or custody </w:t>
            </w:r>
          </w:p>
        </w:tc>
        <w:tc>
          <w:tcPr>
            <w:tcW w:w="1316" w:type="dxa"/>
            <w:vAlign w:val="bottom"/>
          </w:tcPr>
          <w:p>
            <w:pPr>
              <w:pStyle w:val="yTableNAm"/>
            </w:pPr>
            <w:r>
              <w:t>154.00</w:t>
            </w:r>
          </w:p>
        </w:tc>
      </w:tr>
      <w:tr>
        <w:trPr>
          <w:cantSplit/>
        </w:trPr>
        <w:tc>
          <w:tcPr>
            <w:tcW w:w="669" w:type="dxa"/>
          </w:tcPr>
          <w:p>
            <w:pPr>
              <w:pStyle w:val="zyTableNAm"/>
            </w:pPr>
          </w:p>
        </w:tc>
        <w:tc>
          <w:tcPr>
            <w:tcW w:w="5103" w:type="dxa"/>
          </w:tcPr>
          <w:p>
            <w:pPr>
              <w:pStyle w:val="yTableNAm"/>
              <w:tabs>
                <w:tab w:val="clear" w:pos="567"/>
                <w:tab w:val="left" w:pos="454"/>
              </w:tabs>
              <w:ind w:left="468" w:hanging="468"/>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vAlign w:val="bottom"/>
          </w:tcPr>
          <w:p>
            <w:pPr>
              <w:pStyle w:val="yTableNAm"/>
            </w:pPr>
            <w:r>
              <w:t>40.80</w:t>
            </w:r>
          </w:p>
        </w:tc>
      </w:tr>
      <w:tr>
        <w:trPr>
          <w:cantSplit/>
          <w:trHeight w:val="1191"/>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Notes for this item:</w:t>
            </w:r>
          </w:p>
          <w:p>
            <w:pPr>
              <w:pStyle w:val="yTableNAm"/>
              <w:tabs>
                <w:tab w:val="clear" w:pos="567"/>
                <w:tab w:val="left" w:pos="454"/>
              </w:tabs>
              <w:ind w:left="468" w:hanging="468"/>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454"/>
                <w:tab w:val="left" w:pos="910"/>
              </w:tabs>
              <w:ind w:left="931" w:hanging="931"/>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454"/>
                <w:tab w:val="left" w:pos="910"/>
              </w:tabs>
              <w:ind w:left="931" w:hanging="931"/>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454"/>
                <w:tab w:val="left" w:pos="910"/>
              </w:tabs>
              <w:ind w:left="931" w:hanging="931"/>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454"/>
                <w:tab w:val="left" w:pos="910"/>
              </w:tabs>
              <w:ind w:left="931" w:hanging="931"/>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vAlign w:val="bottom"/>
          </w:tcPr>
          <w:p>
            <w:pPr>
              <w:pStyle w:val="yTableNAm"/>
            </w:pPr>
            <w:r>
              <w:rPr>
                <w:szCs w:val="22"/>
              </w:rPr>
              <w:t>86.50</w:t>
            </w:r>
          </w:p>
        </w:tc>
      </w:tr>
      <w:tr>
        <w:trPr>
          <w:cantSplit/>
          <w:trHeight w:val="964"/>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Notes for this item:</w:t>
            </w:r>
          </w:p>
          <w:p>
            <w:pPr>
              <w:pStyle w:val="yTableNAm"/>
              <w:tabs>
                <w:tab w:val="clear" w:pos="567"/>
                <w:tab w:val="left" w:pos="454"/>
              </w:tabs>
              <w:ind w:left="468" w:hanging="468"/>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tcPr>
          <w:p>
            <w:pPr>
              <w:pStyle w:val="zyTableNAm"/>
              <w:rPr>
                <w:rFonts w:ascii="Arial" w:hAnsi="Arial" w:cs="Arial"/>
                <w:sz w:val="18"/>
                <w:szCs w:val="18"/>
              </w:rPr>
            </w:pPr>
          </w:p>
        </w:tc>
        <w:tc>
          <w:tcPr>
            <w:tcW w:w="6419" w:type="dxa"/>
            <w:gridSpan w:val="2"/>
          </w:tcPr>
          <w:p>
            <w:pPr>
              <w:pStyle w:val="yTableNAm"/>
              <w:tabs>
                <w:tab w:val="clear" w:pos="567"/>
                <w:tab w:val="left" w:pos="454"/>
              </w:tabs>
              <w:ind w:left="468" w:hanging="468"/>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tcPr>
          <w:p>
            <w:pPr>
              <w:pStyle w:val="yTableNAm"/>
            </w:pPr>
            <w:r>
              <w:t>3.</w:t>
            </w:r>
          </w:p>
        </w:tc>
        <w:tc>
          <w:tcPr>
            <w:tcW w:w="5103" w:type="dxa"/>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316" w:type="dxa"/>
            <w:vAlign w:val="bottom"/>
          </w:tcPr>
          <w:p>
            <w:pPr>
              <w:pStyle w:val="yTableNAm"/>
            </w:pPr>
          </w:p>
        </w:tc>
      </w:tr>
      <w:tr>
        <w:trPr>
          <w:cantSplit/>
        </w:trPr>
        <w:tc>
          <w:tcPr>
            <w:tcW w:w="669" w:type="dxa"/>
          </w:tcPr>
          <w:p>
            <w:pPr>
              <w:pStyle w:val="zyTableNAm"/>
            </w:pPr>
          </w:p>
        </w:tc>
        <w:tc>
          <w:tcPr>
            <w:tcW w:w="5103" w:type="dxa"/>
          </w:tcPr>
          <w:p>
            <w:pPr>
              <w:pStyle w:val="yTableNAm"/>
              <w:tabs>
                <w:tab w:val="clear" w:pos="567"/>
                <w:tab w:val="left" w:pos="454"/>
              </w:tabs>
              <w:ind w:left="468" w:hanging="468"/>
            </w:pPr>
            <w:r>
              <w:t>(a)</w:t>
            </w:r>
            <w:r>
              <w:tab/>
              <w:t xml:space="preserve">for each kilometre travelled (1 way) in the metropolitan area </w:t>
            </w:r>
          </w:p>
        </w:tc>
        <w:tc>
          <w:tcPr>
            <w:tcW w:w="1316" w:type="dxa"/>
            <w:vAlign w:val="bottom"/>
          </w:tcPr>
          <w:p>
            <w:pPr>
              <w:pStyle w:val="yTableNAm"/>
            </w:pPr>
            <w:r>
              <w:t>2.20</w:t>
            </w:r>
          </w:p>
        </w:tc>
      </w:tr>
      <w:tr>
        <w:trPr>
          <w:cantSplit/>
        </w:trPr>
        <w:tc>
          <w:tcPr>
            <w:tcW w:w="669" w:type="dxa"/>
          </w:tcPr>
          <w:p>
            <w:pPr>
              <w:pStyle w:val="zyTableNAm"/>
            </w:pPr>
          </w:p>
        </w:tc>
        <w:tc>
          <w:tcPr>
            <w:tcW w:w="5103" w:type="dxa"/>
          </w:tcPr>
          <w:p>
            <w:pPr>
              <w:pStyle w:val="yTableNAm"/>
              <w:tabs>
                <w:tab w:val="clear" w:pos="567"/>
                <w:tab w:val="left" w:pos="454"/>
              </w:tabs>
              <w:ind w:left="468" w:hanging="468"/>
            </w:pPr>
            <w:r>
              <w:t>(b)</w:t>
            </w:r>
            <w:r>
              <w:tab/>
              <w:t xml:space="preserve">for each kilometre travelled (1 way) outside the metropolitan area </w:t>
            </w:r>
          </w:p>
        </w:tc>
        <w:tc>
          <w:tcPr>
            <w:tcW w:w="1316" w:type="dxa"/>
            <w:vAlign w:val="bottom"/>
          </w:tcPr>
          <w:p>
            <w:pPr>
              <w:pStyle w:val="yTableNAm"/>
            </w:pPr>
            <w:r>
              <w:t>2.40</w:t>
            </w:r>
          </w:p>
        </w:tc>
      </w:tr>
      <w:tr>
        <w:trPr>
          <w:cantSplit/>
        </w:trPr>
        <w:tc>
          <w:tcPr>
            <w:tcW w:w="669" w:type="dxa"/>
          </w:tcPr>
          <w:p>
            <w:pPr>
              <w:pStyle w:val="zyTableNAm"/>
              <w:rPr>
                <w:rFonts w:ascii="Arial" w:hAnsi="Arial" w:cs="Arial"/>
                <w:sz w:val="18"/>
                <w:szCs w:val="18"/>
              </w:rPr>
            </w:pPr>
          </w:p>
        </w:tc>
        <w:tc>
          <w:tcPr>
            <w:tcW w:w="6419" w:type="dxa"/>
            <w:gridSpan w:val="2"/>
          </w:tcPr>
          <w:p>
            <w:pPr>
              <w:pStyle w:val="yTableNAm"/>
              <w:tabs>
                <w:tab w:val="clear" w:pos="567"/>
              </w:tabs>
              <w:rPr>
                <w:rFonts w:ascii="Arial" w:hAnsi="Arial" w:cs="Arial"/>
                <w:sz w:val="18"/>
                <w:szCs w:val="18"/>
              </w:rPr>
            </w:pPr>
            <w:r>
              <w:rPr>
                <w:rFonts w:ascii="Arial" w:hAnsi="Arial" w:cs="Arial"/>
                <w:sz w:val="18"/>
                <w:szCs w:val="18"/>
              </w:rPr>
              <w:t>Note for this item:</w:t>
            </w:r>
          </w:p>
          <w:p>
            <w:pPr>
              <w:pStyle w:val="yTableNAm"/>
              <w:tabs>
                <w:tab w:val="clear" w:pos="567"/>
              </w:tabs>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vAlign w:val="bottom"/>
          </w:tcPr>
          <w:p>
            <w:pPr>
              <w:pStyle w:val="yTableNAm"/>
            </w:pPr>
            <w:r>
              <w:t>81.50</w:t>
            </w:r>
          </w:p>
        </w:tc>
      </w:tr>
      <w:tr>
        <w:trPr>
          <w:cantSplit/>
        </w:trPr>
        <w:tc>
          <w:tcPr>
            <w:tcW w:w="669" w:type="dxa"/>
          </w:tcPr>
          <w:p>
            <w:pPr>
              <w:pStyle w:val="yTableNAm"/>
            </w:pPr>
            <w:r>
              <w:t>5.</w:t>
            </w:r>
          </w:p>
        </w:tc>
        <w:tc>
          <w:tcPr>
            <w:tcW w:w="5103" w:type="dxa"/>
          </w:tcPr>
          <w:p>
            <w:pPr>
              <w:pStyle w:val="yTableNAm"/>
              <w:tabs>
                <w:tab w:val="clear" w:pos="567"/>
                <w:tab w:val="left" w:pos="454"/>
              </w:tabs>
              <w:ind w:left="468" w:hanging="468"/>
            </w:pPr>
            <w:r>
              <w:t>(a)</w:t>
            </w:r>
            <w:r>
              <w:tab/>
              <w:t xml:space="preserve">For striking a jury and preparing a jury panel </w:t>
            </w:r>
          </w:p>
        </w:tc>
        <w:tc>
          <w:tcPr>
            <w:tcW w:w="1316" w:type="dxa"/>
            <w:vAlign w:val="bottom"/>
          </w:tcPr>
          <w:p>
            <w:pPr>
              <w:pStyle w:val="yTableNAm"/>
            </w:pPr>
            <w:r>
              <w:t>262.00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tabs>
                <w:tab w:val="clear" w:pos="567"/>
                <w:tab w:val="left" w:pos="454"/>
              </w:tabs>
              <w:ind w:left="468" w:hanging="468"/>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Gazette 28 Jun 2019 p. 2586</w:t>
      </w:r>
      <w:r>
        <w:noBreakHyphen/>
        <w:t>8.]</w:t>
      </w:r>
    </w:p>
    <w:bookmarkEnd w:id="25"/>
    <w:bookmarkEnd w:id="26"/>
    <w:bookmarkEnd w:id="27"/>
    <w:bookmarkEnd w:id="28"/>
    <w:bookmarkEnd w:id="29"/>
    <w:bookmarkEnd w:id="30"/>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4" w:name="_Toc3204538"/>
      <w:bookmarkStart w:id="35" w:name="_Toc3285087"/>
      <w:bookmarkStart w:id="36" w:name="_Toc3285176"/>
      <w:bookmarkStart w:id="37" w:name="_Toc3285382"/>
      <w:bookmarkStart w:id="38" w:name="_Toc3285408"/>
      <w:bookmarkStart w:id="39" w:name="_Toc3285733"/>
      <w:bookmarkStart w:id="40" w:name="_Toc12624938"/>
      <w:bookmarkStart w:id="41" w:name="_Toc12624988"/>
      <w:r>
        <w:rPr>
          <w:rStyle w:val="CharSchNo"/>
        </w:rPr>
        <w:t>Schedule 3</w:t>
      </w:r>
      <w:r>
        <w:t xml:space="preserve"> — </w:t>
      </w:r>
      <w:r>
        <w:rPr>
          <w:rStyle w:val="CharSchText"/>
        </w:rPr>
        <w:t>Forms</w:t>
      </w:r>
      <w:bookmarkEnd w:id="34"/>
      <w:bookmarkEnd w:id="35"/>
      <w:bookmarkEnd w:id="36"/>
      <w:bookmarkEnd w:id="37"/>
      <w:bookmarkEnd w:id="38"/>
      <w:bookmarkEnd w:id="39"/>
      <w:bookmarkEnd w:id="40"/>
      <w:bookmarkEnd w:id="41"/>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42" w:name="_Toc3204539"/>
      <w:bookmarkStart w:id="43" w:name="_Toc3285088"/>
      <w:bookmarkStart w:id="44" w:name="_Toc3285177"/>
      <w:bookmarkStart w:id="45" w:name="_Toc3285383"/>
      <w:bookmarkStart w:id="46" w:name="_Toc3285409"/>
      <w:bookmarkStart w:id="47" w:name="_Toc3285734"/>
      <w:bookmarkStart w:id="48" w:name="_Toc12624939"/>
      <w:bookmarkStart w:id="49" w:name="_Toc12624989"/>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0" w:name="_Toc12624990"/>
      <w:r>
        <w:t>Compilation table</w:t>
      </w:r>
      <w:bookmarkEnd w:id="5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722" w:type="dxa"/>
            <w:gridSpan w:val="2"/>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722" w:type="dxa"/>
            <w:gridSpan w:val="2"/>
            <w:shd w:val="clear" w:color="auto" w:fill="auto"/>
          </w:tcPr>
          <w:p>
            <w:pPr>
              <w:pStyle w:val="nTable"/>
              <w:spacing w:after="40"/>
              <w:rPr>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bCs/>
                <w:snapToGrid w:val="0"/>
              </w:rPr>
              <w:t>21 Jul 2018 (see r. 2(b))</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2" w:type="dxa"/>
            <w:shd w:val="clear" w:color="auto" w:fill="auto"/>
          </w:tcPr>
          <w:p>
            <w:pPr>
              <w:pStyle w:val="nTable"/>
              <w:spacing w:after="40"/>
              <w:rPr>
                <w:bCs/>
                <w:snapToGrid w:val="0"/>
              </w:rPr>
            </w:pPr>
            <w:r>
              <w:t>18 Dec 2018 (see r. 2(b)(i))</w:t>
            </w:r>
          </w:p>
        </w:tc>
      </w:tr>
      <w:tr>
        <w:trPr>
          <w:gridAfter w:val="1"/>
          <w:wAfter w:w="10" w:type="dxa"/>
        </w:trPr>
        <w:tc>
          <w:tcPr>
            <w:tcW w:w="3123"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712" w:type="dxa"/>
            <w:shd w:val="clear" w:color="auto" w:fill="auto"/>
          </w:tcPr>
          <w:p>
            <w:pPr>
              <w:pStyle w:val="nTable"/>
              <w:spacing w:after="40"/>
            </w:pPr>
            <w:r>
              <w:rPr>
                <w:bCs/>
                <w:snapToGrid w:val="0"/>
              </w:rPr>
              <w:t>13 Mar 2019 (see r. 2(b))</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bottom w:val="single" w:sz="4" w:space="0" w:color="auto"/>
            </w:tcBorders>
            <w:shd w:val="clear" w:color="auto" w:fill="auto"/>
          </w:tcPr>
          <w:p>
            <w:pPr>
              <w:pStyle w:val="nTable"/>
              <w:spacing w:after="40"/>
            </w:pPr>
            <w:r>
              <w:t>28 Jun 2019 p. 2553</w:t>
            </w:r>
            <w:r>
              <w:noBreakHyphen/>
              <w:t>642</w:t>
            </w:r>
          </w:p>
        </w:tc>
        <w:tc>
          <w:tcPr>
            <w:tcW w:w="2712" w:type="dxa"/>
            <w:tcBorders>
              <w:bottom w:val="single" w:sz="4" w:space="0" w:color="auto"/>
            </w:tcBorders>
            <w:shd w:val="clear" w:color="auto" w:fill="auto"/>
          </w:tcPr>
          <w:p>
            <w:pPr>
              <w:pStyle w:val="nTable"/>
              <w:spacing w:after="40"/>
              <w:rPr>
                <w:bCs/>
                <w:snapToGrid w:val="0"/>
              </w:rPr>
            </w:pPr>
            <w:r>
              <w:t>1 Jul 2019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2" w:name="_Toc3285090"/>
      <w:bookmarkStart w:id="53" w:name="_Toc3285179"/>
      <w:bookmarkStart w:id="54" w:name="_Toc3285385"/>
      <w:bookmarkStart w:id="55" w:name="_Toc3285411"/>
      <w:bookmarkStart w:id="56" w:name="_Toc3285736"/>
      <w:bookmarkStart w:id="57" w:name="_Toc12624941"/>
      <w:bookmarkStart w:id="58" w:name="_Toc12624991"/>
      <w:r>
        <w:rPr>
          <w:sz w:val="28"/>
        </w:rPr>
        <w:t>Defined terms</w:t>
      </w:r>
      <w:bookmarkEnd w:id="52"/>
      <w:bookmarkEnd w:id="53"/>
      <w:bookmarkEnd w:id="54"/>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4032"/>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C56C-79A8-446E-AB31-2B44410F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7821</Words>
  <Characters>38089</Characters>
  <Application>Microsoft Office Word</Application>
  <DocSecurity>0</DocSecurity>
  <Lines>1731</Lines>
  <Paragraphs>1067</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2002 - 03-q0-00</dc:title>
  <dc:subject/>
  <dc:creator/>
  <cp:keywords/>
  <dc:description/>
  <cp:lastModifiedBy>svcMRProcess</cp:lastModifiedBy>
  <cp:revision>4</cp:revision>
  <cp:lastPrinted>2016-07-22T01:04:00Z</cp:lastPrinted>
  <dcterms:created xsi:type="dcterms:W3CDTF">2019-06-28T08:33:00Z</dcterms:created>
  <dcterms:modified xsi:type="dcterms:W3CDTF">2019-06-28T08:33:00Z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2019</vt:lpwstr>
  </property>
  <property fmtid="{D5CDD505-2E9C-101B-9397-08002B2CF9AE}" pid="8" name="Suffix">
    <vt:lpwstr>03-q0-00</vt:lpwstr>
  </property>
  <property fmtid="{D5CDD505-2E9C-101B-9397-08002B2CF9AE}" pid="9" name="CommencementDate">
    <vt:lpwstr>20190701</vt:lpwstr>
  </property>
</Properties>
</file>