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_Toc12281541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_Toc12281542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_Toc12281543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_Toc12281544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_Toc12281545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_Toc12281546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_Toc12281547 \h </w:instrText>
      </w:r>
      <w:r>
        <w:fldChar w:fldCharType="separate"/>
      </w:r>
      <w:r>
        <w:t>4</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_Toc12281548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_Toc12281549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_Toc12281550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_Toc12281551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_Toc12281553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_Toc12281554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_Toc12281555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_Toc12281556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_Toc12281557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_Toc12281558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_Toc12281559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_Toc12281560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_Toc12281561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_Toc12281562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_Toc12281566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_Toc12281567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_Toc12281568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_Toc12281572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_Toc12281573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12281541"/>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Gazette 27 Dec 2013 p. 6477.]</w:t>
      </w:r>
    </w:p>
    <w:p>
      <w:pPr>
        <w:pStyle w:val="Heading5"/>
      </w:pPr>
      <w:bookmarkStart w:id="4" w:name="_Toc12281542"/>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2281543"/>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12281544"/>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12281545"/>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12281546"/>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12281547"/>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2281548"/>
      <w:r>
        <w:rPr>
          <w:rStyle w:val="CharSectno"/>
        </w:rPr>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12281549"/>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2" w:name="_Toc12281550"/>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2281551"/>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12281296"/>
      <w:bookmarkStart w:id="15" w:name="_Toc12281552"/>
      <w:bookmarkStart w:id="16" w:name="_Toc515013339"/>
      <w:bookmarkStart w:id="17" w:name="_Toc515013362"/>
      <w:bookmarkStart w:id="18" w:name="_Toc515029216"/>
      <w:bookmarkStart w:id="19" w:name="_Toc515267980"/>
      <w:bookmarkStart w:id="20" w:name="_Toc515268003"/>
      <w:bookmarkStart w:id="21" w:name="_Toc515268026"/>
      <w:bookmarkStart w:id="22" w:name="_Toc515268104"/>
      <w:bookmarkStart w:id="23" w:name="_Toc517880627"/>
      <w:bookmarkStart w:id="24" w:name="_Toc518907074"/>
      <w:bookmarkStart w:id="25" w:name="_Toc518907444"/>
      <w:bookmarkStart w:id="26" w:name="_Toc526414390"/>
      <w:bookmarkStart w:id="27" w:name="_Toc526414741"/>
      <w:bookmarkStart w:id="28" w:name="_Toc526428373"/>
      <w:bookmarkStart w:id="29" w:name="_Toc11936091"/>
      <w:bookmarkStart w:id="30" w:name="_Toc11936155"/>
      <w:bookmarkStart w:id="31" w:name="_Toc506543771"/>
      <w:r>
        <w:rPr>
          <w:rStyle w:val="CharSchNo"/>
        </w:rPr>
        <w:t>Schedule 1</w:t>
      </w:r>
      <w:r>
        <w:rPr>
          <w:rStyle w:val="CharSDivNo"/>
        </w:rPr>
        <w:t> </w:t>
      </w:r>
      <w:r>
        <w:t>—</w:t>
      </w:r>
      <w:r>
        <w:rPr>
          <w:rStyle w:val="CharSDivText"/>
        </w:rPr>
        <w:t> </w:t>
      </w:r>
      <w:r>
        <w:rPr>
          <w:rStyle w:val="CharSchText"/>
        </w:rPr>
        <w:t>Supply charges</w:t>
      </w:r>
      <w:bookmarkEnd w:id="14"/>
      <w:bookmarkEnd w:id="15"/>
    </w:p>
    <w:p>
      <w:pPr>
        <w:pStyle w:val="yShoulderClause"/>
      </w:pPr>
      <w:r>
        <w:t>[bl. 3, 4(1) and 10(1)]</w:t>
      </w:r>
    </w:p>
    <w:p>
      <w:pPr>
        <w:pStyle w:val="yFootnoteheading"/>
      </w:pPr>
      <w:r>
        <w:tab/>
        <w:t>[Heading inserted: Gazette 21 Jun 2019 p. 2120.]</w:t>
      </w:r>
    </w:p>
    <w:p>
      <w:pPr>
        <w:pStyle w:val="yHeading5"/>
      </w:pPr>
      <w:bookmarkStart w:id="32" w:name="_Toc12281553"/>
      <w:r>
        <w:rPr>
          <w:rStyle w:val="CharSClsNo"/>
        </w:rPr>
        <w:t>1</w:t>
      </w:r>
      <w:r>
        <w:t>.</w:t>
      </w:r>
      <w:r>
        <w:tab/>
        <w:t>Tariff L1 (general supply — low/medium voltage tariff)</w:t>
      </w:r>
      <w:bookmarkEnd w:id="3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2120.]</w:t>
      </w:r>
    </w:p>
    <w:p>
      <w:pPr>
        <w:pStyle w:val="yHeading5"/>
      </w:pPr>
      <w:bookmarkStart w:id="33" w:name="_Toc12281554"/>
      <w:r>
        <w:rPr>
          <w:rStyle w:val="CharSClsNo"/>
        </w:rPr>
        <w:t>2</w:t>
      </w:r>
      <w:r>
        <w:t>.</w:t>
      </w:r>
      <w:r>
        <w:tab/>
        <w:t>Tariff L3 (general supply — low/medium voltage tariff)</w:t>
      </w:r>
      <w:bookmarkEnd w:id="33"/>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2120.]</w:t>
      </w:r>
    </w:p>
    <w:p>
      <w:pPr>
        <w:pStyle w:val="yHeading5"/>
      </w:pPr>
      <w:bookmarkStart w:id="34" w:name="_Toc12281555"/>
      <w:r>
        <w:rPr>
          <w:rStyle w:val="CharSClsNo"/>
        </w:rPr>
        <w:t>3</w:t>
      </w:r>
      <w:r>
        <w:t>.</w:t>
      </w:r>
      <w:r>
        <w:tab/>
        <w:t>Tariff R1 (time</w:t>
      </w:r>
      <w:r>
        <w:noBreakHyphen/>
        <w:t>of</w:t>
      </w:r>
      <w:r>
        <w:noBreakHyphen/>
        <w:t>use tariff)</w:t>
      </w:r>
      <w:bookmarkEnd w:id="34"/>
    </w:p>
    <w:p>
      <w:pPr>
        <w:pStyle w:val="ySubsection"/>
      </w:pPr>
      <w:r>
        <w:tab/>
        <w:t>(1)</w:t>
      </w:r>
      <w:r>
        <w:tab/>
        <w:t>Tariff R1 comprises —</w:t>
      </w:r>
    </w:p>
    <w:p>
      <w:pPr>
        <w:pStyle w:val="yIndenta"/>
      </w:pPr>
      <w:r>
        <w:tab/>
        <w:t>(a)</w:t>
      </w:r>
      <w:r>
        <w:tab/>
        <w:t>a fixed charge at the rate of $3.3785 per day; and</w:t>
      </w:r>
    </w:p>
    <w:p>
      <w:pPr>
        <w:pStyle w:val="yIndenta"/>
      </w:pPr>
      <w:r>
        <w:tab/>
        <w:t>(b)</w:t>
      </w:r>
      <w:r>
        <w:tab/>
        <w:t>an energy charge consisting of — </w:t>
      </w:r>
    </w:p>
    <w:p>
      <w:pPr>
        <w:pStyle w:val="yIndenti0"/>
      </w:pPr>
      <w:r>
        <w:tab/>
        <w:t>(i)</w:t>
      </w:r>
      <w:r>
        <w:tab/>
        <w:t>an on peak energy charge at the rate of 36.6419 cents per unit; and</w:t>
      </w:r>
    </w:p>
    <w:p>
      <w:pPr>
        <w:pStyle w:val="yIndenti0"/>
      </w:pPr>
      <w:r>
        <w:tab/>
        <w:t>(ii)</w:t>
      </w:r>
      <w:r>
        <w:tab/>
        <w:t>an off peak energy charge at the rate of 10.9926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Gazette 21 Jun 2019 p. 2120</w:t>
      </w:r>
      <w:r>
        <w:noBreakHyphen/>
        <w:t>1.]</w:t>
      </w:r>
    </w:p>
    <w:p>
      <w:pPr>
        <w:pStyle w:val="yHeading5"/>
      </w:pPr>
      <w:bookmarkStart w:id="35" w:name="_Toc12281556"/>
      <w:r>
        <w:rPr>
          <w:rStyle w:val="CharSClsNo"/>
        </w:rPr>
        <w:t>4</w:t>
      </w:r>
      <w:r>
        <w:t>.</w:t>
      </w:r>
      <w:r>
        <w:tab/>
        <w:t>Tariff R3 (time</w:t>
      </w:r>
      <w:r>
        <w:noBreakHyphen/>
        <w:t>of</w:t>
      </w:r>
      <w:r>
        <w:noBreakHyphen/>
        <w:t>use tariff)</w:t>
      </w:r>
      <w:bookmarkEnd w:id="35"/>
    </w:p>
    <w:p>
      <w:pPr>
        <w:pStyle w:val="ySubsection"/>
      </w:pPr>
      <w:r>
        <w:tab/>
        <w:t>(1)</w:t>
      </w:r>
      <w:r>
        <w:tab/>
        <w:t>Tariff R3 comprises —</w:t>
      </w:r>
    </w:p>
    <w:p>
      <w:pPr>
        <w:pStyle w:val="yIndenta"/>
      </w:pPr>
      <w:r>
        <w:tab/>
        <w:t>(a)</w:t>
      </w:r>
      <w:r>
        <w:tab/>
        <w:t xml:space="preserve">a fixed charge at the rate of </w:t>
      </w:r>
      <w:r>
        <w:rPr>
          <w:szCs w:val="22"/>
        </w:rPr>
        <w:t>$3.6155</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52.7370 </w:t>
      </w:r>
      <w:r>
        <w:t>cents per unit; and</w:t>
      </w:r>
    </w:p>
    <w:p>
      <w:pPr>
        <w:pStyle w:val="yIndenti0"/>
      </w:pPr>
      <w:r>
        <w:tab/>
        <w:t>(ii)</w:t>
      </w:r>
      <w:r>
        <w:tab/>
        <w:t xml:space="preserve">an off peak energy charge at the rate of </w:t>
      </w:r>
      <w:r>
        <w:rPr>
          <w:szCs w:val="22"/>
        </w:rPr>
        <w:t xml:space="preserve">15.8422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Gazette 21 Jun 2019 p. 2121.]</w:t>
      </w:r>
    </w:p>
    <w:p>
      <w:pPr>
        <w:pStyle w:val="yHeading5"/>
      </w:pPr>
      <w:bookmarkStart w:id="36" w:name="_Toc12281557"/>
      <w:r>
        <w:rPr>
          <w:rStyle w:val="CharSClsNo"/>
        </w:rPr>
        <w:t>5</w:t>
      </w:r>
      <w:r>
        <w:t>.</w:t>
      </w:r>
      <w:r>
        <w:tab/>
        <w:t>Standby charges</w:t>
      </w:r>
      <w:bookmarkEnd w:id="36"/>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Gazette 21 Jun 2019 p. 2121</w:t>
      </w:r>
      <w:r>
        <w:noBreakHyphen/>
        <w:t>2.]</w:t>
      </w:r>
    </w:p>
    <w:p>
      <w:pPr>
        <w:pStyle w:val="yHeading5"/>
      </w:pPr>
      <w:bookmarkStart w:id="37" w:name="_Toc12281558"/>
      <w:r>
        <w:rPr>
          <w:rStyle w:val="CharSClsNo"/>
        </w:rPr>
        <w:t>6</w:t>
      </w:r>
      <w:r>
        <w:t>.</w:t>
      </w:r>
      <w:r>
        <w:tab/>
        <w:t>Tariff A1 (residential tariff)</w:t>
      </w:r>
      <w:bookmarkEnd w:id="37"/>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6 inserted: Gazette 21 Jun 2019 p. 2122.]</w:t>
      </w:r>
    </w:p>
    <w:p>
      <w:pPr>
        <w:pStyle w:val="yHeading5"/>
      </w:pPr>
      <w:bookmarkStart w:id="38" w:name="_Toc12281559"/>
      <w:r>
        <w:rPr>
          <w:rStyle w:val="CharSClsNo"/>
        </w:rPr>
        <w:t>7</w:t>
      </w:r>
      <w:r>
        <w:t>.</w:t>
      </w:r>
      <w:r>
        <w:tab/>
        <w:t>Tariff B1 (residential water heating tariff)</w:t>
      </w:r>
      <w:bookmarkEnd w:id="38"/>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21.4277 cents per day or, for multiple dwellings supplied through 1 metered supply point, a fixed charge at the rate of 21.4277 cents per day for each dwelling; and</w:t>
      </w:r>
    </w:p>
    <w:p>
      <w:pPr>
        <w:pStyle w:val="yIndenta"/>
      </w:pPr>
      <w:r>
        <w:tab/>
        <w:t>(b)</w:t>
      </w:r>
      <w:r>
        <w:tab/>
        <w:t>a charge for metered consumption at the rate of 11.8375 cents per unit.</w:t>
      </w:r>
    </w:p>
    <w:p>
      <w:pPr>
        <w:pStyle w:val="yFootnotesection"/>
      </w:pPr>
      <w:r>
        <w:tab/>
        <w:t>[Clause 7 inserted: Gazette 21 Jun 2019 p. 2122.]</w:t>
      </w:r>
    </w:p>
    <w:p>
      <w:pPr>
        <w:pStyle w:val="yHeading5"/>
      </w:pPr>
      <w:bookmarkStart w:id="39" w:name="_Toc12281560"/>
      <w:r>
        <w:rPr>
          <w:rStyle w:val="CharSClsNo"/>
        </w:rPr>
        <w:t>8</w:t>
      </w:r>
      <w:r>
        <w:t>.</w:t>
      </w:r>
      <w:r>
        <w:tab/>
        <w:t>Tariff C1 (special community service tariff)</w:t>
      </w:r>
      <w:bookmarkEnd w:id="39"/>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Gazette 21 Jun 2019 p. 2122</w:t>
      </w:r>
      <w:r>
        <w:noBreakHyphen/>
        <w:t>3.]</w:t>
      </w:r>
    </w:p>
    <w:p>
      <w:pPr>
        <w:pStyle w:val="yHeading5"/>
      </w:pPr>
      <w:bookmarkStart w:id="40" w:name="_Toc12281561"/>
      <w:r>
        <w:rPr>
          <w:rStyle w:val="CharSClsNo"/>
        </w:rPr>
        <w:t>9</w:t>
      </w:r>
      <w:r>
        <w:t>.</w:t>
      </w:r>
      <w:r>
        <w:tab/>
        <w:t>Tariff D1 (special tariff for certain premises)</w:t>
      </w:r>
      <w:bookmarkEnd w:id="40"/>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Gazette 21 Jun 2019 p. 2123</w:t>
      </w:r>
      <w:r>
        <w:noBreakHyphen/>
        <w:t>4.]</w:t>
      </w:r>
    </w:p>
    <w:p>
      <w:pPr>
        <w:pStyle w:val="yHeading5"/>
      </w:pPr>
      <w:bookmarkStart w:id="41" w:name="_Toc12281562"/>
      <w:r>
        <w:rPr>
          <w:rStyle w:val="CharSClsNo"/>
        </w:rPr>
        <w:t>10</w:t>
      </w:r>
      <w:r>
        <w:t>.</w:t>
      </w:r>
      <w:r>
        <w:tab/>
        <w:t>Tariff K1 (general supply with residential tariff)</w:t>
      </w:r>
      <w:bookmarkEnd w:id="41"/>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10 inserted: Gazette 21 Jun 2019 p. 2124.]</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 w:name="_Toc12281307"/>
      <w:bookmarkStart w:id="44" w:name="_Toc12281563"/>
      <w:bookmarkStart w:id="45" w:name="_Toc515013350"/>
      <w:bookmarkStart w:id="46" w:name="_Toc515013373"/>
      <w:bookmarkStart w:id="47" w:name="_Toc515029227"/>
      <w:bookmarkStart w:id="48" w:name="_Toc515267991"/>
      <w:bookmarkStart w:id="49" w:name="_Toc515268014"/>
      <w:bookmarkStart w:id="50" w:name="_Toc515268037"/>
      <w:bookmarkStart w:id="51" w:name="_Toc515268115"/>
      <w:bookmarkStart w:id="52" w:name="_Toc517880638"/>
      <w:bookmarkStart w:id="53" w:name="_Toc518907085"/>
      <w:bookmarkStart w:id="54" w:name="_Toc518907455"/>
      <w:bookmarkStart w:id="55" w:name="_Toc526414401"/>
      <w:bookmarkStart w:id="56" w:name="_Toc526414752"/>
      <w:bookmarkStart w:id="57" w:name="_Toc526428384"/>
      <w:bookmarkStart w:id="58" w:name="_Toc11936102"/>
      <w:bookmarkStart w:id="59" w:name="_Toc11936166"/>
      <w:bookmarkStart w:id="60" w:name="_Toc506543782"/>
      <w:bookmarkStart w:id="61" w:name="_Toc512515417"/>
      <w:r>
        <w:rPr>
          <w:rStyle w:val="CharSchNo"/>
        </w:rPr>
        <w:t>Schedule 2</w:t>
      </w:r>
      <w:r>
        <w:t> — </w:t>
      </w:r>
      <w:r>
        <w:rPr>
          <w:rStyle w:val="CharSchText"/>
        </w:rPr>
        <w:t>Unmetered supply</w:t>
      </w:r>
      <w:bookmarkEnd w:id="43"/>
      <w:bookmarkEnd w:id="44"/>
    </w:p>
    <w:p>
      <w:pPr>
        <w:pStyle w:val="yShoulderClause"/>
      </w:pPr>
      <w:r>
        <w:t>[bl. 4(2) and (3)]</w:t>
      </w:r>
    </w:p>
    <w:p>
      <w:pPr>
        <w:pStyle w:val="yFootnoteheading"/>
      </w:pPr>
      <w:r>
        <w:tab/>
        <w:t>[Heading inserted: Gazette 21 Jun 2019 p. 2124.]</w:t>
      </w:r>
    </w:p>
    <w:p>
      <w:pPr>
        <w:pStyle w:val="yHeading3"/>
      </w:pPr>
      <w:bookmarkStart w:id="62" w:name="_Toc12281308"/>
      <w:bookmarkStart w:id="63" w:name="_Toc12281564"/>
      <w:r>
        <w:rPr>
          <w:rStyle w:val="CharSDivNo"/>
        </w:rPr>
        <w:t>Division 1</w:t>
      </w:r>
      <w:r>
        <w:rPr>
          <w:b w:val="0"/>
        </w:rPr>
        <w:t> — </w:t>
      </w:r>
      <w:r>
        <w:rPr>
          <w:rStyle w:val="CharSDivText"/>
        </w:rPr>
        <w:t>Street lighting</w:t>
      </w:r>
      <w:bookmarkEnd w:id="62"/>
      <w:bookmarkEnd w:id="63"/>
    </w:p>
    <w:p>
      <w:pPr>
        <w:pStyle w:val="yFootnoteheading"/>
      </w:pPr>
      <w:r>
        <w:tab/>
        <w:t>[Heading inserted: Gazette 21 Jun 2019 p. 2124.]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42" w:type="dxa"/>
            <w:gridSpan w:val="3"/>
            <w:tcBorders>
              <w:top w:val="single" w:sz="4" w:space="0" w:color="auto"/>
              <w:bottom w:val="single" w:sz="4" w:space="0" w:color="auto"/>
            </w:tcBorders>
          </w:tcPr>
          <w:p>
            <w:pPr>
              <w:pStyle w:val="yTableNAm"/>
            </w:pPr>
            <w:r>
              <w:rPr>
                <w:b/>
                <w:bCs/>
                <w:sz w:val="16"/>
                <w:szCs w:val="16"/>
              </w:rPr>
              <w:t>Type</w:t>
            </w:r>
          </w:p>
        </w:tc>
        <w:tc>
          <w:tcPr>
            <w:tcW w:w="136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8"/>
                <w:szCs w:val="18"/>
              </w:rPr>
              <w:t>Z.01</w:t>
            </w:r>
          </w:p>
        </w:tc>
        <w:tc>
          <w:tcPr>
            <w:tcW w:w="851" w:type="dxa"/>
          </w:tcPr>
          <w:p>
            <w:pPr>
              <w:pStyle w:val="yTableNAm"/>
            </w:pPr>
            <w:r>
              <w:rPr>
                <w:sz w:val="18"/>
                <w:szCs w:val="18"/>
              </w:rPr>
              <w:t>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31.6842</w:t>
            </w:r>
          </w:p>
        </w:tc>
        <w:tc>
          <w:tcPr>
            <w:tcW w:w="1512" w:type="dxa"/>
          </w:tcPr>
          <w:p>
            <w:pPr>
              <w:pStyle w:val="yTableNAm"/>
            </w:pPr>
            <w:r>
              <w:rPr>
                <w:sz w:val="18"/>
                <w:szCs w:val="18"/>
              </w:rPr>
              <w:t>32.5482</w:t>
            </w:r>
          </w:p>
        </w:tc>
        <w:tc>
          <w:tcPr>
            <w:tcW w:w="1370" w:type="dxa"/>
          </w:tcPr>
          <w:p>
            <w:pPr>
              <w:pStyle w:val="yTableNAm"/>
            </w:pPr>
            <w:r>
              <w:rPr>
                <w:sz w:val="18"/>
                <w:szCs w:val="18"/>
              </w:rPr>
              <w:t>35.7863</w:t>
            </w:r>
          </w:p>
        </w:tc>
      </w:tr>
      <w:tr>
        <w:trPr>
          <w:cantSplit/>
        </w:trPr>
        <w:tc>
          <w:tcPr>
            <w:tcW w:w="567" w:type="dxa"/>
          </w:tcPr>
          <w:p>
            <w:pPr>
              <w:pStyle w:val="yTableNAm"/>
            </w:pPr>
            <w:r>
              <w:rPr>
                <w:sz w:val="18"/>
                <w:szCs w:val="18"/>
              </w:rPr>
              <w:t>Z.02</w:t>
            </w:r>
          </w:p>
        </w:tc>
        <w:tc>
          <w:tcPr>
            <w:tcW w:w="851" w:type="dxa"/>
          </w:tcPr>
          <w:p>
            <w:pPr>
              <w:pStyle w:val="yTableNAm"/>
            </w:pPr>
            <w:r>
              <w:rPr>
                <w:sz w:val="18"/>
                <w:szCs w:val="18"/>
              </w:rPr>
              <w:t>80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39.6955</w:t>
            </w:r>
          </w:p>
        </w:tc>
        <w:tc>
          <w:tcPr>
            <w:tcW w:w="1512" w:type="dxa"/>
          </w:tcPr>
          <w:p>
            <w:pPr>
              <w:pStyle w:val="yTableNAm"/>
            </w:pPr>
            <w:r>
              <w:rPr>
                <w:sz w:val="18"/>
                <w:szCs w:val="18"/>
              </w:rPr>
              <w:t>40.9881</w:t>
            </w:r>
          </w:p>
        </w:tc>
        <w:tc>
          <w:tcPr>
            <w:tcW w:w="1370" w:type="dxa"/>
          </w:tcPr>
          <w:p>
            <w:pPr>
              <w:pStyle w:val="yTableNAm"/>
            </w:pPr>
            <w:r>
              <w:rPr>
                <w:sz w:val="18"/>
                <w:szCs w:val="18"/>
              </w:rPr>
              <w:t>46.1342</w:t>
            </w:r>
          </w:p>
        </w:tc>
      </w:tr>
      <w:tr>
        <w:trPr>
          <w:cantSplit/>
        </w:trPr>
        <w:tc>
          <w:tcPr>
            <w:tcW w:w="567" w:type="dxa"/>
          </w:tcPr>
          <w:p>
            <w:pPr>
              <w:pStyle w:val="yTableNAm"/>
            </w:pPr>
            <w:r>
              <w:rPr>
                <w:sz w:val="18"/>
                <w:szCs w:val="18"/>
              </w:rPr>
              <w:t>Z.03</w:t>
            </w:r>
          </w:p>
        </w:tc>
        <w:tc>
          <w:tcPr>
            <w:tcW w:w="851" w:type="dxa"/>
          </w:tcPr>
          <w:p>
            <w:pPr>
              <w:pStyle w:val="yTableNAm"/>
            </w:pPr>
            <w:r>
              <w:rPr>
                <w:sz w:val="18"/>
                <w:szCs w:val="18"/>
              </w:rPr>
              <w:t>125</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48.7361</w:t>
            </w:r>
          </w:p>
        </w:tc>
        <w:tc>
          <w:tcPr>
            <w:tcW w:w="1512" w:type="dxa"/>
          </w:tcPr>
          <w:p>
            <w:pPr>
              <w:pStyle w:val="yTableNAm"/>
            </w:pPr>
            <w:r>
              <w:rPr>
                <w:sz w:val="18"/>
                <w:szCs w:val="18"/>
              </w:rPr>
              <w:t>50.8248</w:t>
            </w:r>
          </w:p>
        </w:tc>
        <w:tc>
          <w:tcPr>
            <w:tcW w:w="1370" w:type="dxa"/>
          </w:tcPr>
          <w:p>
            <w:pPr>
              <w:pStyle w:val="yTableNAm"/>
            </w:pPr>
            <w:r>
              <w:rPr>
                <w:sz w:val="18"/>
                <w:szCs w:val="18"/>
              </w:rPr>
              <w:t>58.6600</w:t>
            </w:r>
          </w:p>
        </w:tc>
      </w:tr>
      <w:tr>
        <w:trPr>
          <w:cantSplit/>
        </w:trPr>
        <w:tc>
          <w:tcPr>
            <w:tcW w:w="567" w:type="dxa"/>
          </w:tcPr>
          <w:p>
            <w:pPr>
              <w:pStyle w:val="yTableNAm"/>
            </w:pPr>
            <w:r>
              <w:rPr>
                <w:sz w:val="18"/>
                <w:szCs w:val="18"/>
              </w:rPr>
              <w:t>Z.04</w:t>
            </w:r>
          </w:p>
        </w:tc>
        <w:tc>
          <w:tcPr>
            <w:tcW w:w="851" w:type="dxa"/>
          </w:tcPr>
          <w:p>
            <w:pPr>
              <w:pStyle w:val="yTableNAm"/>
            </w:pPr>
            <w:r>
              <w:rPr>
                <w:sz w:val="18"/>
                <w:szCs w:val="18"/>
              </w:rPr>
              <w:t>140</w:t>
            </w:r>
          </w:p>
        </w:tc>
        <w:tc>
          <w:tcPr>
            <w:tcW w:w="1128" w:type="dxa"/>
            <w:gridSpan w:val="2"/>
          </w:tcPr>
          <w:p>
            <w:pPr>
              <w:pStyle w:val="yTableNAm"/>
            </w:pPr>
            <w:r>
              <w:rPr>
                <w:sz w:val="18"/>
                <w:szCs w:val="18"/>
              </w:rPr>
              <w:t>Low Pressure Sodium</w:t>
            </w:r>
          </w:p>
        </w:tc>
        <w:tc>
          <w:tcPr>
            <w:tcW w:w="1376" w:type="dxa"/>
            <w:gridSpan w:val="2"/>
          </w:tcPr>
          <w:p>
            <w:pPr>
              <w:pStyle w:val="yTableNAm"/>
            </w:pPr>
            <w:r>
              <w:rPr>
                <w:sz w:val="18"/>
                <w:szCs w:val="18"/>
              </w:rPr>
              <w:t>51.3455</w:t>
            </w:r>
          </w:p>
        </w:tc>
        <w:tc>
          <w:tcPr>
            <w:tcW w:w="1512" w:type="dxa"/>
          </w:tcPr>
          <w:p>
            <w:pPr>
              <w:pStyle w:val="yTableNAm"/>
            </w:pPr>
            <w:r>
              <w:rPr>
                <w:sz w:val="18"/>
                <w:szCs w:val="18"/>
              </w:rPr>
              <w:t>53.0219</w:t>
            </w:r>
          </w:p>
        </w:tc>
        <w:tc>
          <w:tcPr>
            <w:tcW w:w="1370" w:type="dxa"/>
          </w:tcPr>
          <w:p>
            <w:pPr>
              <w:pStyle w:val="yTableNAm"/>
            </w:pPr>
            <w:r>
              <w:rPr>
                <w:sz w:val="18"/>
                <w:szCs w:val="18"/>
              </w:rPr>
              <w:t>59.7605</w:t>
            </w:r>
          </w:p>
        </w:tc>
      </w:tr>
      <w:tr>
        <w:trPr>
          <w:cantSplit/>
        </w:trPr>
        <w:tc>
          <w:tcPr>
            <w:tcW w:w="567" w:type="dxa"/>
          </w:tcPr>
          <w:p>
            <w:pPr>
              <w:pStyle w:val="yTableNAm"/>
            </w:pPr>
            <w:r>
              <w:rPr>
                <w:sz w:val="18"/>
                <w:szCs w:val="18"/>
              </w:rPr>
              <w:t>Z.07</w:t>
            </w:r>
          </w:p>
        </w:tc>
        <w:tc>
          <w:tcPr>
            <w:tcW w:w="851" w:type="dxa"/>
          </w:tcPr>
          <w:p>
            <w:pPr>
              <w:pStyle w:val="yTableNAm"/>
            </w:pPr>
            <w:r>
              <w:rPr>
                <w:sz w:val="18"/>
                <w:szCs w:val="18"/>
              </w:rPr>
              <w:t>250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66.0796</w:t>
            </w:r>
          </w:p>
        </w:tc>
        <w:tc>
          <w:tcPr>
            <w:tcW w:w="1512" w:type="dxa"/>
          </w:tcPr>
          <w:p>
            <w:pPr>
              <w:pStyle w:val="yTableNAm"/>
            </w:pPr>
            <w:r>
              <w:rPr>
                <w:sz w:val="18"/>
                <w:szCs w:val="18"/>
              </w:rPr>
              <w:t>70.2296</w:t>
            </w:r>
          </w:p>
        </w:tc>
        <w:tc>
          <w:tcPr>
            <w:tcW w:w="1370" w:type="dxa"/>
          </w:tcPr>
          <w:p>
            <w:pPr>
              <w:pStyle w:val="yTableNAm"/>
            </w:pPr>
            <w:r>
              <w:rPr>
                <w:sz w:val="18"/>
                <w:szCs w:val="18"/>
              </w:rPr>
              <w:t>85.9274</w:t>
            </w:r>
          </w:p>
        </w:tc>
      </w:tr>
      <w:tr>
        <w:trPr>
          <w:cantSplit/>
        </w:trPr>
        <w:tc>
          <w:tcPr>
            <w:tcW w:w="567" w:type="dxa"/>
          </w:tcPr>
          <w:p>
            <w:pPr>
              <w:pStyle w:val="yTableNAm"/>
            </w:pPr>
            <w:r>
              <w:rPr>
                <w:sz w:val="18"/>
                <w:szCs w:val="18"/>
              </w:rPr>
              <w:t>Z.10</w:t>
            </w:r>
          </w:p>
        </w:tc>
        <w:tc>
          <w:tcPr>
            <w:tcW w:w="851" w:type="dxa"/>
          </w:tcPr>
          <w:p>
            <w:pPr>
              <w:pStyle w:val="yTableNAm"/>
            </w:pPr>
            <w:r>
              <w:rPr>
                <w:sz w:val="18"/>
                <w:szCs w:val="18"/>
              </w:rPr>
              <w:t>400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78.9489</w:t>
            </w:r>
          </w:p>
        </w:tc>
        <w:tc>
          <w:tcPr>
            <w:tcW w:w="1512" w:type="dxa"/>
          </w:tcPr>
          <w:p>
            <w:pPr>
              <w:pStyle w:val="yTableNAm"/>
            </w:pPr>
            <w:r>
              <w:rPr>
                <w:sz w:val="18"/>
                <w:szCs w:val="18"/>
              </w:rPr>
              <w:t>82.1715</w:t>
            </w:r>
          </w:p>
        </w:tc>
        <w:tc>
          <w:tcPr>
            <w:tcW w:w="1370" w:type="dxa"/>
          </w:tcPr>
          <w:p>
            <w:pPr>
              <w:pStyle w:val="yTableNAm"/>
            </w:pPr>
            <w:r>
              <w:rPr>
                <w:sz w:val="18"/>
                <w:szCs w:val="18"/>
              </w:rPr>
              <w:t>116.6974</w:t>
            </w:r>
          </w:p>
        </w:tc>
      </w:tr>
      <w:tr>
        <w:trPr>
          <w:cantSplit/>
        </w:trPr>
        <w:tc>
          <w:tcPr>
            <w:tcW w:w="567" w:type="dxa"/>
          </w:tcPr>
          <w:p>
            <w:pPr>
              <w:pStyle w:val="yTableNAm"/>
            </w:pPr>
            <w:r>
              <w:rPr>
                <w:sz w:val="18"/>
                <w:szCs w:val="18"/>
              </w:rPr>
              <w:t>Z.13</w:t>
            </w:r>
          </w:p>
        </w:tc>
        <w:tc>
          <w:tcPr>
            <w:tcW w:w="851" w:type="dxa"/>
          </w:tcPr>
          <w:p>
            <w:pPr>
              <w:pStyle w:val="yTableNAm"/>
            </w:pPr>
            <w:r>
              <w:rPr>
                <w:sz w:val="18"/>
                <w:szCs w:val="18"/>
              </w:rPr>
              <w:t>150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50.9626</w:t>
            </w:r>
          </w:p>
        </w:tc>
        <w:tc>
          <w:tcPr>
            <w:tcW w:w="1512" w:type="dxa"/>
          </w:tcPr>
          <w:p>
            <w:pPr>
              <w:pStyle w:val="yTableNAm"/>
            </w:pPr>
            <w:r>
              <w:rPr>
                <w:sz w:val="18"/>
                <w:szCs w:val="18"/>
              </w:rPr>
              <w:t>53.4010</w:t>
            </w:r>
          </w:p>
        </w:tc>
        <w:tc>
          <w:tcPr>
            <w:tcW w:w="1370" w:type="dxa"/>
          </w:tcPr>
          <w:p>
            <w:pPr>
              <w:pStyle w:val="yTableNAm"/>
            </w:pPr>
            <w:r>
              <w:rPr>
                <w:sz w:val="18"/>
                <w:szCs w:val="18"/>
              </w:rPr>
              <w:t>63.6911</w:t>
            </w:r>
          </w:p>
        </w:tc>
      </w:tr>
      <w:tr>
        <w:trPr>
          <w:cantSplit/>
        </w:trPr>
        <w:tc>
          <w:tcPr>
            <w:tcW w:w="567" w:type="dxa"/>
          </w:tcPr>
          <w:p>
            <w:pPr>
              <w:pStyle w:val="yTableNAm"/>
            </w:pPr>
            <w:r>
              <w:rPr>
                <w:sz w:val="18"/>
                <w:szCs w:val="18"/>
              </w:rPr>
              <w:t>Z.15</w:t>
            </w:r>
          </w:p>
        </w:tc>
        <w:tc>
          <w:tcPr>
            <w:tcW w:w="851" w:type="dxa"/>
          </w:tcPr>
          <w:p>
            <w:pPr>
              <w:pStyle w:val="yTableNAm"/>
            </w:pPr>
            <w:r>
              <w:rPr>
                <w:sz w:val="18"/>
                <w:szCs w:val="18"/>
              </w:rPr>
              <w:t>250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63.7518</w:t>
            </w:r>
          </w:p>
        </w:tc>
        <w:tc>
          <w:tcPr>
            <w:tcW w:w="1512" w:type="dxa"/>
          </w:tcPr>
          <w:p>
            <w:pPr>
              <w:pStyle w:val="yTableNAm"/>
            </w:pPr>
            <w:r>
              <w:rPr>
                <w:sz w:val="18"/>
                <w:szCs w:val="18"/>
              </w:rPr>
              <w:t>68.0937</w:t>
            </w:r>
          </w:p>
        </w:tc>
        <w:tc>
          <w:tcPr>
            <w:tcW w:w="1370" w:type="dxa"/>
          </w:tcPr>
          <w:p>
            <w:pPr>
              <w:pStyle w:val="yTableNAm"/>
            </w:pPr>
            <w:r>
              <w:rPr>
                <w:sz w:val="18"/>
                <w:szCs w:val="18"/>
              </w:rPr>
              <w:t>84.6629</w:t>
            </w:r>
          </w:p>
        </w:tc>
      </w:tr>
      <w:tr>
        <w:trPr>
          <w:cantSplit/>
        </w:trPr>
        <w:tc>
          <w:tcPr>
            <w:tcW w:w="567" w:type="dxa"/>
          </w:tcPr>
          <w:p>
            <w:pPr>
              <w:pStyle w:val="yTableNAm"/>
            </w:pPr>
            <w:r>
              <w:rPr>
                <w:sz w:val="18"/>
                <w:szCs w:val="18"/>
              </w:rPr>
              <w:t>Z.18</w:t>
            </w:r>
          </w:p>
        </w:tc>
        <w:tc>
          <w:tcPr>
            <w:tcW w:w="851" w:type="dxa"/>
          </w:tcPr>
          <w:p>
            <w:pPr>
              <w:pStyle w:val="yTableNAm"/>
            </w:pPr>
            <w:r>
              <w:rPr>
                <w:sz w:val="18"/>
                <w:szCs w:val="18"/>
              </w:rPr>
              <w:t>per kW</w:t>
            </w:r>
          </w:p>
        </w:tc>
        <w:tc>
          <w:tcPr>
            <w:tcW w:w="1128" w:type="dxa"/>
            <w:gridSpan w:val="2"/>
          </w:tcPr>
          <w:p>
            <w:pPr>
              <w:pStyle w:val="yTableNAm"/>
            </w:pPr>
            <w:r>
              <w:rPr>
                <w:sz w:val="18"/>
                <w:szCs w:val="18"/>
              </w:rPr>
              <w:t>Auxiliary Lighting in Public Places</w:t>
            </w:r>
          </w:p>
        </w:tc>
        <w:tc>
          <w:tcPr>
            <w:tcW w:w="1376" w:type="dxa"/>
            <w:gridSpan w:val="2"/>
          </w:tcPr>
          <w:p>
            <w:pPr>
              <w:pStyle w:val="yTableNAm"/>
            </w:pPr>
            <w:r>
              <w:rPr>
                <w:sz w:val="18"/>
                <w:szCs w:val="18"/>
              </w:rPr>
              <w:t>Not applicable</w:t>
            </w:r>
          </w:p>
        </w:tc>
        <w:tc>
          <w:tcPr>
            <w:tcW w:w="1512" w:type="dxa"/>
          </w:tcPr>
          <w:p>
            <w:pPr>
              <w:pStyle w:val="yTableNAm"/>
            </w:pPr>
            <w:r>
              <w:rPr>
                <w:sz w:val="18"/>
                <w:szCs w:val="18"/>
              </w:rPr>
              <w:t>Not applicable</w:t>
            </w:r>
          </w:p>
        </w:tc>
        <w:tc>
          <w:tcPr>
            <w:tcW w:w="1370" w:type="dxa"/>
          </w:tcPr>
          <w:p>
            <w:pPr>
              <w:pStyle w:val="yTableNAm"/>
            </w:pPr>
            <w:r>
              <w:rPr>
                <w:sz w:val="18"/>
                <w:szCs w:val="18"/>
              </w:rPr>
              <w:t>265.4777</w:t>
            </w:r>
          </w:p>
        </w:tc>
      </w:tr>
      <w:tr>
        <w:trPr>
          <w:cantSplit/>
        </w:trPr>
        <w:tc>
          <w:tcPr>
            <w:tcW w:w="6804" w:type="dxa"/>
            <w:gridSpan w:val="8"/>
          </w:tcPr>
          <w:p>
            <w:pPr>
              <w:pStyle w:val="yTableNAm"/>
            </w:pPr>
            <w:r>
              <w:rPr>
                <w:b/>
                <w:i/>
                <w:iCs/>
                <w:sz w:val="16"/>
                <w:szCs w:val="16"/>
              </w:rPr>
              <w:t>Street lighting for existing services only</w:t>
            </w:r>
          </w:p>
        </w:tc>
      </w:tr>
      <w:tr>
        <w:trPr>
          <w:cantSplit/>
        </w:trPr>
        <w:tc>
          <w:tcPr>
            <w:tcW w:w="567" w:type="dxa"/>
          </w:tcPr>
          <w:p>
            <w:pPr>
              <w:pStyle w:val="yTableNAm"/>
            </w:pPr>
            <w:r>
              <w:rPr>
                <w:sz w:val="18"/>
                <w:szCs w:val="18"/>
              </w:rPr>
              <w:t>Z.05</w:t>
            </w:r>
          </w:p>
        </w:tc>
        <w:tc>
          <w:tcPr>
            <w:tcW w:w="851" w:type="dxa"/>
          </w:tcPr>
          <w:p>
            <w:pPr>
              <w:pStyle w:val="yTableNAm"/>
            </w:pPr>
            <w:r>
              <w:rPr>
                <w:sz w:val="18"/>
                <w:szCs w:val="18"/>
              </w:rPr>
              <w:t>250</w:t>
            </w:r>
          </w:p>
        </w:tc>
        <w:tc>
          <w:tcPr>
            <w:tcW w:w="1114" w:type="dxa"/>
          </w:tcPr>
          <w:p>
            <w:pPr>
              <w:pStyle w:val="yTableNAm"/>
            </w:pPr>
            <w:r>
              <w:rPr>
                <w:sz w:val="18"/>
                <w:szCs w:val="18"/>
              </w:rPr>
              <w:t>Mercury Vapour</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Z.06</w:t>
            </w:r>
          </w:p>
        </w:tc>
        <w:tc>
          <w:tcPr>
            <w:tcW w:w="851" w:type="dxa"/>
          </w:tcPr>
          <w:p>
            <w:pPr>
              <w:pStyle w:val="yTableNAm"/>
            </w:pPr>
            <w:r>
              <w:rPr>
                <w:sz w:val="18"/>
                <w:szCs w:val="18"/>
              </w:rPr>
              <w:t>400</w:t>
            </w:r>
          </w:p>
        </w:tc>
        <w:tc>
          <w:tcPr>
            <w:tcW w:w="1114" w:type="dxa"/>
          </w:tcPr>
          <w:p>
            <w:pPr>
              <w:pStyle w:val="yTableNAm"/>
            </w:pPr>
            <w:r>
              <w:rPr>
                <w:sz w:val="18"/>
                <w:szCs w:val="18"/>
              </w:rPr>
              <w:t>Mercury Vapour</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Z.08</w:t>
            </w:r>
          </w:p>
        </w:tc>
        <w:tc>
          <w:tcPr>
            <w:tcW w:w="851" w:type="dxa"/>
          </w:tcPr>
          <w:p>
            <w:pPr>
              <w:pStyle w:val="yTableNAm"/>
            </w:pPr>
            <w:r>
              <w:rPr>
                <w:sz w:val="18"/>
                <w:szCs w:val="18"/>
              </w:rPr>
              <w:t>250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70.9693</w:t>
            </w:r>
          </w:p>
        </w:tc>
        <w:tc>
          <w:tcPr>
            <w:tcW w:w="1512" w:type="dxa"/>
          </w:tcPr>
          <w:p>
            <w:pPr>
              <w:pStyle w:val="yTableNAm"/>
            </w:pPr>
            <w:r>
              <w:rPr>
                <w:sz w:val="18"/>
                <w:szCs w:val="18"/>
              </w:rPr>
              <w:t>74.1477</w:t>
            </w:r>
          </w:p>
        </w:tc>
        <w:tc>
          <w:tcPr>
            <w:tcW w:w="1370" w:type="dxa"/>
          </w:tcPr>
          <w:p>
            <w:pPr>
              <w:pStyle w:val="yTableNAm"/>
            </w:pPr>
            <w:r>
              <w:rPr>
                <w:sz w:val="18"/>
                <w:szCs w:val="18"/>
              </w:rPr>
              <w:t>87.5580</w:t>
            </w:r>
          </w:p>
        </w:tc>
      </w:tr>
      <w:tr>
        <w:trPr>
          <w:cantSplit/>
        </w:trPr>
        <w:tc>
          <w:tcPr>
            <w:tcW w:w="567" w:type="dxa"/>
          </w:tcPr>
          <w:p>
            <w:pPr>
              <w:pStyle w:val="yTableNAm"/>
            </w:pPr>
            <w:r>
              <w:rPr>
                <w:sz w:val="18"/>
                <w:szCs w:val="18"/>
              </w:rPr>
              <w:t>Z.09</w:t>
            </w:r>
          </w:p>
        </w:tc>
        <w:tc>
          <w:tcPr>
            <w:tcW w:w="851" w:type="dxa"/>
          </w:tcPr>
          <w:p>
            <w:pPr>
              <w:pStyle w:val="yTableNAm"/>
            </w:pPr>
            <w:r>
              <w:rPr>
                <w:sz w:val="18"/>
                <w:szCs w:val="18"/>
              </w:rPr>
              <w:t>250</w:t>
            </w:r>
          </w:p>
        </w:tc>
        <w:tc>
          <w:tcPr>
            <w:tcW w:w="1114" w:type="dxa"/>
          </w:tcPr>
          <w:p>
            <w:pPr>
              <w:pStyle w:val="yTableNAm"/>
            </w:pPr>
            <w:r>
              <w:rPr>
                <w:sz w:val="18"/>
                <w:szCs w:val="18"/>
              </w:rPr>
              <w:t>Mercury Vapour</w:t>
            </w:r>
            <w:r>
              <w:rPr>
                <w:sz w:val="18"/>
                <w:szCs w:val="18"/>
              </w:rPr>
              <w:br/>
              <w:t>100% E.C. cost</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Z.11</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95.6262</w:t>
            </w:r>
          </w:p>
        </w:tc>
        <w:tc>
          <w:tcPr>
            <w:tcW w:w="1512" w:type="dxa"/>
          </w:tcPr>
          <w:p>
            <w:pPr>
              <w:pStyle w:val="yTableNAm"/>
            </w:pPr>
            <w:r>
              <w:rPr>
                <w:sz w:val="18"/>
                <w:szCs w:val="18"/>
              </w:rPr>
              <w:t>100.6154</w:t>
            </w:r>
          </w:p>
        </w:tc>
        <w:tc>
          <w:tcPr>
            <w:tcW w:w="1370" w:type="dxa"/>
          </w:tcPr>
          <w:p>
            <w:pPr>
              <w:pStyle w:val="yTableNAm"/>
            </w:pPr>
            <w:r>
              <w:rPr>
                <w:sz w:val="18"/>
                <w:szCs w:val="18"/>
              </w:rPr>
              <w:t>121.6606</w:t>
            </w:r>
          </w:p>
        </w:tc>
      </w:tr>
      <w:tr>
        <w:trPr>
          <w:cantSplit/>
        </w:trPr>
        <w:tc>
          <w:tcPr>
            <w:tcW w:w="567" w:type="dxa"/>
          </w:tcPr>
          <w:p>
            <w:pPr>
              <w:pStyle w:val="yTableNAm"/>
            </w:pPr>
            <w:r>
              <w:rPr>
                <w:sz w:val="18"/>
                <w:szCs w:val="18"/>
              </w:rPr>
              <w:t>Z.12</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100% E.C. cost</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Z.14</w:t>
            </w:r>
          </w:p>
        </w:tc>
        <w:tc>
          <w:tcPr>
            <w:tcW w:w="851" w:type="dxa"/>
          </w:tcPr>
          <w:p>
            <w:pPr>
              <w:pStyle w:val="yTableNAm"/>
            </w:pPr>
            <w:r>
              <w:rPr>
                <w:sz w:val="18"/>
                <w:szCs w:val="18"/>
              </w:rPr>
              <w:t>150</w:t>
            </w:r>
          </w:p>
        </w:tc>
        <w:tc>
          <w:tcPr>
            <w:tcW w:w="1114" w:type="dxa"/>
          </w:tcPr>
          <w:p>
            <w:pPr>
              <w:pStyle w:val="yTableNAm"/>
            </w:pPr>
            <w:r>
              <w:rPr>
                <w:sz w:val="18"/>
                <w:szCs w:val="18"/>
              </w:rPr>
              <w:t>High Pressure Sodium</w:t>
            </w:r>
          </w:p>
        </w:tc>
        <w:tc>
          <w:tcPr>
            <w:tcW w:w="1390" w:type="dxa"/>
            <w:gridSpan w:val="3"/>
          </w:tcPr>
          <w:p>
            <w:pPr>
              <w:pStyle w:val="yTableNAm"/>
            </w:pPr>
            <w:r>
              <w:rPr>
                <w:sz w:val="18"/>
                <w:szCs w:val="18"/>
              </w:rPr>
              <w:t>67.2142</w:t>
            </w:r>
          </w:p>
        </w:tc>
        <w:tc>
          <w:tcPr>
            <w:tcW w:w="1512" w:type="dxa"/>
          </w:tcPr>
          <w:p>
            <w:pPr>
              <w:pStyle w:val="yTableNAm"/>
            </w:pPr>
            <w:r>
              <w:rPr>
                <w:sz w:val="18"/>
                <w:szCs w:val="18"/>
              </w:rPr>
              <w:t>69.0138</w:t>
            </w:r>
          </w:p>
        </w:tc>
        <w:tc>
          <w:tcPr>
            <w:tcW w:w="1370" w:type="dxa"/>
          </w:tcPr>
          <w:p>
            <w:pPr>
              <w:pStyle w:val="yTableNAm"/>
            </w:pPr>
            <w:r>
              <w:rPr>
                <w:sz w:val="18"/>
                <w:szCs w:val="18"/>
              </w:rPr>
              <w:t>78.7944</w:t>
            </w:r>
          </w:p>
        </w:tc>
      </w:tr>
      <w:tr>
        <w:trPr>
          <w:cantSplit/>
        </w:trPr>
        <w:tc>
          <w:tcPr>
            <w:tcW w:w="567" w:type="dxa"/>
          </w:tcPr>
          <w:p>
            <w:pPr>
              <w:pStyle w:val="yTableNAm"/>
            </w:pPr>
            <w:r>
              <w:rPr>
                <w:sz w:val="18"/>
                <w:szCs w:val="18"/>
              </w:rPr>
              <w:t>Z.16</w:t>
            </w:r>
          </w:p>
        </w:tc>
        <w:tc>
          <w:tcPr>
            <w:tcW w:w="851" w:type="dxa"/>
          </w:tcPr>
          <w:p>
            <w:pPr>
              <w:pStyle w:val="yTableNAm"/>
            </w:pPr>
            <w:r>
              <w:rPr>
                <w:sz w:val="18"/>
                <w:szCs w:val="18"/>
              </w:rPr>
              <w:t>250</w:t>
            </w:r>
          </w:p>
        </w:tc>
        <w:tc>
          <w:tcPr>
            <w:tcW w:w="1114" w:type="dxa"/>
          </w:tcPr>
          <w:p>
            <w:pPr>
              <w:pStyle w:val="yTableNAm"/>
            </w:pPr>
            <w:r>
              <w:rPr>
                <w:sz w:val="18"/>
                <w:szCs w:val="18"/>
              </w:rPr>
              <w:t>High Pressure Sodium</w:t>
            </w:r>
            <w:r>
              <w:rPr>
                <w:sz w:val="18"/>
                <w:szCs w:val="18"/>
              </w:rPr>
              <w:br/>
              <w:t>50% E.C. cost</w:t>
            </w:r>
          </w:p>
        </w:tc>
        <w:tc>
          <w:tcPr>
            <w:tcW w:w="1390" w:type="dxa"/>
            <w:gridSpan w:val="3"/>
          </w:tcPr>
          <w:p>
            <w:pPr>
              <w:pStyle w:val="yTableNAm"/>
            </w:pPr>
            <w:r>
              <w:rPr>
                <w:sz w:val="18"/>
                <w:szCs w:val="18"/>
              </w:rPr>
              <w:t>77.1398</w:t>
            </w:r>
          </w:p>
        </w:tc>
        <w:tc>
          <w:tcPr>
            <w:tcW w:w="1512" w:type="dxa"/>
          </w:tcPr>
          <w:p>
            <w:pPr>
              <w:pStyle w:val="yTableNAm"/>
            </w:pPr>
            <w:r>
              <w:rPr>
                <w:sz w:val="18"/>
                <w:szCs w:val="18"/>
              </w:rPr>
              <w:t>80.7650</w:t>
            </w:r>
          </w:p>
        </w:tc>
        <w:tc>
          <w:tcPr>
            <w:tcW w:w="1370" w:type="dxa"/>
          </w:tcPr>
          <w:p>
            <w:pPr>
              <w:pStyle w:val="yTableNAm"/>
            </w:pPr>
            <w:r>
              <w:rPr>
                <w:sz w:val="18"/>
                <w:szCs w:val="18"/>
              </w:rPr>
              <w:t>95.8963</w:t>
            </w:r>
          </w:p>
        </w:tc>
      </w:tr>
      <w:tr>
        <w:trPr>
          <w:cantSplit/>
        </w:trPr>
        <w:tc>
          <w:tcPr>
            <w:tcW w:w="567" w:type="dxa"/>
          </w:tcPr>
          <w:p>
            <w:pPr>
              <w:pStyle w:val="yTableNAm"/>
            </w:pPr>
            <w:r>
              <w:rPr>
                <w:sz w:val="18"/>
                <w:szCs w:val="18"/>
              </w:rPr>
              <w:t>Z.17</w:t>
            </w:r>
          </w:p>
        </w:tc>
        <w:tc>
          <w:tcPr>
            <w:tcW w:w="851" w:type="dxa"/>
          </w:tcPr>
          <w:p>
            <w:pPr>
              <w:pStyle w:val="yTableNAm"/>
            </w:pPr>
            <w:r>
              <w:rPr>
                <w:sz w:val="18"/>
                <w:szCs w:val="18"/>
              </w:rPr>
              <w:t>250</w:t>
            </w:r>
          </w:p>
        </w:tc>
        <w:tc>
          <w:tcPr>
            <w:tcW w:w="1114" w:type="dxa"/>
          </w:tcPr>
          <w:p>
            <w:pPr>
              <w:pStyle w:val="yTableNAm"/>
            </w:pPr>
            <w:r>
              <w:rPr>
                <w:sz w:val="18"/>
                <w:szCs w:val="18"/>
              </w:rPr>
              <w:t xml:space="preserve">High Pressure Sodium </w:t>
            </w:r>
            <w:r>
              <w:rPr>
                <w:sz w:val="18"/>
                <w:szCs w:val="18"/>
              </w:rPr>
              <w:br/>
              <w:t>100% E.C. cost</w:t>
            </w:r>
          </w:p>
        </w:tc>
        <w:tc>
          <w:tcPr>
            <w:tcW w:w="1390" w:type="dxa"/>
            <w:gridSpan w:val="3"/>
          </w:tcPr>
          <w:p>
            <w:pPr>
              <w:pStyle w:val="yTableNAm"/>
            </w:pPr>
            <w:r>
              <w:rPr>
                <w:sz w:val="18"/>
                <w:szCs w:val="18"/>
              </w:rPr>
              <w:t>86.3146</w:t>
            </w:r>
          </w:p>
        </w:tc>
        <w:tc>
          <w:tcPr>
            <w:tcW w:w="1512" w:type="dxa"/>
          </w:tcPr>
          <w:p>
            <w:pPr>
              <w:pStyle w:val="yTableNAm"/>
            </w:pPr>
            <w:r>
              <w:rPr>
                <w:sz w:val="18"/>
                <w:szCs w:val="18"/>
              </w:rPr>
              <w:t>89.9734</w:t>
            </w:r>
          </w:p>
        </w:tc>
        <w:tc>
          <w:tcPr>
            <w:tcW w:w="1370" w:type="dxa"/>
          </w:tcPr>
          <w:p>
            <w:pPr>
              <w:pStyle w:val="yTableNAm"/>
            </w:pPr>
            <w:r>
              <w:rPr>
                <w:sz w:val="18"/>
                <w:szCs w:val="18"/>
              </w:rPr>
              <w:t>105.1160</w:t>
            </w:r>
          </w:p>
        </w:tc>
      </w:tr>
      <w:tr>
        <w:trPr>
          <w:cantSplit/>
        </w:trPr>
        <w:tc>
          <w:tcPr>
            <w:tcW w:w="567" w:type="dxa"/>
          </w:tcPr>
          <w:p>
            <w:pPr>
              <w:pStyle w:val="yTableNAm"/>
            </w:pPr>
            <w:r>
              <w:rPr>
                <w:sz w:val="18"/>
                <w:szCs w:val="18"/>
              </w:rPr>
              <w:t>Z.51</w:t>
            </w:r>
          </w:p>
        </w:tc>
        <w:tc>
          <w:tcPr>
            <w:tcW w:w="851" w:type="dxa"/>
          </w:tcPr>
          <w:p>
            <w:pPr>
              <w:pStyle w:val="yTableNAm"/>
            </w:pPr>
            <w:r>
              <w:rPr>
                <w:sz w:val="18"/>
                <w:szCs w:val="18"/>
              </w:rPr>
              <w:t>60</w:t>
            </w:r>
          </w:p>
        </w:tc>
        <w:tc>
          <w:tcPr>
            <w:tcW w:w="1114" w:type="dxa"/>
          </w:tcPr>
          <w:p>
            <w:pPr>
              <w:pStyle w:val="yTableNAm"/>
            </w:pPr>
            <w:r>
              <w:rPr>
                <w:sz w:val="18"/>
                <w:szCs w:val="18"/>
              </w:rPr>
              <w:t>Incandescent</w:t>
            </w:r>
          </w:p>
        </w:tc>
        <w:tc>
          <w:tcPr>
            <w:tcW w:w="1390" w:type="dxa"/>
            <w:gridSpan w:val="3"/>
          </w:tcPr>
          <w:p>
            <w:pPr>
              <w:pStyle w:val="yTableNAm"/>
            </w:pPr>
            <w:r>
              <w:rPr>
                <w:sz w:val="18"/>
                <w:szCs w:val="18"/>
              </w:rPr>
              <w:t>34.4482</w:t>
            </w:r>
          </w:p>
        </w:tc>
        <w:tc>
          <w:tcPr>
            <w:tcW w:w="1512" w:type="dxa"/>
          </w:tcPr>
          <w:p>
            <w:pPr>
              <w:pStyle w:val="yTableNAm"/>
            </w:pPr>
            <w:r>
              <w:rPr>
                <w:sz w:val="18"/>
                <w:szCs w:val="18"/>
              </w:rPr>
              <w:t>35.1858</w:t>
            </w:r>
          </w:p>
        </w:tc>
        <w:tc>
          <w:tcPr>
            <w:tcW w:w="1370" w:type="dxa"/>
          </w:tcPr>
          <w:p>
            <w:pPr>
              <w:pStyle w:val="yTableNAm"/>
            </w:pPr>
            <w:r>
              <w:rPr>
                <w:sz w:val="18"/>
                <w:szCs w:val="18"/>
              </w:rPr>
              <w:t>37.8510</w:t>
            </w:r>
          </w:p>
        </w:tc>
      </w:tr>
      <w:tr>
        <w:trPr>
          <w:cantSplit/>
        </w:trPr>
        <w:tc>
          <w:tcPr>
            <w:tcW w:w="567" w:type="dxa"/>
          </w:tcPr>
          <w:p>
            <w:pPr>
              <w:pStyle w:val="yTableNAm"/>
            </w:pPr>
            <w:r>
              <w:rPr>
                <w:sz w:val="18"/>
                <w:szCs w:val="18"/>
              </w:rPr>
              <w:t>Z.52</w:t>
            </w:r>
          </w:p>
        </w:tc>
        <w:tc>
          <w:tcPr>
            <w:tcW w:w="851" w:type="dxa"/>
          </w:tcPr>
          <w:p>
            <w:pPr>
              <w:pStyle w:val="yTableNAm"/>
            </w:pPr>
            <w:r>
              <w:rPr>
                <w:sz w:val="18"/>
                <w:szCs w:val="18"/>
              </w:rPr>
              <w:t>100</w:t>
            </w:r>
          </w:p>
        </w:tc>
        <w:tc>
          <w:tcPr>
            <w:tcW w:w="1114" w:type="dxa"/>
          </w:tcPr>
          <w:p>
            <w:pPr>
              <w:pStyle w:val="yTableNAm"/>
            </w:pPr>
            <w:r>
              <w:rPr>
                <w:sz w:val="18"/>
                <w:szCs w:val="18"/>
              </w:rPr>
              <w:t>Incandescent</w:t>
            </w:r>
          </w:p>
        </w:tc>
        <w:tc>
          <w:tcPr>
            <w:tcW w:w="1390" w:type="dxa"/>
            <w:gridSpan w:val="3"/>
          </w:tcPr>
          <w:p>
            <w:pPr>
              <w:pStyle w:val="yTableNAm"/>
            </w:pPr>
            <w:r>
              <w:rPr>
                <w:sz w:val="18"/>
                <w:szCs w:val="18"/>
              </w:rPr>
              <w:t>34.3299</w:t>
            </w:r>
          </w:p>
        </w:tc>
        <w:tc>
          <w:tcPr>
            <w:tcW w:w="1512" w:type="dxa"/>
          </w:tcPr>
          <w:p>
            <w:pPr>
              <w:pStyle w:val="yTableNAm"/>
            </w:pPr>
            <w:r>
              <w:rPr>
                <w:sz w:val="18"/>
                <w:szCs w:val="18"/>
              </w:rPr>
              <w:t>35.6143</w:t>
            </w:r>
          </w:p>
        </w:tc>
        <w:tc>
          <w:tcPr>
            <w:tcW w:w="1370" w:type="dxa"/>
          </w:tcPr>
          <w:p>
            <w:pPr>
              <w:pStyle w:val="yTableNAm"/>
            </w:pPr>
            <w:r>
              <w:rPr>
                <w:sz w:val="18"/>
                <w:szCs w:val="18"/>
              </w:rPr>
              <w:t>39.5902</w:t>
            </w:r>
          </w:p>
        </w:tc>
      </w:tr>
      <w:tr>
        <w:trPr>
          <w:cantSplit/>
        </w:trPr>
        <w:tc>
          <w:tcPr>
            <w:tcW w:w="567" w:type="dxa"/>
          </w:tcPr>
          <w:p>
            <w:pPr>
              <w:pStyle w:val="yTableNAm"/>
            </w:pPr>
            <w:r>
              <w:rPr>
                <w:sz w:val="18"/>
                <w:szCs w:val="18"/>
              </w:rPr>
              <w:t>Z.53</w:t>
            </w:r>
          </w:p>
        </w:tc>
        <w:tc>
          <w:tcPr>
            <w:tcW w:w="851" w:type="dxa"/>
          </w:tcPr>
          <w:p>
            <w:pPr>
              <w:pStyle w:val="yTableNAm"/>
            </w:pPr>
            <w:r>
              <w:rPr>
                <w:sz w:val="18"/>
                <w:szCs w:val="18"/>
              </w:rPr>
              <w:t>200</w:t>
            </w:r>
          </w:p>
        </w:tc>
        <w:tc>
          <w:tcPr>
            <w:tcW w:w="1114" w:type="dxa"/>
          </w:tcPr>
          <w:p>
            <w:pPr>
              <w:pStyle w:val="yTableNAm"/>
            </w:pPr>
            <w:r>
              <w:rPr>
                <w:sz w:val="18"/>
                <w:szCs w:val="18"/>
              </w:rPr>
              <w:t>Incandescent</w:t>
            </w:r>
          </w:p>
        </w:tc>
        <w:tc>
          <w:tcPr>
            <w:tcW w:w="1390" w:type="dxa"/>
            <w:gridSpan w:val="3"/>
          </w:tcPr>
          <w:p>
            <w:pPr>
              <w:pStyle w:val="yTableNAm"/>
            </w:pPr>
            <w:r>
              <w:rPr>
                <w:sz w:val="18"/>
                <w:szCs w:val="18"/>
              </w:rPr>
              <w:t>40.5667</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Pr>
          <w:p>
            <w:pPr>
              <w:pStyle w:val="yTableNAm"/>
            </w:pPr>
            <w:r>
              <w:rPr>
                <w:sz w:val="18"/>
                <w:szCs w:val="18"/>
              </w:rPr>
              <w:t>Z.54</w:t>
            </w:r>
          </w:p>
        </w:tc>
        <w:tc>
          <w:tcPr>
            <w:tcW w:w="851" w:type="dxa"/>
          </w:tcPr>
          <w:p>
            <w:pPr>
              <w:pStyle w:val="yTableNAm"/>
            </w:pPr>
            <w:r>
              <w:rPr>
                <w:sz w:val="18"/>
                <w:szCs w:val="18"/>
              </w:rPr>
              <w:t>300</w:t>
            </w:r>
          </w:p>
        </w:tc>
        <w:tc>
          <w:tcPr>
            <w:tcW w:w="1114" w:type="dxa"/>
          </w:tcPr>
          <w:p>
            <w:pPr>
              <w:pStyle w:val="yTableNAm"/>
            </w:pPr>
            <w:r>
              <w:rPr>
                <w:sz w:val="18"/>
                <w:szCs w:val="18"/>
              </w:rPr>
              <w:t>Incandescent</w:t>
            </w:r>
          </w:p>
        </w:tc>
        <w:tc>
          <w:tcPr>
            <w:tcW w:w="1390" w:type="dxa"/>
            <w:gridSpan w:val="3"/>
          </w:tcPr>
          <w:p>
            <w:pPr>
              <w:pStyle w:val="yTableNAm"/>
            </w:pPr>
            <w:r>
              <w:rPr>
                <w:sz w:val="18"/>
                <w:szCs w:val="18"/>
              </w:rPr>
              <w:t>50.1719</w:t>
            </w:r>
          </w:p>
        </w:tc>
        <w:tc>
          <w:tcPr>
            <w:tcW w:w="1512" w:type="dxa"/>
          </w:tcPr>
          <w:p>
            <w:pPr>
              <w:pStyle w:val="yTableNAm"/>
            </w:pPr>
            <w:r>
              <w:rPr>
                <w:sz w:val="18"/>
                <w:szCs w:val="18"/>
              </w:rPr>
              <w:t>51.7979</w:t>
            </w:r>
          </w:p>
        </w:tc>
        <w:tc>
          <w:tcPr>
            <w:tcW w:w="1370" w:type="dxa"/>
          </w:tcPr>
          <w:p>
            <w:pPr>
              <w:pStyle w:val="yTableNAm"/>
            </w:pPr>
            <w:r>
              <w:rPr>
                <w:sz w:val="18"/>
                <w:szCs w:val="18"/>
              </w:rPr>
              <w:t>57.6650</w:t>
            </w:r>
          </w:p>
        </w:tc>
      </w:tr>
      <w:tr>
        <w:trPr>
          <w:cantSplit/>
        </w:trPr>
        <w:tc>
          <w:tcPr>
            <w:tcW w:w="567" w:type="dxa"/>
          </w:tcPr>
          <w:p>
            <w:pPr>
              <w:pStyle w:val="yTableNAm"/>
            </w:pPr>
            <w:r>
              <w:rPr>
                <w:sz w:val="18"/>
                <w:szCs w:val="18"/>
              </w:rPr>
              <w:t>Z.55</w:t>
            </w:r>
          </w:p>
        </w:tc>
        <w:tc>
          <w:tcPr>
            <w:tcW w:w="851" w:type="dxa"/>
          </w:tcPr>
          <w:p>
            <w:pPr>
              <w:pStyle w:val="yTableNAm"/>
            </w:pPr>
            <w:r>
              <w:rPr>
                <w:sz w:val="18"/>
                <w:szCs w:val="18"/>
              </w:rPr>
              <w:t>500</w:t>
            </w:r>
          </w:p>
        </w:tc>
        <w:tc>
          <w:tcPr>
            <w:tcW w:w="1114" w:type="dxa"/>
          </w:tcPr>
          <w:p>
            <w:pPr>
              <w:pStyle w:val="yTableNAm"/>
            </w:pPr>
            <w:r>
              <w:rPr>
                <w:sz w:val="18"/>
                <w:szCs w:val="18"/>
              </w:rPr>
              <w:t>Incandescent</w:t>
            </w:r>
          </w:p>
        </w:tc>
        <w:tc>
          <w:tcPr>
            <w:tcW w:w="1390" w:type="dxa"/>
            <w:gridSpan w:val="3"/>
          </w:tcPr>
          <w:p>
            <w:pPr>
              <w:pStyle w:val="yTableNAm"/>
            </w:pPr>
            <w:r>
              <w:rPr>
                <w:sz w:val="18"/>
                <w:szCs w:val="18"/>
              </w:rPr>
              <w:t>80.6807</w:t>
            </w:r>
          </w:p>
        </w:tc>
        <w:tc>
          <w:tcPr>
            <w:tcW w:w="1512" w:type="dxa"/>
          </w:tcPr>
          <w:p>
            <w:pPr>
              <w:pStyle w:val="yTableNAm"/>
            </w:pPr>
            <w:r>
              <w:rPr>
                <w:sz w:val="18"/>
                <w:szCs w:val="18"/>
              </w:rPr>
              <w:t>83.8322</w:t>
            </w:r>
          </w:p>
        </w:tc>
        <w:tc>
          <w:tcPr>
            <w:tcW w:w="1370" w:type="dxa"/>
          </w:tcPr>
          <w:p>
            <w:pPr>
              <w:pStyle w:val="yTableNAm"/>
            </w:pPr>
            <w:r>
              <w:rPr>
                <w:sz w:val="18"/>
                <w:szCs w:val="18"/>
              </w:rPr>
              <w:t>95.6669</w:t>
            </w:r>
          </w:p>
        </w:tc>
      </w:tr>
      <w:tr>
        <w:trPr>
          <w:cantSplit/>
        </w:trPr>
        <w:tc>
          <w:tcPr>
            <w:tcW w:w="567" w:type="dxa"/>
          </w:tcPr>
          <w:p>
            <w:pPr>
              <w:pStyle w:val="yTableNAm"/>
            </w:pPr>
            <w:r>
              <w:rPr>
                <w:sz w:val="18"/>
                <w:szCs w:val="18"/>
              </w:rPr>
              <w:t>Z.56</w:t>
            </w:r>
          </w:p>
        </w:tc>
        <w:tc>
          <w:tcPr>
            <w:tcW w:w="851" w:type="dxa"/>
          </w:tcPr>
          <w:p>
            <w:pPr>
              <w:pStyle w:val="yTableNAm"/>
            </w:pPr>
            <w:r>
              <w:rPr>
                <w:sz w:val="18"/>
                <w:szCs w:val="18"/>
              </w:rPr>
              <w:t>40</w:t>
            </w:r>
          </w:p>
        </w:tc>
        <w:tc>
          <w:tcPr>
            <w:tcW w:w="1114" w:type="dxa"/>
          </w:tcPr>
          <w:p>
            <w:pPr>
              <w:pStyle w:val="yTableNAm"/>
            </w:pPr>
            <w:r>
              <w:rPr>
                <w:sz w:val="18"/>
                <w:szCs w:val="18"/>
              </w:rPr>
              <w:t>Fluorescent</w:t>
            </w:r>
          </w:p>
        </w:tc>
        <w:tc>
          <w:tcPr>
            <w:tcW w:w="1390" w:type="dxa"/>
            <w:gridSpan w:val="3"/>
          </w:tcPr>
          <w:p>
            <w:pPr>
              <w:pStyle w:val="yTableNAm"/>
            </w:pPr>
            <w:r>
              <w:rPr>
                <w:sz w:val="18"/>
                <w:szCs w:val="18"/>
              </w:rPr>
              <w:t>31.1550</w:t>
            </w:r>
          </w:p>
        </w:tc>
        <w:tc>
          <w:tcPr>
            <w:tcW w:w="1512" w:type="dxa"/>
          </w:tcPr>
          <w:p>
            <w:pPr>
              <w:pStyle w:val="yTableNAm"/>
            </w:pPr>
            <w:r>
              <w:rPr>
                <w:sz w:val="18"/>
                <w:szCs w:val="18"/>
              </w:rPr>
              <w:t>31.8944</w:t>
            </w:r>
          </w:p>
        </w:tc>
        <w:tc>
          <w:tcPr>
            <w:tcW w:w="1370" w:type="dxa"/>
          </w:tcPr>
          <w:p>
            <w:pPr>
              <w:pStyle w:val="yTableNAm"/>
            </w:pPr>
            <w:r>
              <w:rPr>
                <w:sz w:val="18"/>
                <w:szCs w:val="18"/>
              </w:rPr>
              <w:t>34.6592</w:t>
            </w:r>
          </w:p>
        </w:tc>
      </w:tr>
      <w:tr>
        <w:trPr>
          <w:cantSplit/>
        </w:trPr>
        <w:tc>
          <w:tcPr>
            <w:tcW w:w="567" w:type="dxa"/>
          </w:tcPr>
          <w:p>
            <w:pPr>
              <w:pStyle w:val="yTableNAm"/>
            </w:pPr>
            <w:r>
              <w:rPr>
                <w:sz w:val="18"/>
                <w:szCs w:val="18"/>
              </w:rPr>
              <w:t>Z.57</w:t>
            </w:r>
          </w:p>
        </w:tc>
        <w:tc>
          <w:tcPr>
            <w:tcW w:w="851" w:type="dxa"/>
          </w:tcPr>
          <w:p>
            <w:pPr>
              <w:pStyle w:val="yTableNAm"/>
            </w:pPr>
            <w:r>
              <w:rPr>
                <w:sz w:val="18"/>
                <w:szCs w:val="18"/>
              </w:rPr>
              <w:t>80</w:t>
            </w:r>
          </w:p>
        </w:tc>
        <w:tc>
          <w:tcPr>
            <w:tcW w:w="1114" w:type="dxa"/>
          </w:tcPr>
          <w:p>
            <w:pPr>
              <w:pStyle w:val="yTableNAm"/>
            </w:pPr>
            <w:r>
              <w:rPr>
                <w:sz w:val="18"/>
                <w:szCs w:val="18"/>
              </w:rPr>
              <w:t>Fluorescent</w:t>
            </w:r>
          </w:p>
        </w:tc>
        <w:tc>
          <w:tcPr>
            <w:tcW w:w="1390" w:type="dxa"/>
            <w:gridSpan w:val="3"/>
          </w:tcPr>
          <w:p>
            <w:pPr>
              <w:pStyle w:val="yTableNAm"/>
            </w:pPr>
            <w:r>
              <w:rPr>
                <w:sz w:val="18"/>
                <w:szCs w:val="18"/>
              </w:rPr>
              <w:t>40.5665</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Borders>
              <w:bottom w:val="single" w:sz="4" w:space="0" w:color="auto"/>
            </w:tcBorders>
          </w:tcPr>
          <w:p>
            <w:pPr>
              <w:pStyle w:val="yTableNAm"/>
            </w:pPr>
            <w:r>
              <w:rPr>
                <w:sz w:val="18"/>
                <w:szCs w:val="18"/>
              </w:rPr>
              <w:t>Z.58</w:t>
            </w:r>
          </w:p>
        </w:tc>
        <w:tc>
          <w:tcPr>
            <w:tcW w:w="851" w:type="dxa"/>
            <w:tcBorders>
              <w:bottom w:val="single" w:sz="4" w:space="0" w:color="auto"/>
            </w:tcBorders>
          </w:tcPr>
          <w:p>
            <w:pPr>
              <w:pStyle w:val="yTableNAm"/>
            </w:pPr>
            <w:r>
              <w:rPr>
                <w:sz w:val="18"/>
                <w:szCs w:val="18"/>
              </w:rPr>
              <w:t>160</w:t>
            </w:r>
          </w:p>
        </w:tc>
        <w:tc>
          <w:tcPr>
            <w:tcW w:w="1114" w:type="dxa"/>
            <w:tcBorders>
              <w:bottom w:val="single" w:sz="4" w:space="0" w:color="auto"/>
            </w:tcBorders>
          </w:tcPr>
          <w:p>
            <w:pPr>
              <w:pStyle w:val="yTableNAm"/>
            </w:pPr>
            <w:r>
              <w:rPr>
                <w:sz w:val="18"/>
                <w:szCs w:val="18"/>
              </w:rPr>
              <w:t>Fluorescent</w:t>
            </w:r>
          </w:p>
        </w:tc>
        <w:tc>
          <w:tcPr>
            <w:tcW w:w="1390" w:type="dxa"/>
            <w:gridSpan w:val="3"/>
            <w:tcBorders>
              <w:bottom w:val="single" w:sz="4" w:space="0" w:color="auto"/>
            </w:tcBorders>
          </w:tcPr>
          <w:p>
            <w:pPr>
              <w:pStyle w:val="yTableNAm"/>
            </w:pPr>
            <w:r>
              <w:rPr>
                <w:sz w:val="18"/>
                <w:szCs w:val="18"/>
              </w:rPr>
              <w:t>56.7433</w:t>
            </w:r>
          </w:p>
        </w:tc>
        <w:tc>
          <w:tcPr>
            <w:tcW w:w="1512" w:type="dxa"/>
            <w:tcBorders>
              <w:bottom w:val="single" w:sz="4" w:space="0" w:color="auto"/>
            </w:tcBorders>
          </w:tcPr>
          <w:p>
            <w:pPr>
              <w:pStyle w:val="yTableNAm"/>
            </w:pPr>
            <w:r>
              <w:rPr>
                <w:sz w:val="18"/>
                <w:szCs w:val="18"/>
              </w:rPr>
              <w:t>57.5309</w:t>
            </w:r>
          </w:p>
        </w:tc>
        <w:tc>
          <w:tcPr>
            <w:tcW w:w="1370" w:type="dxa"/>
            <w:tcBorders>
              <w:bottom w:val="single" w:sz="4" w:space="0" w:color="auto"/>
            </w:tcBorders>
          </w:tcPr>
          <w:p>
            <w:pPr>
              <w:pStyle w:val="yTableNAm"/>
            </w:pPr>
            <w:r>
              <w:rPr>
                <w:sz w:val="18"/>
                <w:szCs w:val="18"/>
              </w:rPr>
              <w:t>66.7505</w:t>
            </w:r>
          </w:p>
        </w:tc>
      </w:tr>
    </w:tbl>
    <w:p>
      <w:pPr>
        <w:pStyle w:val="yFootnotesection"/>
      </w:pPr>
      <w:r>
        <w:tab/>
        <w:t>[Division 1 inserted: 21 Jun 2019 p. 2124</w:t>
      </w:r>
      <w:r>
        <w:noBreakHyphen/>
        <w:t>5.]</w:t>
      </w:r>
    </w:p>
    <w:p>
      <w:pPr>
        <w:pStyle w:val="yHeading3"/>
      </w:pPr>
      <w:bookmarkStart w:id="64" w:name="_Toc12281309"/>
      <w:bookmarkStart w:id="65" w:name="_Toc12281565"/>
      <w:r>
        <w:rPr>
          <w:rStyle w:val="CharSDivNo"/>
        </w:rPr>
        <w:t>Division 2</w:t>
      </w:r>
      <w:r>
        <w:rPr>
          <w:b w:val="0"/>
        </w:rPr>
        <w:t> — </w:t>
      </w:r>
      <w:r>
        <w:rPr>
          <w:rStyle w:val="CharSDivText"/>
        </w:rPr>
        <w:t>Miscellaneous</w:t>
      </w:r>
      <w:bookmarkEnd w:id="64"/>
      <w:bookmarkEnd w:id="65"/>
    </w:p>
    <w:p>
      <w:pPr>
        <w:pStyle w:val="yFootnoteheading"/>
      </w:pPr>
      <w:r>
        <w:tab/>
        <w:t>[Heading inserted: Gazette 21 Jun 2019 p. 2125]</w:t>
      </w:r>
    </w:p>
    <w:p>
      <w:pPr>
        <w:pStyle w:val="yHeading5"/>
      </w:pPr>
      <w:bookmarkStart w:id="66" w:name="_Toc12281566"/>
      <w:r>
        <w:rPr>
          <w:rStyle w:val="CharSClsNo"/>
        </w:rPr>
        <w:t>1</w:t>
      </w:r>
      <w:r>
        <w:t>.</w:t>
      </w:r>
      <w:r>
        <w:tab/>
        <w:t>Traffic light installation</w:t>
      </w:r>
      <w:bookmarkEnd w:id="66"/>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2125.]</w:t>
      </w:r>
    </w:p>
    <w:p>
      <w:pPr>
        <w:pStyle w:val="yHeading5"/>
      </w:pPr>
      <w:bookmarkStart w:id="67" w:name="_Toc12281567"/>
      <w:r>
        <w:rPr>
          <w:rStyle w:val="CharSClsNo"/>
        </w:rPr>
        <w:t>2.</w:t>
      </w:r>
      <w:r>
        <w:tab/>
        <w:t>Public telephone facility</w:t>
      </w:r>
      <w:bookmarkEnd w:id="67"/>
    </w:p>
    <w:p>
      <w:pPr>
        <w:pStyle w:val="ySubsection"/>
      </w:pPr>
      <w:r>
        <w:tab/>
      </w:r>
      <w:r>
        <w:tab/>
        <w:t xml:space="preserve">Supply of electricity to a standard public telephone facility where supply is not independently metered comprises a charge of </w:t>
      </w:r>
      <w:r>
        <w:rPr>
          <w:szCs w:val="22"/>
        </w:rPr>
        <w:t>64.7219</w:t>
      </w:r>
      <w:r>
        <w:t xml:space="preserve"> cents per day.</w:t>
      </w:r>
    </w:p>
    <w:p>
      <w:pPr>
        <w:pStyle w:val="yFootnotesection"/>
      </w:pPr>
      <w:r>
        <w:tab/>
        <w:t>[Clause 2 inserted: Gazette 21 Jun 2019 p. 2126.]</w:t>
      </w:r>
    </w:p>
    <w:p>
      <w:pPr>
        <w:pStyle w:val="yHeading5"/>
      </w:pPr>
      <w:bookmarkStart w:id="68" w:name="_Toc12281568"/>
      <w:r>
        <w:rPr>
          <w:rStyle w:val="CharSClsNo"/>
        </w:rPr>
        <w:t>3</w:t>
      </w:r>
      <w:r>
        <w:t>.</w:t>
      </w:r>
      <w:r>
        <w:tab/>
        <w:t>Railway crossing</w:t>
      </w:r>
      <w:bookmarkEnd w:id="68"/>
    </w:p>
    <w:p>
      <w:pPr>
        <w:pStyle w:val="ySubsection"/>
      </w:pPr>
      <w:r>
        <w:tab/>
      </w:r>
      <w:r>
        <w:tab/>
        <w:t xml:space="preserve">Supply of electricity to standard railway crossing lights comprises a charge of </w:t>
      </w:r>
      <w:r>
        <w:rPr>
          <w:szCs w:val="22"/>
        </w:rPr>
        <w:t xml:space="preserve">82.7103 </w:t>
      </w:r>
      <w:r>
        <w:t>cents per day.</w:t>
      </w:r>
    </w:p>
    <w:p>
      <w:pPr>
        <w:pStyle w:val="yFootnotesection"/>
      </w:pPr>
      <w:r>
        <w:tab/>
        <w:t>[Clause 3 inserted: Gazette 21 Jun 2019 p. 2126.]</w:t>
      </w:r>
    </w:p>
    <w:p>
      <w:pPr>
        <w:pStyle w:val="yScheduleHeading"/>
      </w:pPr>
      <w:bookmarkStart w:id="69" w:name="_Toc518907091"/>
      <w:bookmarkStart w:id="70" w:name="_Toc518907461"/>
      <w:bookmarkStart w:id="71" w:name="_Toc526414407"/>
      <w:bookmarkStart w:id="72" w:name="_Toc526414758"/>
      <w:bookmarkStart w:id="73" w:name="_Toc526428390"/>
      <w:bookmarkStart w:id="74" w:name="_Toc11936108"/>
      <w:bookmarkStart w:id="75" w:name="_Toc11936172"/>
      <w:bookmarkStart w:id="76" w:name="_Toc12281313"/>
      <w:bookmarkStart w:id="77" w:name="_Toc1228156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SchNo"/>
        </w:rPr>
        <w:t>Schedule 3</w:t>
      </w:r>
      <w:r>
        <w:rPr>
          <w:rStyle w:val="CharSDivNo"/>
        </w:rPr>
        <w:t> </w:t>
      </w:r>
      <w:r>
        <w:t>—</w:t>
      </w:r>
      <w:r>
        <w:rPr>
          <w:rStyle w:val="CharSDivText"/>
        </w:rPr>
        <w:t> </w:t>
      </w:r>
      <w:r>
        <w:rPr>
          <w:rStyle w:val="CharSchText"/>
        </w:rPr>
        <w:t>Meter rental</w:t>
      </w:r>
      <w:bookmarkEnd w:id="61"/>
      <w:bookmarkEnd w:id="69"/>
      <w:bookmarkEnd w:id="70"/>
      <w:bookmarkEnd w:id="71"/>
      <w:bookmarkEnd w:id="72"/>
      <w:bookmarkEnd w:id="73"/>
      <w:bookmarkEnd w:id="74"/>
      <w:bookmarkEnd w:id="75"/>
      <w:bookmarkEnd w:id="76"/>
      <w:bookmarkEnd w:id="77"/>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8" w:name="_Toc12281314"/>
      <w:bookmarkStart w:id="79" w:name="_Toc12281570"/>
      <w:bookmarkStart w:id="80" w:name="_Toc515013357"/>
      <w:bookmarkStart w:id="81" w:name="_Toc515013380"/>
      <w:bookmarkStart w:id="82" w:name="_Toc515029234"/>
      <w:bookmarkStart w:id="83" w:name="_Toc515267998"/>
      <w:bookmarkStart w:id="84" w:name="_Toc515268021"/>
      <w:bookmarkStart w:id="85" w:name="_Toc515268044"/>
      <w:bookmarkStart w:id="86" w:name="_Toc515268122"/>
      <w:bookmarkStart w:id="87" w:name="_Toc517880645"/>
      <w:bookmarkStart w:id="88" w:name="_Toc518907092"/>
      <w:bookmarkStart w:id="89" w:name="_Toc518907462"/>
      <w:bookmarkStart w:id="90" w:name="_Toc526414408"/>
      <w:bookmarkStart w:id="91" w:name="_Toc526414759"/>
      <w:bookmarkStart w:id="92" w:name="_Toc526428391"/>
      <w:bookmarkStart w:id="93" w:name="_Toc11936109"/>
      <w:bookmarkStart w:id="94" w:name="_Toc11936173"/>
      <w:bookmarkStart w:id="95" w:name="_Toc506543789"/>
      <w:r>
        <w:rPr>
          <w:rStyle w:val="CharSchNo"/>
        </w:rPr>
        <w:t>Schedule 4</w:t>
      </w:r>
      <w:r>
        <w:rPr>
          <w:rStyle w:val="CharSDivNo"/>
        </w:rPr>
        <w:t> </w:t>
      </w:r>
      <w:r>
        <w:t>—</w:t>
      </w:r>
      <w:r>
        <w:rPr>
          <w:rStyle w:val="CharSDivText"/>
        </w:rPr>
        <w:t> </w:t>
      </w:r>
      <w:r>
        <w:rPr>
          <w:rStyle w:val="CharSchText"/>
        </w:rPr>
        <w:t>Fees</w:t>
      </w:r>
      <w:bookmarkEnd w:id="78"/>
      <w:bookmarkEnd w:id="79"/>
    </w:p>
    <w:p>
      <w:pPr>
        <w:pStyle w:val="yShoulderClause"/>
      </w:pPr>
      <w:r>
        <w:t>[bl. 7]</w:t>
      </w:r>
    </w:p>
    <w:p>
      <w:pPr>
        <w:pStyle w:val="yFootnoteheading"/>
        <w:spacing w:after="120"/>
      </w:pPr>
      <w:r>
        <w:tab/>
        <w:t>[Heading inserted: Gazette 21 Jun 2019 p. 2126.]</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989"/>
                <w:tab w:val="right" w:leader="dot" w:pos="5244"/>
              </w:tabs>
              <w:ind w:left="992" w:hanging="992"/>
            </w:pPr>
            <w:r>
              <w:tab/>
              <w:t>(a)</w:t>
            </w:r>
            <w:r>
              <w:tab/>
              <w:t xml:space="preserve">new installation of three phase meter or replacement of single phase meter with three phase meter </w:t>
            </w:r>
            <w:r>
              <w:tab/>
            </w:r>
          </w:p>
          <w:p>
            <w:pPr>
              <w:pStyle w:val="yTableNAm"/>
              <w:tabs>
                <w:tab w:val="left" w:pos="989"/>
                <w:tab w:val="right" w:leader="dot" w:pos="5244"/>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ind w:left="567" w:hanging="567"/>
            </w:pPr>
            <w:r>
              <w:t>3.</w:t>
            </w:r>
            <w:r>
              <w:tab/>
              <w:t>Non</w:t>
            </w:r>
            <w:r>
              <w:noBreakHyphen/>
              <w:t>refundable reconnection fee where supply has been terminated for non</w:t>
            </w:r>
            <w:r>
              <w:noBreakHyphen/>
              <w:t>payment of charges or for any other lawful reason — </w:t>
            </w:r>
          </w:p>
          <w:p>
            <w:pPr>
              <w:pStyle w:val="yTableNAm"/>
              <w:tabs>
                <w:tab w:val="left" w:pos="989"/>
                <w:tab w:val="right" w:leader="dot" w:pos="5244"/>
              </w:tabs>
              <w:ind w:left="992" w:hanging="992"/>
            </w:pPr>
            <w:r>
              <w:tab/>
              <w:t>(a)</w:t>
            </w:r>
            <w:r>
              <w:tab/>
              <w:t>for urgent reconnection at request of customer (other than life support customer) where the service is performed within a period less than the standard re-energisation timeframe set out in the MSLA</w:t>
            </w:r>
            <w:r>
              <w:tab/>
            </w:r>
          </w:p>
        </w:tc>
        <w:tc>
          <w:tcPr>
            <w:tcW w:w="1276" w:type="dxa"/>
          </w:tcPr>
          <w:p>
            <w:pPr>
              <w:pStyle w:val="yTableNAm"/>
            </w:pPr>
            <w:r>
              <w:br/>
            </w:r>
            <w:r>
              <w:br/>
            </w:r>
          </w:p>
          <w:p>
            <w:pPr>
              <w:pStyle w:val="yTableNAm"/>
            </w:pPr>
            <w:r>
              <w:br/>
            </w:r>
            <w:r>
              <w:br/>
            </w:r>
            <w:r>
              <w:br/>
            </w:r>
            <w:r>
              <w:br/>
              <w:t>$213.76</w:t>
            </w:r>
          </w:p>
        </w:tc>
      </w:tr>
      <w:tr>
        <w:trPr>
          <w:cantSplit/>
        </w:trPr>
        <w:tc>
          <w:tcPr>
            <w:tcW w:w="5528" w:type="dxa"/>
          </w:tcPr>
          <w:p>
            <w:pPr>
              <w:pStyle w:val="yTableNAm"/>
              <w:tabs>
                <w:tab w:val="left" w:pos="989"/>
                <w:tab w:val="right" w:leader="dot" w:pos="5244"/>
              </w:tabs>
              <w:ind w:left="992" w:hanging="992"/>
            </w:pPr>
            <w:r>
              <w:tab/>
              <w:t>(b)</w:t>
            </w:r>
            <w:r>
              <w:tab/>
              <w:t>otherwise</w:t>
            </w:r>
            <w:r>
              <w:tab/>
            </w:r>
          </w:p>
        </w:tc>
        <w:tc>
          <w:tcPr>
            <w:tcW w:w="1276" w:type="dxa"/>
          </w:tcPr>
          <w:p>
            <w:pPr>
              <w:pStyle w:val="yTableNAm"/>
            </w:pPr>
            <w: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989"/>
                <w:tab w:val="right" w:leader="dot" w:pos="5244"/>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989"/>
                <w:tab w:val="right" w:leader="dot" w:pos="5244"/>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$19.65</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$5.30</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$1.20</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21 Jun 2019 p. 2126</w:t>
      </w:r>
      <w:r>
        <w:noBreakHyphen/>
        <w:t>7.]</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96" w:name="_Toc512515419"/>
      <w:bookmarkStart w:id="97" w:name="_Toc518907093"/>
      <w:bookmarkStart w:id="98" w:name="_Toc518907463"/>
      <w:bookmarkStart w:id="99" w:name="_Toc526414409"/>
      <w:bookmarkStart w:id="100" w:name="_Toc526414760"/>
      <w:bookmarkStart w:id="101" w:name="_Toc526428392"/>
      <w:bookmarkStart w:id="102" w:name="_Toc11936110"/>
      <w:bookmarkStart w:id="103" w:name="_Toc11936174"/>
      <w:bookmarkStart w:id="104" w:name="_Toc12281315"/>
      <w:bookmarkStart w:id="105" w:name="_Toc12281571"/>
      <w:r>
        <w:t>Notes</w:t>
      </w:r>
      <w:bookmarkEnd w:id="96"/>
      <w:bookmarkEnd w:id="97"/>
      <w:bookmarkEnd w:id="98"/>
      <w:bookmarkEnd w:id="99"/>
      <w:bookmarkEnd w:id="100"/>
      <w:bookmarkEnd w:id="101"/>
      <w:bookmarkEnd w:id="102"/>
      <w:bookmarkEnd w:id="103"/>
      <w:bookmarkEnd w:id="104"/>
      <w:bookmarkEnd w:id="105"/>
    </w:p>
    <w:p>
      <w:pPr>
        <w:pStyle w:val="nSubsection"/>
      </w:pPr>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06" w:name="_Toc12281572"/>
      <w:r>
        <w:t>Compilation table</w:t>
      </w:r>
      <w:bookmarkEnd w:id="10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keepNext/>
              <w:spacing w:after="40"/>
            </w:pPr>
            <w:r>
              <w:t>30 Jun 2017 p. 3564</w:t>
            </w:r>
            <w:r>
              <w:noBreakHyphen/>
              <w:t>6</w:t>
            </w:r>
          </w:p>
        </w:tc>
        <w:tc>
          <w:tcPr>
            <w:tcW w:w="2694" w:type="dxa"/>
            <w:shd w:val="clear" w:color="auto" w:fill="auto"/>
          </w:tcPr>
          <w:p>
            <w:pPr>
              <w:pStyle w:val="nTable"/>
              <w:keepNext/>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shd w:val="clear" w:color="auto" w:fill="auto"/>
          </w:tcPr>
          <w:p>
            <w:pPr>
              <w:pStyle w:val="nTable"/>
              <w:spacing w:after="40"/>
              <w:rPr>
                <w:caps/>
              </w:rPr>
            </w:pPr>
            <w:r>
              <w:t>26 Jun 2018 p. 2371</w:t>
            </w:r>
            <w:r>
              <w:noBreakHyphen/>
              <w:t>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26 Jun 2018 (see bl. 2);</w:t>
            </w:r>
            <w:r>
              <w:rPr>
                <w:rFonts w:ascii="Times" w:hAnsi="Times"/>
                <w:bCs/>
                <w:snapToGrid w:val="0"/>
                <w:spacing w:val="-2"/>
              </w:rPr>
              <w:br/>
              <w:t>By-laws other than bl. 1 and 2: 1 Jul 2018 (see bl. 2)</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Energy Operators (Electricity Generation and Retail Corporation) (Charges) By-laws 2006</w:t>
            </w:r>
            <w:r>
              <w:rPr>
                <w:rFonts w:ascii="Times" w:hAnsi="Times"/>
                <w:b/>
                <w:bCs/>
                <w:snapToGrid w:val="0"/>
                <w:spacing w:val="-2"/>
              </w:rPr>
              <w:t xml:space="preserve"> as at 28 Sep 2018</w:t>
            </w:r>
            <w:r>
              <w:rPr>
                <w:rFonts w:ascii="Times" w:hAnsi="Times"/>
                <w:bCs/>
                <w:snapToGrid w:val="0"/>
                <w:spacing w:val="-2"/>
              </w:rPr>
              <w:t xml:space="preserve"> (includes amendments listed above)</w:t>
            </w:r>
          </w:p>
        </w:tc>
      </w:tr>
      <w:tr>
        <w:tc>
          <w:tcPr>
            <w:tcW w:w="3118" w:type="dxa"/>
            <w:tcBorders>
              <w:bottom w:val="single" w:sz="4" w:space="0" w:color="auto"/>
            </w:tcBorders>
            <w:shd w:val="clear" w:color="auto" w:fill="auto"/>
          </w:tcPr>
          <w:p>
            <w:pPr>
              <w:pStyle w:val="nTable"/>
              <w:spacing w:after="40"/>
            </w:pPr>
            <w:r>
              <w:rPr>
                <w:i/>
              </w:rPr>
              <w:t xml:space="preserve">Energy Operators (Electricity Generation and Retail Corporation) (Charges) Amendment By-laws 2019 </w:t>
            </w:r>
            <w:r>
              <w:t>bl. 1</w:t>
            </w:r>
            <w:r>
              <w:noBreakHyphen/>
              <w:t>4 and 6</w:t>
            </w:r>
            <w:r>
              <w:noBreakHyphen/>
              <w:t>7</w:t>
            </w:r>
          </w:p>
        </w:tc>
        <w:tc>
          <w:tcPr>
            <w:tcW w:w="1276" w:type="dxa"/>
            <w:tcBorders>
              <w:bottom w:val="single" w:sz="4" w:space="0" w:color="auto"/>
            </w:tcBorders>
            <w:shd w:val="clear" w:color="auto" w:fill="auto"/>
          </w:tcPr>
          <w:p>
            <w:pPr>
              <w:pStyle w:val="nTable"/>
              <w:spacing w:after="40"/>
              <w:rPr>
                <w:caps/>
              </w:rPr>
            </w:pPr>
            <w:r>
              <w:t>21 Jun 2019 p. 2119</w:t>
            </w:r>
            <w:r>
              <w:noBreakHyphen/>
              <w:t>27</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bl. 1 and 2: 21 Jun 2019 (see bl. 2(a));</w:t>
            </w:r>
            <w:r>
              <w:rPr>
                <w:rFonts w:ascii="Times" w:hAnsi="Times"/>
                <w:bCs/>
                <w:snapToGrid w:val="0"/>
                <w:spacing w:val="-2"/>
              </w:rPr>
              <w:br/>
              <w:t>By-laws other than bl. 1, 2 and 5: 1 Jul 2019 (see bl.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 w:name="_Toc12281573"/>
      <w:r>
        <w:t>Provisions that have not come into operation</w:t>
      </w:r>
      <w:bookmarkEnd w:id="1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Energy Operators (Electricity Generation and Retail Corporation) (Charges) Amendment By-laws 2019</w:t>
            </w:r>
            <w:r>
              <w:t xml:space="preserve"> bl. 5</w:t>
            </w:r>
            <w:r>
              <w:rPr>
                <w:vertAlign w:val="superscript"/>
              </w:rPr>
              <w:t> 4</w:t>
            </w:r>
          </w:p>
        </w:tc>
        <w:tc>
          <w:tcPr>
            <w:tcW w:w="1276" w:type="dxa"/>
          </w:tcPr>
          <w:p>
            <w:pPr>
              <w:pStyle w:val="nTable"/>
              <w:spacing w:after="40"/>
            </w:pPr>
            <w:r>
              <w:t>21 Jun 2019 p. 2119</w:t>
            </w:r>
            <w:r>
              <w:noBreakHyphen/>
              <w:t>27</w:t>
            </w:r>
          </w:p>
        </w:tc>
        <w:tc>
          <w:tcPr>
            <w:tcW w:w="2693" w:type="dxa"/>
          </w:tcPr>
          <w:p>
            <w:pPr>
              <w:pStyle w:val="nTable"/>
              <w:spacing w:after="40"/>
            </w:pPr>
            <w:r>
              <w:t>1 Sep 2019 (see bl. 2(b))</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Pr>
        <w:pStyle w:val="nSubsection"/>
        <w:keepNext/>
      </w:pPr>
      <w:r>
        <w:rPr>
          <w:vertAlign w:val="superscript"/>
        </w:rPr>
        <w:t>4</w:t>
      </w:r>
      <w:r>
        <w:tab/>
        <w:t xml:space="preserve">On the date as at which this compilation was prepared, the </w:t>
      </w:r>
      <w:r>
        <w:rPr>
          <w:i/>
        </w:rPr>
        <w:t>Energy Operators (Electricity Generation and Retail Corporation) (Charges) Amendment By</w:t>
      </w:r>
      <w:r>
        <w:rPr>
          <w:i/>
        </w:rPr>
        <w:noBreakHyphen/>
        <w:t>laws 2019</w:t>
      </w:r>
      <w:r>
        <w:t xml:space="preserve"> bl. 5 had not come into operation.  It reads as follows:</w:t>
      </w:r>
    </w:p>
    <w:p>
      <w:pPr>
        <w:pStyle w:val="BlankOpen"/>
      </w:pPr>
    </w:p>
    <w:p>
      <w:pPr>
        <w:pStyle w:val="nzHeading5"/>
      </w:pPr>
      <w:bookmarkStart w:id="108" w:name="_Toc8976110"/>
      <w:bookmarkStart w:id="109" w:name="_Toc10536540"/>
      <w:r>
        <w:rPr>
          <w:rStyle w:val="CharSectno"/>
        </w:rPr>
        <w:t>5</w:t>
      </w:r>
      <w:r>
        <w:t>.</w:t>
      </w:r>
      <w:r>
        <w:tab/>
        <w:t>By</w:t>
      </w:r>
      <w:r>
        <w:noBreakHyphen/>
        <w:t>law 10 amended</w:t>
      </w:r>
      <w:bookmarkEnd w:id="108"/>
      <w:bookmarkEnd w:id="109"/>
    </w:p>
    <w:p>
      <w:pPr>
        <w:pStyle w:val="nzSubsection"/>
      </w:pPr>
      <w:r>
        <w:tab/>
      </w:r>
      <w:r>
        <w:tab/>
        <w:t>Delete by</w:t>
      </w:r>
      <w:r>
        <w:noBreakHyphen/>
        <w:t>law 10(2).</w:t>
      </w: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1" w:name="_Toc512515421"/>
      <w:bookmarkStart w:id="112" w:name="_Toc518907095"/>
      <w:bookmarkStart w:id="113" w:name="_Toc518907465"/>
      <w:bookmarkStart w:id="114" w:name="_Toc526414411"/>
      <w:bookmarkStart w:id="115" w:name="_Toc526414762"/>
      <w:bookmarkStart w:id="116" w:name="_Toc526428394"/>
      <w:bookmarkStart w:id="117" w:name="_Toc11936113"/>
      <w:bookmarkStart w:id="118" w:name="_Toc11936177"/>
      <w:bookmarkStart w:id="119" w:name="_Toc12281318"/>
      <w:bookmarkStart w:id="120" w:name="_Toc12281574"/>
      <w:r>
        <w:rPr>
          <w:sz w:val="28"/>
        </w:rPr>
        <w:t>Defined terms</w:t>
      </w:r>
      <w:bookmarkEnd w:id="111"/>
      <w:bookmarkEnd w:id="112"/>
      <w:bookmarkEnd w:id="113"/>
      <w:bookmarkEnd w:id="114"/>
      <w:bookmarkEnd w:id="115"/>
      <w:bookmarkEnd w:id="116"/>
      <w:bookmarkEnd w:id="117"/>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6120024"/>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nzy">
    <w:name w:val="nzy"/>
    <w:basedOn w:val="yTableNAm"/>
    <w:rPr>
      <w:b/>
      <w:bCs/>
      <w:sz w:val="16"/>
      <w:szCs w:val="16"/>
    </w:rPr>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nzy">
    <w:name w:val="nzy"/>
    <w:basedOn w:val="yTableNAm"/>
    <w:rPr>
      <w:b/>
      <w:bCs/>
      <w:sz w:val="16"/>
      <w:szCs w:val="16"/>
    </w:rPr>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4929</Words>
  <Characters>24300</Characters>
  <Application>Microsoft Office Word</Application>
  <DocSecurity>0</DocSecurity>
  <Lines>1012</Lines>
  <Paragraphs>679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2006 - 04-c0-00</dc:title>
  <dc:subject/>
  <dc:creator/>
  <cp:keywords/>
  <dc:description/>
  <cp:lastModifiedBy>svcMRProcess</cp:lastModifiedBy>
  <cp:revision>4</cp:revision>
  <cp:lastPrinted>2019-06-24T07:01:00Z</cp:lastPrinted>
  <dcterms:created xsi:type="dcterms:W3CDTF">2020-02-24T16:14:00Z</dcterms:created>
  <dcterms:modified xsi:type="dcterms:W3CDTF">2020-02-24T16:14:00Z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01 Jul 2019</vt:lpwstr>
  </property>
  <property fmtid="{D5CDD505-2E9C-101B-9397-08002B2CF9AE}" pid="8" name="Suffix">
    <vt:lpwstr>04-c0-00</vt:lpwstr>
  </property>
  <property fmtid="{D5CDD505-2E9C-101B-9397-08002B2CF9AE}" pid="9" name="CommencementDate">
    <vt:lpwstr>20190701</vt:lpwstr>
  </property>
</Properties>
</file>