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_Toc378769809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_Toc378769810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Section 13 statement</w:t>
      </w:r>
      <w:r>
        <w:tab/>
      </w:r>
      <w:r>
        <w:fldChar w:fldCharType="begin"/>
      </w:r>
      <w:r>
        <w:instrText xml:space="preserve"> PAGEREF _Toc378769811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_Toc378769812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 prescribed information</w:t>
      </w:r>
      <w:r>
        <w:tab/>
      </w:r>
      <w:r>
        <w:fldChar w:fldCharType="begin"/>
      </w:r>
      <w:r>
        <w:instrText xml:space="preserve"> PAGEREF _Toc378769813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_Toc378769814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_Toc378769815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_Toc378769819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5"/>
        <w:rPr>
          <w:snapToGrid w:val="0"/>
        </w:rPr>
      </w:pPr>
      <w:bookmarkStart w:id="1" w:name="_Toc37876980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2" w:name="_Toc37876981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Ednotesection"/>
      </w:pPr>
      <w:r>
        <w:t>[</w:t>
      </w:r>
      <w:r>
        <w:rPr>
          <w:b/>
        </w:rPr>
        <w:t>3.</w:t>
      </w:r>
      <w:r>
        <w:tab/>
      </w:r>
      <w:r>
        <w:tab/>
        <w:t>Deleted in Gazette 30 Dec 2004 p. 6925.]</w:t>
      </w:r>
    </w:p>
    <w:p>
      <w:pPr>
        <w:pStyle w:val="Heading5"/>
        <w:rPr>
          <w:snapToGrid w:val="0"/>
        </w:rPr>
      </w:pPr>
      <w:bookmarkStart w:id="3" w:name="_Toc378769811"/>
      <w:r>
        <w:rPr>
          <w:rStyle w:val="CharSectno"/>
        </w:rPr>
        <w:t>4</w:t>
      </w:r>
      <w:r>
        <w:rPr>
          <w:snapToGrid w:val="0"/>
        </w:rPr>
        <w:t>.</w:t>
      </w:r>
      <w:r>
        <w:rPr>
          <w:snapToGrid w:val="0"/>
        </w:rPr>
        <w:tab/>
        <w:t>Section 13 statement</w:t>
      </w:r>
      <w:bookmarkEnd w:id="3"/>
      <w:r>
        <w:rPr>
          <w:snapToGrid w:val="0"/>
        </w:rPr>
        <w:t xml:space="preserve"> </w:t>
      </w:r>
    </w:p>
    <w:p>
      <w:pPr>
        <w:pStyle w:val="Subsection"/>
        <w:rPr>
          <w:snapToGrid w:val="0"/>
        </w:rPr>
      </w:pPr>
      <w:r>
        <w:rPr>
          <w:snapToGrid w:val="0"/>
        </w:rPr>
        <w:tab/>
      </w:r>
      <w:r>
        <w:rPr>
          <w:snapToGrid w:val="0"/>
        </w:rPr>
        <w:tab/>
        <w:t>At least 5 working days before a person enters into a residence contract, the owner shall cause to be given to that person a statement in the form of Form 1 in Schedule 1 completed and signed by the owner containing the information required to be provided under that form.</w:t>
      </w:r>
    </w:p>
    <w:p>
      <w:pPr>
        <w:pStyle w:val="Heading5"/>
        <w:rPr>
          <w:snapToGrid w:val="0"/>
        </w:rPr>
      </w:pPr>
      <w:bookmarkStart w:id="4" w:name="_Toc378769812"/>
      <w:r>
        <w:rPr>
          <w:rStyle w:val="CharSectno"/>
        </w:rPr>
        <w:t>5</w:t>
      </w:r>
      <w:r>
        <w:rPr>
          <w:snapToGrid w:val="0"/>
        </w:rPr>
        <w:t>.</w:t>
      </w:r>
      <w:r>
        <w:rPr>
          <w:snapToGrid w:val="0"/>
        </w:rPr>
        <w:tab/>
        <w:t>Section 13 notice</w:t>
      </w:r>
      <w:bookmarkEnd w:id="4"/>
      <w:r>
        <w:rPr>
          <w:snapToGrid w:val="0"/>
        </w:rPr>
        <w:t xml:space="preserve"> </w:t>
      </w:r>
    </w:p>
    <w:p>
      <w:pPr>
        <w:pStyle w:val="Subsection"/>
        <w:rPr>
          <w:snapToGrid w:val="0"/>
        </w:rPr>
      </w:pPr>
      <w:r>
        <w:rPr>
          <w:snapToGrid w:val="0"/>
        </w:rPr>
        <w:tab/>
        <w:t>(1)</w:t>
      </w:r>
      <w:r>
        <w:rPr>
          <w:snapToGrid w:val="0"/>
        </w:rPr>
        <w:tab/>
        <w:t>At least 5 working days before a person enters into a residence contract, the owner shall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shall be printed in a size not less than 12 point type face.</w:t>
      </w:r>
    </w:p>
    <w:p>
      <w:pPr>
        <w:pStyle w:val="Heading5"/>
        <w:rPr>
          <w:snapToGrid w:val="0"/>
        </w:rPr>
      </w:pPr>
      <w:bookmarkStart w:id="5" w:name="_Toc378769813"/>
      <w:r>
        <w:rPr>
          <w:rStyle w:val="CharSectno"/>
        </w:rPr>
        <w:t>6</w:t>
      </w:r>
      <w:r>
        <w:rPr>
          <w:snapToGrid w:val="0"/>
        </w:rPr>
        <w:t>.</w:t>
      </w:r>
      <w:r>
        <w:rPr>
          <w:snapToGrid w:val="0"/>
        </w:rPr>
        <w:tab/>
        <w:t>Memorial — prescribed information</w:t>
      </w:r>
      <w:bookmarkEnd w:id="5"/>
      <w:r>
        <w:rPr>
          <w:snapToGrid w:val="0"/>
        </w:rPr>
        <w:t xml:space="preserve"> </w:t>
      </w:r>
    </w:p>
    <w:p>
      <w:pPr>
        <w:pStyle w:val="Subsection"/>
        <w:rPr>
          <w:snapToGrid w:val="0"/>
        </w:rPr>
      </w:pPr>
      <w:r>
        <w:rPr>
          <w:snapToGrid w:val="0"/>
        </w:rPr>
        <w:tab/>
      </w:r>
      <w:r>
        <w:rPr>
          <w:snapToGrid w:val="0"/>
        </w:rPr>
        <w:tab/>
        <w:t>The memorial approved by the Registrar of Titles under section 15(3) of the Act shall contain the following information — </w:t>
      </w:r>
    </w:p>
    <w:p>
      <w:pPr>
        <w:pStyle w:val="Indenta"/>
        <w:rPr>
          <w:snapToGrid w:val="0"/>
        </w:rPr>
      </w:pPr>
      <w:r>
        <w:rPr>
          <w:snapToGrid w:val="0"/>
        </w:rPr>
        <w:tab/>
        <w:t>(a)</w:t>
      </w:r>
      <w:r>
        <w:rPr>
          <w:snapToGrid w:val="0"/>
        </w:rPr>
        <w:tab/>
        <w:t>a description of the relevant land;</w:t>
      </w:r>
    </w:p>
    <w:p>
      <w:pPr>
        <w:pStyle w:val="Indenta"/>
        <w:rPr>
          <w:snapToGrid w:val="0"/>
        </w:rPr>
      </w:pPr>
      <w:r>
        <w:rPr>
          <w:snapToGrid w:val="0"/>
        </w:rPr>
        <w:tab/>
        <w:t>(b)</w:t>
      </w:r>
      <w:r>
        <w:rPr>
          <w:snapToGrid w:val="0"/>
        </w:rPr>
        <w:tab/>
        <w:t>the name of the registered proprietor of the land; and</w:t>
      </w:r>
    </w:p>
    <w:p>
      <w:pPr>
        <w:pStyle w:val="Indenta"/>
        <w:rPr>
          <w:snapToGrid w:val="0"/>
        </w:rPr>
      </w:pPr>
      <w:r>
        <w:rPr>
          <w:snapToGrid w:val="0"/>
        </w:rPr>
        <w:tab/>
        <w:t>(c)</w:t>
      </w:r>
      <w:r>
        <w:rPr>
          <w:snapToGrid w:val="0"/>
        </w:rPr>
        <w:tab/>
        <w:t>the date on which the memorial was lodged.</w:t>
      </w:r>
    </w:p>
    <w:p>
      <w:pPr>
        <w:pStyle w:val="Heading5"/>
        <w:rPr>
          <w:snapToGrid w:val="0"/>
        </w:rPr>
      </w:pPr>
      <w:bookmarkStart w:id="6" w:name="_Toc378769814"/>
      <w:r>
        <w:rPr>
          <w:rStyle w:val="CharSectno"/>
        </w:rPr>
        <w:t>7</w:t>
      </w:r>
      <w:r>
        <w:rPr>
          <w:snapToGrid w:val="0"/>
        </w:rPr>
        <w:t>.</w:t>
      </w:r>
      <w:r>
        <w:rPr>
          <w:snapToGrid w:val="0"/>
        </w:rPr>
        <w:tab/>
        <w:t>Disposal of abandoned goods</w:t>
      </w:r>
      <w:bookmarkEnd w:id="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shall store them in a safe place and manner for a period of not less than 60 days.</w:t>
      </w:r>
    </w:p>
    <w:p>
      <w:pPr>
        <w:pStyle w:val="Subsection"/>
        <w:rPr>
          <w:snapToGrid w:val="0"/>
        </w:rPr>
      </w:pPr>
      <w:r>
        <w:rPr>
          <w:snapToGrid w:val="0"/>
        </w:rPr>
        <w:tab/>
        <w:t>(3)</w:t>
      </w:r>
      <w:r>
        <w:rPr>
          <w:snapToGrid w:val="0"/>
        </w:rPr>
        <w:tab/>
        <w:t>An administering body shall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shall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shall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w:t>
      </w:r>
    </w:p>
    <w:p>
      <w:pPr>
        <w:pStyle w:val="Heading5"/>
        <w:rPr>
          <w:snapToGrid w:val="0"/>
        </w:rPr>
      </w:pPr>
      <w:bookmarkStart w:id="7" w:name="_Toc378769815"/>
      <w:r>
        <w:rPr>
          <w:rStyle w:val="CharSectno"/>
        </w:rPr>
        <w:t>8</w:t>
      </w:r>
      <w:r>
        <w:rPr>
          <w:snapToGrid w:val="0"/>
        </w:rPr>
        <w:t>.</w:t>
      </w:r>
      <w:r>
        <w:rPr>
          <w:snapToGrid w:val="0"/>
        </w:rPr>
        <w:tab/>
        <w:t>Proceeds of sale of abandoned goods</w:t>
      </w:r>
      <w:bookmarkEnd w:id="7"/>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shall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w:t>
      </w:r>
    </w:p>
    <w:p>
      <w:pPr>
        <w:pStyle w:val="Ednotesection"/>
      </w:pPr>
      <w:r>
        <w:t>[</w:t>
      </w:r>
      <w:r>
        <w:rPr>
          <w:b/>
        </w:rPr>
        <w:t>9, 10.</w:t>
      </w:r>
      <w:r>
        <w:tab/>
        <w:t>Deleted in Gazette 30 Dec 2004 p. 6925.]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 w:name="_Toc378769816"/>
      <w:r>
        <w:rPr>
          <w:rStyle w:val="CharSchNo"/>
        </w:rPr>
        <w:t>Schedule 1</w:t>
      </w:r>
      <w:bookmarkEnd w:id="8"/>
      <w:r>
        <w:rPr>
          <w:rStyle w:val="CharSchText"/>
        </w:rPr>
        <w:t xml:space="preserve"> </w:t>
      </w:r>
    </w:p>
    <w:p>
      <w:pPr>
        <w:pStyle w:val="yHeading2"/>
        <w:outlineLvl w:val="9"/>
        <w:rPr>
          <w:b w:val="0"/>
          <w:snapToGrid/>
          <w:sz w:val="24"/>
        </w:rPr>
      </w:pPr>
      <w:bookmarkStart w:id="9" w:name="_Toc378769817"/>
      <w:r>
        <w:rPr>
          <w:rStyle w:val="CharSchText"/>
        </w:rPr>
        <w:t>Forms</w:t>
      </w:r>
      <w:bookmarkEnd w:id="9"/>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 xml:space="preserve"> [Form 1 inserted in Gazette 9 Sep 2003 p. 4047-52.]</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The owner should give you this form at least 5 working days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at least 5 working days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at any time within 5 working days after the date of the contract; or</w:t>
      </w:r>
    </w:p>
    <w:p>
      <w:pPr>
        <w:pStyle w:val="yTable"/>
        <w:tabs>
          <w:tab w:val="left" w:pos="567"/>
        </w:tabs>
        <w:spacing w:before="50"/>
        <w:ind w:left="1134" w:hanging="1134"/>
        <w:rPr>
          <w:snapToGrid w:val="0"/>
        </w:rPr>
      </w:pPr>
      <w:r>
        <w:rPr>
          <w:snapToGrid w:val="0"/>
        </w:rPr>
        <w:tab/>
        <w:t>(b)</w:t>
      </w:r>
      <w:r>
        <w:rPr>
          <w:snapToGrid w:val="0"/>
        </w:rPr>
        <w:tab/>
        <w:t>if the documents required to be provided under section 13(2) are not provided — at any time before the expiration of 10 working days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[Form 2 amended in Gazette 30 Dec 2004 p. 6926.]</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tabs>
          <w:tab w:val="clear" w:pos="893"/>
        </w:tabs>
        <w:ind w:left="0" w:firstLine="0"/>
      </w:pPr>
      <w:r>
        <w:t>[Schedule 1 amended in Gazette 8 Jan 1993 p. 26</w:t>
      </w:r>
      <w:r>
        <w:noBreakHyphen/>
        <w:t>7; 30 Sep 1998 p. 5506</w:t>
      </w:r>
      <w:r>
        <w:noBreakHyphen/>
        <w:t xml:space="preserve">9; 9 Sep 2003 p. 4047-52; 30 Dec 2004 p. 6926.] </w:t>
      </w:r>
    </w:p>
    <w:p>
      <w:pPr>
        <w:pStyle w:val="yFootnotesection"/>
        <w:spacing w:before="400"/>
      </w:pPr>
      <w:r>
        <w:t>[Schedule 2 repealed in Gazette 30 Dec 2004 p. 6926.]</w:t>
      </w:r>
    </w:p>
    <w:p>
      <w:pPr>
        <w:pStyle w:val="CentredBaseLine"/>
        <w:jc w:val="center"/>
        <w:sectPr>
          <w:headerReference w:type="even" r:id="rId26"/>
          <w:headerReference w:type="default" r:id="rId27"/>
          <w:headerReference w:type="first" r:id="rId28"/>
          <w:pgSz w:w="11906" w:h="16838" w:code="9"/>
          <w:pgMar w:top="2381" w:right="2410" w:bottom="3544" w:left="2410" w:header="720" w:footer="3380" w:gutter="0"/>
          <w:cols w:space="720"/>
          <w:noEndnote/>
          <w:docGrid w:linePitch="326"/>
        </w:sectPr>
      </w:pPr>
    </w:p>
    <w:p>
      <w:pPr>
        <w:pStyle w:val="nHeading2"/>
      </w:pPr>
      <w:bookmarkStart w:id="10" w:name="_Toc378769818"/>
      <w:r>
        <w:t>Notes</w:t>
      </w:r>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78769819"/>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Retirement Villages Regulations 1992</w:t>
            </w:r>
          </w:p>
        </w:tc>
        <w:tc>
          <w:tcPr>
            <w:tcW w:w="1276" w:type="dxa"/>
          </w:tcPr>
          <w:p>
            <w:pPr>
              <w:pStyle w:val="nTable"/>
              <w:spacing w:after="40"/>
              <w:rPr>
                <w:sz w:val="19"/>
              </w:rPr>
            </w:pPr>
            <w:r>
              <w:rPr>
                <w:sz w:val="19"/>
              </w:rPr>
              <w:t>10 Jul 1992 p. 3191</w:t>
            </w:r>
            <w:r>
              <w:rPr>
                <w:sz w:val="19"/>
              </w:rPr>
              <w:noBreakHyphen/>
              <w:t>8</w:t>
            </w:r>
          </w:p>
        </w:tc>
        <w:tc>
          <w:tcPr>
            <w:tcW w:w="2693" w:type="dxa"/>
          </w:tcPr>
          <w:p>
            <w:pPr>
              <w:pStyle w:val="nTable"/>
              <w:spacing w:after="40"/>
              <w:rPr>
                <w:sz w:val="19"/>
              </w:rPr>
            </w:pPr>
            <w:r>
              <w:rPr>
                <w:sz w:val="19"/>
              </w:rPr>
              <w:t xml:space="preserve">10 Jul 1992 (see r. 2 and </w:t>
            </w:r>
            <w:r>
              <w:rPr>
                <w:i/>
                <w:sz w:val="19"/>
              </w:rPr>
              <w:t>Gazette</w:t>
            </w:r>
            <w:r>
              <w:rPr>
                <w:sz w:val="19"/>
              </w:rPr>
              <w:t xml:space="preserve"> 10 Jul 1992 p. 3185)</w:t>
            </w:r>
          </w:p>
        </w:tc>
      </w:tr>
      <w:tr>
        <w:tc>
          <w:tcPr>
            <w:tcW w:w="3118" w:type="dxa"/>
          </w:tcPr>
          <w:p>
            <w:pPr>
              <w:pStyle w:val="nTable"/>
              <w:spacing w:after="40"/>
              <w:rPr>
                <w:sz w:val="19"/>
              </w:rPr>
            </w:pPr>
            <w:r>
              <w:rPr>
                <w:i/>
                <w:sz w:val="19"/>
              </w:rPr>
              <w:t>Retirement Villages Amendment Regulations 1993</w:t>
            </w:r>
          </w:p>
        </w:tc>
        <w:tc>
          <w:tcPr>
            <w:tcW w:w="1276" w:type="dxa"/>
          </w:tcPr>
          <w:p>
            <w:pPr>
              <w:pStyle w:val="nTable"/>
              <w:spacing w:after="40"/>
              <w:rPr>
                <w:sz w:val="19"/>
              </w:rPr>
            </w:pPr>
            <w:r>
              <w:rPr>
                <w:sz w:val="19"/>
              </w:rPr>
              <w:t>8 Jan 1993 p. 26</w:t>
            </w:r>
            <w:r>
              <w:rPr>
                <w:sz w:val="19"/>
              </w:rPr>
              <w:noBreakHyphen/>
              <w:t>7</w:t>
            </w:r>
          </w:p>
        </w:tc>
        <w:tc>
          <w:tcPr>
            <w:tcW w:w="2693" w:type="dxa"/>
          </w:tcPr>
          <w:p>
            <w:pPr>
              <w:pStyle w:val="nTable"/>
              <w:spacing w:after="40"/>
              <w:rPr>
                <w:sz w:val="19"/>
              </w:rPr>
            </w:pPr>
            <w:r>
              <w:rPr>
                <w:sz w:val="19"/>
              </w:rPr>
              <w:t>10 Jan 1993 (see r. 2)</w:t>
            </w:r>
          </w:p>
        </w:tc>
      </w:tr>
      <w:tr>
        <w:tc>
          <w:tcPr>
            <w:tcW w:w="3118" w:type="dxa"/>
          </w:tcPr>
          <w:p>
            <w:pPr>
              <w:pStyle w:val="nTable"/>
              <w:spacing w:after="40"/>
              <w:rPr>
                <w:sz w:val="19"/>
              </w:rPr>
            </w:pPr>
            <w:r>
              <w:rPr>
                <w:i/>
                <w:sz w:val="19"/>
              </w:rPr>
              <w:t>Retirement Villages Amendment Regulations 1998</w:t>
            </w:r>
          </w:p>
        </w:tc>
        <w:tc>
          <w:tcPr>
            <w:tcW w:w="1276" w:type="dxa"/>
          </w:tcPr>
          <w:p>
            <w:pPr>
              <w:pStyle w:val="nTable"/>
              <w:spacing w:after="40"/>
              <w:rPr>
                <w:sz w:val="19"/>
              </w:rPr>
            </w:pPr>
            <w:r>
              <w:rPr>
                <w:sz w:val="19"/>
              </w:rPr>
              <w:t>30 Sep 1998 p. 5506</w:t>
            </w:r>
            <w:r>
              <w:rPr>
                <w:sz w:val="19"/>
              </w:rPr>
              <w:noBreakHyphen/>
              <w:t>9</w:t>
            </w:r>
          </w:p>
        </w:tc>
        <w:tc>
          <w:tcPr>
            <w:tcW w:w="2693" w:type="dxa"/>
          </w:tcPr>
          <w:p>
            <w:pPr>
              <w:pStyle w:val="nTable"/>
              <w:spacing w:after="40"/>
              <w:rPr>
                <w:sz w:val="19"/>
              </w:rPr>
            </w:pPr>
            <w:r>
              <w:rPr>
                <w:sz w:val="19"/>
              </w:rPr>
              <w:t>1 Oct 1998 (see r. 2)</w:t>
            </w:r>
          </w:p>
        </w:tc>
      </w:tr>
      <w:tr>
        <w:tc>
          <w:tcPr>
            <w:tcW w:w="3118" w:type="dxa"/>
          </w:tcPr>
          <w:p>
            <w:pPr>
              <w:pStyle w:val="nTable"/>
              <w:spacing w:after="40"/>
              <w:rPr>
                <w:sz w:val="19"/>
                <w:vertAlign w:val="superscript"/>
              </w:rPr>
            </w:pPr>
            <w:r>
              <w:rPr>
                <w:i/>
                <w:sz w:val="19"/>
              </w:rPr>
              <w:t>Retirement Villages Amendment Regulations 2003 </w:t>
            </w:r>
            <w:r>
              <w:rPr>
                <w:sz w:val="19"/>
                <w:vertAlign w:val="superscript"/>
              </w:rPr>
              <w:t>4</w:t>
            </w:r>
          </w:p>
        </w:tc>
        <w:tc>
          <w:tcPr>
            <w:tcW w:w="1276" w:type="dxa"/>
          </w:tcPr>
          <w:p>
            <w:pPr>
              <w:pStyle w:val="nTable"/>
              <w:spacing w:after="40"/>
              <w:rPr>
                <w:sz w:val="19"/>
              </w:rPr>
            </w:pPr>
            <w:r>
              <w:rPr>
                <w:sz w:val="19"/>
              </w:rPr>
              <w:t>9 Sep 2003 p. 4047-52</w:t>
            </w:r>
          </w:p>
        </w:tc>
        <w:tc>
          <w:tcPr>
            <w:tcW w:w="2693" w:type="dxa"/>
          </w:tcPr>
          <w:p>
            <w:pPr>
              <w:pStyle w:val="nTable"/>
              <w:spacing w:after="40"/>
              <w:rPr>
                <w:sz w:val="19"/>
              </w:rPr>
            </w:pPr>
            <w:r>
              <w:rPr>
                <w:sz w:val="19"/>
              </w:rPr>
              <w:t>1 Oct 2003 (see. r. 2)</w:t>
            </w:r>
          </w:p>
        </w:tc>
      </w:tr>
      <w:tr>
        <w:trPr>
          <w:cantSplit/>
        </w:trPr>
        <w:tc>
          <w:tcPr>
            <w:tcW w:w="7087" w:type="dxa"/>
            <w:gridSpan w:val="3"/>
          </w:tcPr>
          <w:p>
            <w:pPr>
              <w:pStyle w:val="nTable"/>
              <w:spacing w:after="40"/>
              <w:rPr>
                <w:sz w:val="19"/>
              </w:rPr>
            </w:pPr>
            <w:r>
              <w:rPr>
                <w:b/>
                <w:sz w:val="19"/>
              </w:rPr>
              <w:t xml:space="preserve">Reprint 1: The </w:t>
            </w:r>
            <w:r>
              <w:rPr>
                <w:b/>
                <w:i/>
                <w:sz w:val="19"/>
              </w:rPr>
              <w:t>Retirement Villages Regulations 1992</w:t>
            </w:r>
            <w:r>
              <w:rPr>
                <w:b/>
                <w:sz w:val="19"/>
              </w:rPr>
              <w:t xml:space="preserve"> as at 7 Nov 2003</w:t>
            </w:r>
            <w:r>
              <w:rPr>
                <w:sz w:val="19"/>
              </w:rPr>
              <w:t xml:space="preserve"> (includes amendments listed above)</w:t>
            </w:r>
          </w:p>
        </w:tc>
      </w:tr>
      <w:tr>
        <w:tc>
          <w:tcPr>
            <w:tcW w:w="3118" w:type="dxa"/>
            <w:tcBorders>
              <w:bottom w:val="single" w:sz="4" w:space="0" w:color="auto"/>
            </w:tcBorders>
          </w:tcPr>
          <w:p>
            <w:pPr>
              <w:pStyle w:val="nTable"/>
              <w:spacing w:after="40"/>
              <w:rPr>
                <w:sz w:val="19"/>
                <w:vertAlign w:val="superscript"/>
              </w:rPr>
            </w:pPr>
            <w:r>
              <w:rPr>
                <w:i/>
                <w:sz w:val="19"/>
              </w:rPr>
              <w:t>Retirement Villages Amendment Regulations 2004</w:t>
            </w:r>
          </w:p>
        </w:tc>
        <w:tc>
          <w:tcPr>
            <w:tcW w:w="1276" w:type="dxa"/>
            <w:tcBorders>
              <w:bottom w:val="single" w:sz="4" w:space="0" w:color="auto"/>
            </w:tcBorders>
          </w:tcPr>
          <w:p>
            <w:pPr>
              <w:pStyle w:val="nTable"/>
              <w:spacing w:after="40"/>
              <w:rPr>
                <w:sz w:val="19"/>
              </w:rPr>
            </w:pPr>
            <w:r>
              <w:rPr>
                <w:sz w:val="19"/>
              </w:rPr>
              <w:t>30 Dec 2004 p. 6925-6</w:t>
            </w:r>
          </w:p>
        </w:tc>
        <w:tc>
          <w:tcPr>
            <w:tcW w:w="2693" w:type="dxa"/>
            <w:tcBorders>
              <w:bottom w:val="single" w:sz="4"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7130)</w:t>
            </w:r>
          </w:p>
        </w:tc>
      </w:tr>
    </w:tbl>
    <w:p>
      <w:pPr>
        <w:spacing w:before="120"/>
        <w:ind w:left="720" w:hanging="720"/>
        <w:rPr>
          <w:sz w:val="20"/>
        </w:rPr>
      </w:pPr>
      <w:r>
        <w:rPr>
          <w:sz w:val="20"/>
          <w:vertAlign w:val="superscript"/>
        </w:rPr>
        <w:t>2</w:t>
      </w:r>
      <w:r>
        <w:rPr>
          <w:sz w:val="20"/>
          <w:vertAlign w:val="superscript"/>
        </w:rPr>
        <w:tab/>
      </w:r>
      <w:r>
        <w:rPr>
          <w:sz w:val="20"/>
        </w:rPr>
        <w:t xml:space="preserve">Under the </w:t>
      </w:r>
      <w:r>
        <w:rPr>
          <w:i/>
          <w:sz w:val="20"/>
        </w:rPr>
        <w:t>Alteration of Stautory Designations Order (No. 3) 2001</w:t>
      </w:r>
      <w:r>
        <w:rPr>
          <w:sz w:val="20"/>
        </w:rPr>
        <w:t xml:space="preserve"> a reference in any law to the Department for Community Welfare is read and construed as a reference to the Department for Community Development.</w:t>
      </w:r>
    </w:p>
    <w:p>
      <w:pPr>
        <w:spacing w:before="80"/>
        <w:ind w:left="720" w:hanging="720"/>
        <w:rPr>
          <w:sz w:val="20"/>
        </w:rPr>
      </w:pPr>
      <w:r>
        <w:rPr>
          <w:sz w:val="20"/>
          <w:vertAlign w:val="superscript"/>
        </w:rPr>
        <w:t>3</w:t>
      </w:r>
      <w:r>
        <w:rPr>
          <w:sz w:val="20"/>
        </w:rPr>
        <w:tab/>
        <w:t xml:space="preserve">Repealed by the </w:t>
      </w:r>
      <w:r>
        <w:rPr>
          <w:i/>
          <w:sz w:val="20"/>
        </w:rPr>
        <w:t>Veterans’ Entitlements Act 1986</w:t>
      </w:r>
      <w:r>
        <w:rPr>
          <w:sz w:val="20"/>
        </w:rPr>
        <w:t xml:space="preserve"> of the Commonwealth.</w:t>
      </w:r>
    </w:p>
    <w:p>
      <w:pPr>
        <w:pStyle w:val="nSubsection"/>
      </w:pPr>
      <w:r>
        <w:rPr>
          <w:vertAlign w:val="superscript"/>
        </w:rPr>
        <w:t>4</w:t>
      </w:r>
      <w:r>
        <w:rPr>
          <w:vertAlign w:val="superscript"/>
        </w:rPr>
        <w:tab/>
      </w:r>
      <w:r>
        <w:tab/>
        <w:t xml:space="preserve">The </w:t>
      </w:r>
      <w:r>
        <w:rPr>
          <w:i/>
        </w:rPr>
        <w:t xml:space="preserve">Retirement Villages Amendment Regulations 2003 </w:t>
      </w:r>
      <w:r>
        <w:t>r. 4(2) reads as follows:</w:t>
      </w:r>
    </w:p>
    <w:p>
      <w:pPr>
        <w:pStyle w:val="MiscOpen"/>
        <w:spacing w:before="80"/>
        <w:ind w:left="425"/>
        <w:rPr>
          <w:sz w:val="20"/>
        </w:rPr>
      </w:pPr>
      <w:r>
        <w:rPr>
          <w:sz w:val="20"/>
        </w:rPr>
        <w:t>“</w:t>
      </w: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pPr>
      <w:r>
        <w:tab/>
        <w:t>(b)</w:t>
      </w:r>
      <w:r>
        <w:tab/>
        <w:t xml:space="preserve">the form it replaced, </w:t>
      </w:r>
    </w:p>
    <w:p>
      <w:pPr>
        <w:pStyle w:val="nzSubsection"/>
      </w:pPr>
      <w:r>
        <w:tab/>
      </w:r>
      <w:r>
        <w:tab/>
        <w:t>is completed and signed.</w:t>
      </w:r>
    </w:p>
    <w:p>
      <w:pPr>
        <w:pStyle w:val="MiscClose"/>
        <w:rPr>
          <w:sz w:val="20"/>
        </w:rPr>
      </w:pPr>
      <w:r>
        <w:rPr>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Retirement Villages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Retirement Villages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Retirement Villages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Retirement Villages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9D23C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6ED8CB8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5"/>
  </w:num>
  <w:num w:numId="17">
    <w:abstractNumId w:val="2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23"/>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51209112823" w:val="RemoveTrackChanges"/>
    <w:docVar w:name="WAFER_20151209112823_GUID" w:val="83f0807c-8826-46e5-9fa5-9cf1accea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3461</Words>
  <Characters>18969</Characters>
  <Application>Microsoft Office Word</Application>
  <DocSecurity>0</DocSecurity>
  <Lines>474</Lines>
  <Paragraphs>299</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1992 - 01-b0-08</dc:title>
  <dc:subject/>
  <dc:creator/>
  <cp:keywords/>
  <dc:description/>
  <cp:lastModifiedBy>svcMRProcess</cp:lastModifiedBy>
  <cp:revision>4</cp:revision>
  <cp:lastPrinted>2003-11-10T00:21:00Z</cp:lastPrinted>
  <dcterms:created xsi:type="dcterms:W3CDTF">2018-09-13T07:19:00Z</dcterms:created>
  <dcterms:modified xsi:type="dcterms:W3CDTF">2018-09-13T07:19:00Z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4749</vt:i4>
  </property>
  <property fmtid="{D5CDD505-2E9C-101B-9397-08002B2CF9AE}" pid="6" name="AsAtDate">
    <vt:lpwstr>01 Jan 2005</vt:lpwstr>
  </property>
  <property fmtid="{D5CDD505-2E9C-101B-9397-08002B2CF9AE}" pid="7" name="Suffix">
    <vt:lpwstr>01-b0-08</vt:lpwstr>
  </property>
</Properties>
</file>