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pStyle w:val="Subsection"/>
      </w:pPr>
      <w:r>
        <w:tab/>
      </w:r>
      <w:r>
        <w:tab/>
        <w:t xml:space="preserve">These regulations were repealed by the </w:t>
      </w:r>
      <w:r>
        <w:rPr>
          <w:i/>
        </w:rPr>
        <w:t>Transport Regulations Amendment (Road Passenger Services) Regulations (No. 2) 2019</w:t>
      </w:r>
      <w:r>
        <w:t xml:space="preserve"> r. 55(c) as at 2 July 2019 (see r. 2(d) and </w:t>
      </w:r>
      <w:r>
        <w:rPr>
          <w:i/>
        </w:rPr>
        <w:t>Gazette</w:t>
      </w:r>
      <w:r>
        <w:t xml:space="preserve"> 28 Jun 2019 p. 2473).</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_Toc12868465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_Toc12868466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_Toc12868467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_Toc12868468 \h </w:instrText>
      </w:r>
      <w:r>
        <w:fldChar w:fldCharType="separate"/>
      </w:r>
      <w:r>
        <w:t>3</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_Toc12868469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_Toc12868470 \h </w:instrText>
      </w:r>
      <w:r>
        <w:fldChar w:fldCharType="separate"/>
      </w:r>
      <w:r>
        <w:t>6</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_Toc12868471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_Toc12868472 \h </w:instrText>
      </w:r>
      <w:r>
        <w:fldChar w:fldCharType="separate"/>
      </w:r>
      <w:r>
        <w:t>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_Toc12868473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_Toc12868474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_Toc12868475 \h </w:instrText>
      </w:r>
      <w:r>
        <w:fldChar w:fldCharType="separate"/>
      </w:r>
      <w:r>
        <w:t>8</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_Toc12868476 \h </w:instrText>
      </w:r>
      <w:r>
        <w:fldChar w:fldCharType="separate"/>
      </w:r>
      <w:r>
        <w:t>9</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_Toc12868477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_Toc12868478 \h </w:instrText>
      </w:r>
      <w:r>
        <w:fldChar w:fldCharType="separate"/>
      </w:r>
      <w:r>
        <w:t>10</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_Toc12868479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_Toc12868493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12868465"/>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1286846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12868467"/>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 xml:space="preserve">car referred to in regulation 3(1) and includes — </w:t>
      </w:r>
    </w:p>
    <w:p>
      <w:pPr>
        <w:pStyle w:val="Defpara"/>
      </w:pPr>
      <w:r>
        <w:tab/>
        <w:t>(a)</w:t>
      </w:r>
      <w:r>
        <w:tab/>
        <w:t>any surcharge or fee of a kind set out in Schedule 1 for the hire; and</w:t>
      </w:r>
    </w:p>
    <w:p>
      <w:pPr>
        <w:pStyle w:val="Defpara"/>
      </w:pPr>
      <w:r>
        <w:tab/>
        <w:t>(b)</w:t>
      </w:r>
      <w:r>
        <w:tab/>
        <w:t>any amount charged under regulation 3(1AA) in respect of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 26 Feb 2019 p. 455</w:t>
      </w:r>
      <w:r>
        <w:noBreakHyphen/>
        <w:t>6.]</w:t>
      </w:r>
    </w:p>
    <w:p>
      <w:pPr>
        <w:pStyle w:val="Heading5"/>
        <w:rPr>
          <w:snapToGrid w:val="0"/>
        </w:rPr>
      </w:pPr>
      <w:bookmarkStart w:id="6" w:name="_Toc12868468"/>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w:t>
      </w:r>
      <w:r>
        <w:noBreakHyphen/>
        <w:t>car, the following may also be charged for the hire of the taxi</w:t>
      </w:r>
      <w:r>
        <w:noBreakHyphen/>
        <w:t xml:space="preserve">car — </w:t>
      </w:r>
    </w:p>
    <w:p>
      <w:pPr>
        <w:pStyle w:val="Indenta"/>
      </w:pPr>
      <w:r>
        <w:tab/>
        <w:t>(a)</w:t>
      </w:r>
      <w:r>
        <w:tab/>
        <w:t>an amount of fare allocated for the levy;</w:t>
      </w:r>
    </w:p>
    <w:p>
      <w:pPr>
        <w:pStyle w:val="Indenta"/>
      </w:pPr>
      <w:r>
        <w:tab/>
        <w:t>(b)</w:t>
      </w:r>
      <w:r>
        <w:tab/>
        <w:t>an amount for the GST payable in relation to the amount referred to in paragraph (a).</w:t>
      </w:r>
    </w:p>
    <w:p>
      <w:pPr>
        <w:pStyle w:val="Subsection"/>
      </w:pPr>
      <w:r>
        <w:tab/>
        <w:t>(1AB)</w:t>
      </w:r>
      <w:r>
        <w:tab/>
        <w:t xml:space="preserve">An amount charged under subregulation (1AA)(a) must not exceed the lesser of — </w:t>
      </w:r>
    </w:p>
    <w:p>
      <w:pPr>
        <w:pStyle w:val="Indenta"/>
      </w:pPr>
      <w:r>
        <w:tab/>
        <w:t>(a)</w:t>
      </w:r>
      <w:r>
        <w:tab/>
        <w:t>10% of the sum of the amounts charged for the hire of the taxi</w:t>
      </w:r>
      <w:r>
        <w:noBreakHyphen/>
        <w:t xml:space="preserve">car of a kind referred to in the </w:t>
      </w:r>
      <w:r>
        <w:rPr>
          <w:i/>
        </w:rPr>
        <w:t>Transport (Road Passenger Services) Regulations 2019</w:t>
      </w:r>
      <w:r>
        <w:t xml:space="preserve"> regulation 47(2) (excluding the GST included in any of those amounts); or</w:t>
      </w:r>
    </w:p>
    <w:p>
      <w:pPr>
        <w:pStyle w:val="Indenta"/>
      </w:pPr>
      <w:r>
        <w:tab/>
        <w:t>(b)</w:t>
      </w:r>
      <w:r>
        <w:tab/>
        <w:t>$10.</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to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 26 Feb 2019 p. 456</w:t>
      </w:r>
      <w:r>
        <w:noBreakHyphen/>
        <w:t>7.]</w:t>
      </w:r>
    </w:p>
    <w:p>
      <w:pPr>
        <w:pStyle w:val="Heading5"/>
      </w:pPr>
      <w:bookmarkStart w:id="7" w:name="_Toc12868469"/>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(as defined in regulation 5A(1)) is to be used for the payment or part-payment of the contract fare, the amount agreed under subregulation (1) must not exceed the fare (as determined in accordance with regulation 3)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 26 Feb 2019 p. 457.]</w:t>
      </w:r>
    </w:p>
    <w:p>
      <w:pPr>
        <w:pStyle w:val="Heading5"/>
      </w:pPr>
      <w:bookmarkStart w:id="8" w:name="_Toc12868470"/>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9" w:name="_Toc12868471"/>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10" w:name="_Toc12868472"/>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11" w:name="_Toc12868473"/>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12" w:name="_Toc12868474"/>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13" w:name="_Toc12868475"/>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car is the subject of multiple hiring, each separate hirer may, at that hirer’s destination, be charged 75% of the Schedule 1 fare for the hire of the taxi-car applicable at that hirer’s destination.</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 amended: Gazette 26 Feb 2019 p. 457.]</w:t>
      </w:r>
    </w:p>
    <w:p>
      <w:pPr>
        <w:pStyle w:val="Heading5"/>
      </w:pPr>
      <w:bookmarkStart w:id="14" w:name="_Toc12868476"/>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15" w:name="_Toc12868477"/>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(1A)</w:t>
      </w:r>
      <w:r>
        <w:tab/>
        <w:t>If any amounts under regulation 3(1AA) are to be paid in relation to the hire of the taxi</w:t>
      </w:r>
      <w:r>
        <w:noBreakHyphen/>
        <w:t>car, the fare schedule must include a statement that an additional amount of fare allocated for the levy and an amount for the GST on that additional amount may be charged.</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2670; amended: Gazette 26 Feb 2019 p. 457</w:t>
      </w:r>
      <w:r>
        <w:noBreakHyphen/>
        <w:t>8.]</w:t>
      </w:r>
    </w:p>
    <w:p>
      <w:pPr>
        <w:pStyle w:val="Heading5"/>
        <w:rPr>
          <w:snapToGrid w:val="0"/>
        </w:rPr>
      </w:pPr>
      <w:bookmarkStart w:id="16" w:name="_Toc12868478"/>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17" w:name="_Toc12868479"/>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12442300"/>
      <w:bookmarkStart w:id="19" w:name="_Toc12449492"/>
      <w:bookmarkStart w:id="20" w:name="_Toc12868480"/>
      <w:r>
        <w:rPr>
          <w:rStyle w:val="CharSchNo"/>
        </w:rPr>
        <w:t>Schedule 1</w:t>
      </w:r>
      <w:r>
        <w:t> — </w:t>
      </w:r>
      <w:r>
        <w:rPr>
          <w:rStyle w:val="CharSchText"/>
        </w:rPr>
        <w:t>Fares</w:t>
      </w:r>
      <w:bookmarkEnd w:id="18"/>
      <w:bookmarkEnd w:id="19"/>
      <w:bookmarkEnd w:id="20"/>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21" w:name="_Toc12442301"/>
      <w:bookmarkStart w:id="22" w:name="_Toc12449493"/>
      <w:bookmarkStart w:id="23" w:name="_Toc12868481"/>
      <w:r>
        <w:rPr>
          <w:rStyle w:val="CharSDivNo"/>
        </w:rPr>
        <w:t>Division 1</w:t>
      </w:r>
      <w:r>
        <w:rPr>
          <w:b w:val="0"/>
        </w:rPr>
        <w:t> — </w:t>
      </w:r>
      <w:r>
        <w:rPr>
          <w:rStyle w:val="CharSDivText"/>
        </w:rPr>
        <w:t>Gascoyne region</w:t>
      </w:r>
      <w:bookmarkEnd w:id="21"/>
      <w:bookmarkEnd w:id="22"/>
      <w:bookmarkEnd w:id="23"/>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24" w:name="_Toc12442302"/>
      <w:bookmarkStart w:id="25" w:name="_Toc12449494"/>
      <w:bookmarkStart w:id="26" w:name="_Toc12868482"/>
      <w:r>
        <w:rPr>
          <w:rStyle w:val="CharSDivNo"/>
        </w:rPr>
        <w:t>Division 2</w:t>
      </w:r>
      <w:r>
        <w:t> — </w:t>
      </w:r>
      <w:r>
        <w:rPr>
          <w:rStyle w:val="CharSDivText"/>
        </w:rPr>
        <w:t>Goldfields</w:t>
      </w:r>
      <w:r>
        <w:rPr>
          <w:rStyle w:val="CharSDivText"/>
        </w:rPr>
        <w:noBreakHyphen/>
        <w:t>Esperance region</w:t>
      </w:r>
      <w:bookmarkEnd w:id="24"/>
      <w:bookmarkEnd w:id="25"/>
      <w:bookmarkEnd w:id="26"/>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27" w:name="_Toc12442303"/>
      <w:bookmarkStart w:id="28" w:name="_Toc12449495"/>
      <w:bookmarkStart w:id="29" w:name="_Toc12868483"/>
      <w:r>
        <w:rPr>
          <w:rStyle w:val="CharSDivNo"/>
        </w:rPr>
        <w:t>Division 3 </w:t>
      </w:r>
      <w:r>
        <w:t>— </w:t>
      </w:r>
      <w:r>
        <w:rPr>
          <w:rStyle w:val="CharSDivText"/>
        </w:rPr>
        <w:t>Great Southern region</w:t>
      </w:r>
      <w:bookmarkEnd w:id="27"/>
      <w:bookmarkEnd w:id="28"/>
      <w:bookmarkEnd w:id="29"/>
    </w:p>
    <w:p>
      <w:pPr>
        <w:pStyle w:val="yFootnoteheading"/>
        <w:keepNext/>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30" w:name="_Toc12442304"/>
      <w:bookmarkStart w:id="31" w:name="_Toc12449496"/>
      <w:bookmarkStart w:id="32" w:name="_Toc12868484"/>
      <w:r>
        <w:rPr>
          <w:rStyle w:val="CharSDivNo"/>
        </w:rPr>
        <w:t>Division 4</w:t>
      </w:r>
      <w:r>
        <w:t> — </w:t>
      </w:r>
      <w:r>
        <w:rPr>
          <w:rStyle w:val="CharSDivText"/>
        </w:rPr>
        <w:t>Kimberley region</w:t>
      </w:r>
      <w:bookmarkEnd w:id="30"/>
      <w:bookmarkEnd w:id="31"/>
      <w:bookmarkEnd w:id="32"/>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33" w:name="_Toc12442305"/>
      <w:bookmarkStart w:id="34" w:name="_Toc12449497"/>
      <w:bookmarkStart w:id="35" w:name="_Toc12868485"/>
      <w:r>
        <w:rPr>
          <w:rStyle w:val="CharSDivNo"/>
        </w:rPr>
        <w:t>Division 5</w:t>
      </w:r>
      <w:r>
        <w:t> — </w:t>
      </w:r>
      <w:r>
        <w:rPr>
          <w:rStyle w:val="CharSDivText"/>
        </w:rPr>
        <w:t>Mid West region</w:t>
      </w:r>
      <w:bookmarkEnd w:id="33"/>
      <w:bookmarkEnd w:id="34"/>
      <w:bookmarkEnd w:id="35"/>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36" w:name="_Toc12442306"/>
      <w:bookmarkStart w:id="37" w:name="_Toc12449498"/>
      <w:bookmarkStart w:id="38" w:name="_Toc12868486"/>
      <w:r>
        <w:rPr>
          <w:rStyle w:val="CharSDivNo"/>
        </w:rPr>
        <w:t>Division 6</w:t>
      </w:r>
      <w:r>
        <w:t> — </w:t>
      </w:r>
      <w:r>
        <w:rPr>
          <w:rStyle w:val="CharSDivText"/>
        </w:rPr>
        <w:t>Peel region</w:t>
      </w:r>
      <w:bookmarkEnd w:id="36"/>
      <w:bookmarkEnd w:id="37"/>
      <w:bookmarkEnd w:id="38"/>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pPr>
      <w:bookmarkStart w:id="39" w:name="_Toc12442307"/>
      <w:bookmarkStart w:id="40" w:name="_Toc12449499"/>
      <w:bookmarkStart w:id="41" w:name="_Toc12868487"/>
      <w:r>
        <w:rPr>
          <w:rStyle w:val="CharSDivNo"/>
        </w:rPr>
        <w:t>Division 7</w:t>
      </w:r>
      <w:r>
        <w:t> — </w:t>
      </w:r>
      <w:r>
        <w:rPr>
          <w:rStyle w:val="CharSDivText"/>
        </w:rPr>
        <w:t>Pilbara region</w:t>
      </w:r>
      <w:bookmarkEnd w:id="39"/>
      <w:bookmarkEnd w:id="40"/>
      <w:bookmarkEnd w:id="41"/>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42" w:name="_Toc12442308"/>
      <w:bookmarkStart w:id="43" w:name="_Toc12449500"/>
      <w:bookmarkStart w:id="44" w:name="_Toc12868488"/>
      <w:r>
        <w:rPr>
          <w:rStyle w:val="CharSDivNo"/>
        </w:rPr>
        <w:t>Division 8</w:t>
      </w:r>
      <w:r>
        <w:t> — </w:t>
      </w:r>
      <w:r>
        <w:rPr>
          <w:rStyle w:val="CharSDivText"/>
        </w:rPr>
        <w:t>South West region</w:t>
      </w:r>
      <w:bookmarkEnd w:id="42"/>
      <w:bookmarkEnd w:id="43"/>
      <w:bookmarkEnd w:id="44"/>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45" w:name="_Toc12442309"/>
      <w:bookmarkStart w:id="46" w:name="_Toc12449501"/>
      <w:bookmarkStart w:id="47" w:name="_Toc12868489"/>
      <w:r>
        <w:rPr>
          <w:rStyle w:val="CharSDivNo"/>
        </w:rPr>
        <w:t>Division 9</w:t>
      </w:r>
      <w:r>
        <w:t> — </w:t>
      </w:r>
      <w:r>
        <w:rPr>
          <w:rStyle w:val="CharSDivText"/>
        </w:rPr>
        <w:t>Wheatbelt region</w:t>
      </w:r>
      <w:bookmarkEnd w:id="45"/>
      <w:bookmarkEnd w:id="46"/>
      <w:bookmarkEnd w:id="47"/>
    </w:p>
    <w:p>
      <w:pPr>
        <w:pStyle w:val="yFootnoteheading"/>
        <w:keepNext/>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48" w:name="_Toc12442310"/>
      <w:bookmarkStart w:id="49" w:name="_Toc12449502"/>
      <w:bookmarkStart w:id="50" w:name="_Toc12868490"/>
      <w:r>
        <w:rPr>
          <w:rStyle w:val="CharSchNo"/>
        </w:rPr>
        <w:t>Schedule 2</w:t>
      </w:r>
      <w:r>
        <w:rPr>
          <w:rStyle w:val="CharSDivNo"/>
        </w:rPr>
        <w:t> </w:t>
      </w:r>
      <w:r>
        <w:t>—</w:t>
      </w:r>
      <w:r>
        <w:rPr>
          <w:rStyle w:val="CharSDivText"/>
        </w:rPr>
        <w:t> </w:t>
      </w:r>
      <w:r>
        <w:rPr>
          <w:rStyle w:val="CharSchText"/>
        </w:rPr>
        <w:t>Modified penalties</w:t>
      </w:r>
      <w:bookmarkEnd w:id="48"/>
      <w:bookmarkEnd w:id="49"/>
      <w:bookmarkEnd w:id="50"/>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pStyle w:val="yTableNAm"/>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pStyle w:val="yTableNAm"/>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pStyle w:val="yTableNAm"/>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pStyle w:val="yTableNAm"/>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pStyle w:val="yTableNAm"/>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pStyle w:val="yTableNAm"/>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pStyle w:val="yTableNAm"/>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pStyle w:val="yTableNAm"/>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pStyle w:val="yTableNAm"/>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pStyle w:val="yTableNAm"/>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pStyle w:val="yTableNAm"/>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pStyle w:val="yTableNAm"/>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pStyle w:val="yTableNAm"/>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2" w:name="_Toc12442311"/>
      <w:bookmarkStart w:id="53" w:name="_Toc12449503"/>
      <w:bookmarkStart w:id="54" w:name="_Toc12868491"/>
      <w:r>
        <w:rPr>
          <w:rStyle w:val="CharSchNo"/>
        </w:rPr>
        <w:t>Schedule 3</w:t>
      </w:r>
      <w:r>
        <w:rPr>
          <w:rStyle w:val="CharSDivNo"/>
        </w:rPr>
        <w:t> </w:t>
      </w:r>
      <w:r>
        <w:t>—</w:t>
      </w:r>
      <w:r>
        <w:rPr>
          <w:rStyle w:val="CharSDivText"/>
        </w:rPr>
        <w:t> </w:t>
      </w:r>
      <w:r>
        <w:rPr>
          <w:rStyle w:val="CharSchText"/>
        </w:rPr>
        <w:t>Forms</w:t>
      </w:r>
      <w:bookmarkEnd w:id="52"/>
      <w:bookmarkEnd w:id="53"/>
      <w:bookmarkEnd w:id="54"/>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5" w:name="_Toc12442312"/>
      <w:bookmarkStart w:id="56" w:name="_Toc12449504"/>
      <w:bookmarkStart w:id="57" w:name="_Toc12868492"/>
      <w:r>
        <w:t>Notes</w:t>
      </w:r>
      <w:bookmarkEnd w:id="55"/>
      <w:bookmarkEnd w:id="56"/>
      <w:bookmarkEnd w:id="57"/>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58" w:name="_Toc12868493"/>
      <w:r>
        <w:rPr>
          <w:snapToGrid w:val="0"/>
        </w:rPr>
        <w:t>Compilation table</w:t>
      </w:r>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bCs/>
                <w:snapToGrid w:val="0"/>
                <w:spacing w:val="-2"/>
              </w:rPr>
              <w:t>r. 1 and 2: 23 Dec 2014 (see r. 2(a));</w:t>
            </w:r>
            <w:r>
              <w:rPr>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r. 1 and 2: 20 Feb 2015 (see r. 2(a));</w:t>
            </w:r>
            <w:r>
              <w:rPr>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bCs/>
                <w:snapToGrid w:val="0"/>
                <w:spacing w:val="-2"/>
              </w:rPr>
            </w:pPr>
            <w:r>
              <w:rPr>
                <w:b/>
                <w:bCs/>
                <w:snapToGrid w:val="0"/>
                <w:spacing w:val="-2"/>
              </w:rPr>
              <w:t xml:space="preserve">Reprint 4: The </w:t>
            </w:r>
            <w:r>
              <w:rPr>
                <w:b/>
                <w:bCs/>
                <w:i/>
                <w:noProof/>
                <w:snapToGrid w:val="0"/>
                <w:spacing w:val="-2"/>
              </w:rPr>
              <w:t>Transport (Country Taxi-cars Fares) Regulations 1991</w:t>
            </w:r>
            <w:r>
              <w:rPr>
                <w:b/>
                <w:bCs/>
                <w:snapToGrid w:val="0"/>
                <w:spacing w:val="-2"/>
              </w:rPr>
              <w:t xml:space="preserve"> as at 10 Mar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pPr>
            <w:r>
              <w:rPr>
                <w:bCs/>
                <w:snapToGrid w:val="0"/>
                <w:spacing w:val="-2"/>
              </w:rPr>
              <w:t>23 May 2018 (see r. 2(b))</w:t>
            </w:r>
          </w:p>
        </w:tc>
      </w:tr>
      <w:tr>
        <w:trPr>
          <w:cantSplit/>
        </w:trPr>
        <w:tc>
          <w:tcPr>
            <w:tcW w:w="3147" w:type="dxa"/>
            <w:gridSpan w:val="2"/>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shd w:val="clear" w:color="auto" w:fill="auto"/>
          </w:tcPr>
          <w:p>
            <w:pPr>
              <w:pStyle w:val="nTable"/>
              <w:spacing w:after="40"/>
            </w:pPr>
            <w:r>
              <w:t>21 Aug 2018 p. 2943</w:t>
            </w:r>
          </w:p>
        </w:tc>
        <w:tc>
          <w:tcPr>
            <w:tcW w:w="2665" w:type="dxa"/>
            <w:shd w:val="clear" w:color="auto" w:fill="auto"/>
          </w:tcPr>
          <w:p>
            <w:pPr>
              <w:pStyle w:val="nTable"/>
              <w:spacing w:after="40"/>
              <w:rPr>
                <w:bCs/>
                <w:snapToGrid w:val="0"/>
                <w:spacing w:val="-2"/>
              </w:rPr>
            </w:pPr>
            <w:r>
              <w:rPr>
                <w:bCs/>
                <w:snapToGrid w:val="0"/>
                <w:spacing w:val="-2"/>
              </w:rPr>
              <w:t>r. 1 and 2: 21 Aug 2018 (see r. 2(a));</w:t>
            </w:r>
          </w:p>
          <w:p>
            <w:pPr>
              <w:pStyle w:val="nTable"/>
              <w:spacing w:after="40"/>
            </w:pPr>
            <w:r>
              <w:rPr>
                <w:bCs/>
                <w:snapToGrid w:val="0"/>
                <w:spacing w:val="-2"/>
              </w:rPr>
              <w:t>Regulations other than r. 1 and 2: 22 Aug 2018 (see r. 2(b))</w:t>
            </w:r>
          </w:p>
        </w:tc>
      </w:tr>
      <w:tr>
        <w:trPr>
          <w:cantSplit/>
        </w:trPr>
        <w:tc>
          <w:tcPr>
            <w:tcW w:w="3147" w:type="dxa"/>
            <w:gridSpan w:val="2"/>
            <w:shd w:val="clear" w:color="auto" w:fill="auto"/>
          </w:tcPr>
          <w:p>
            <w:pPr>
              <w:pStyle w:val="nTable"/>
              <w:spacing w:after="40"/>
              <w:rPr>
                <w:i/>
              </w:rPr>
            </w:pPr>
            <w:r>
              <w:rPr>
                <w:i/>
              </w:rPr>
              <w:t>Transport Regulations Amendment (Road Passenger Services) Regulations 2019</w:t>
            </w:r>
            <w:r>
              <w:t xml:space="preserve"> Pt. 3 Div. 2</w:t>
            </w:r>
          </w:p>
        </w:tc>
        <w:tc>
          <w:tcPr>
            <w:tcW w:w="1276" w:type="dxa"/>
            <w:gridSpan w:val="2"/>
            <w:shd w:val="clear" w:color="auto" w:fill="auto"/>
          </w:tcPr>
          <w:p>
            <w:pPr>
              <w:pStyle w:val="nTable"/>
              <w:spacing w:after="40"/>
            </w:pPr>
            <w:r>
              <w:t>26 Feb 2019 p. 451</w:t>
            </w:r>
            <w:r>
              <w:noBreakHyphen/>
              <w:t>8</w:t>
            </w:r>
          </w:p>
        </w:tc>
        <w:tc>
          <w:tcPr>
            <w:tcW w:w="2665" w:type="dxa"/>
            <w:shd w:val="clear" w:color="auto" w:fill="auto"/>
          </w:tcPr>
          <w:p>
            <w:pPr>
              <w:pStyle w:val="nTable"/>
              <w:spacing w:after="40"/>
            </w:pPr>
            <w:r>
              <w:rPr>
                <w:bCs/>
                <w:snapToGrid w:val="0"/>
                <w:spacing w:val="-2"/>
              </w:rPr>
              <w:t xml:space="preserve">1 Apr 2019 (see r. 2(c) and </w:t>
            </w:r>
            <w:r>
              <w:rPr>
                <w:bCs/>
                <w:i/>
                <w:snapToGrid w:val="0"/>
                <w:spacing w:val="-2"/>
              </w:rPr>
              <w:t>Gazette</w:t>
            </w:r>
            <w:r>
              <w:rPr>
                <w:bCs/>
                <w:snapToGrid w:val="0"/>
                <w:spacing w:val="-2"/>
              </w:rPr>
              <w:t xml:space="preserve"> 26 Feb 2019 p. 449-50)</w:t>
            </w:r>
          </w:p>
        </w:tc>
      </w:tr>
      <w:tr>
        <w:trPr>
          <w:cantSplit/>
        </w:trPr>
        <w:tc>
          <w:tcPr>
            <w:tcW w:w="7088" w:type="dxa"/>
            <w:gridSpan w:val="5"/>
            <w:tcBorders>
              <w:bottom w:val="single" w:sz="8" w:space="0" w:color="auto"/>
            </w:tcBorders>
            <w:shd w:val="clear" w:color="auto" w:fill="auto"/>
          </w:tcPr>
          <w:p>
            <w:pPr>
              <w:pStyle w:val="nTable"/>
              <w:spacing w:after="40"/>
              <w:rPr>
                <w:b/>
                <w:bCs/>
                <w:snapToGrid w:val="0"/>
                <w:spacing w:val="-2"/>
              </w:rPr>
            </w:pPr>
            <w:r>
              <w:rPr>
                <w:b/>
                <w:color w:val="FF0000"/>
              </w:rPr>
              <w:t xml:space="preserve">These regulations were repealed by the </w:t>
            </w:r>
            <w:r>
              <w:rPr>
                <w:b/>
                <w:i/>
                <w:color w:val="FF0000"/>
              </w:rPr>
              <w:t>Transport Regulations Amendment (Road Passenger Services) Regulations (No. 2) 2019</w:t>
            </w:r>
            <w:r>
              <w:rPr>
                <w:b/>
                <w:color w:val="FF0000"/>
              </w:rPr>
              <w:t xml:space="preserve"> r. 55(c) as at 2 July 2019 (see r. 2(d) and </w:t>
            </w:r>
            <w:r>
              <w:rPr>
                <w:b/>
                <w:i/>
                <w:color w:val="FF0000"/>
              </w:rPr>
              <w:t>Gazette</w:t>
            </w:r>
            <w:r>
              <w:rPr>
                <w:b/>
                <w:color w:val="FF0000"/>
              </w:rPr>
              <w:t xml:space="preserve"> 28 Jun 2019 p. 2473)</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0" w:name="_Toc12442314"/>
      <w:bookmarkStart w:id="61" w:name="_Toc12449506"/>
      <w:bookmarkStart w:id="62" w:name="_Toc12868494"/>
      <w:r>
        <w:rPr>
          <w:sz w:val="28"/>
        </w:rPr>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leviable passenger service transaction</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noProof/>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1" w:name="Schedule"/>
    <w:bookmarkEnd w:id="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6114321"/>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 w:name="WAFER_20190226114325" w:val="RemoveTocBookmarks,RemoveUnusedBookmarks,RemoveLanguageTags,UpdateStyles,UsedStyles,ResetPageSize"/>
    <w:docVar w:name="WAFER_20190226114325_GUID" w:val="12dce9c6-779c-4f82-9758-f5430fae7b3c"/>
    <w:docVar w:name="WAFER_20190326121155" w:val="RemoveTocBookmarks,RemoveUnusedBookmarks,RemoveLanguageTags,ResetPageSize,RunningHeaders,UpdateStyles,UsedStyles"/>
    <w:docVar w:name="WAFER_20190326121155_GUID" w:val="ac0bc972-7beb-475e-b3b4-1434ca1e2ece"/>
    <w:docVar w:name="WAFER_20190626114321" w:val="RemoveTocBookmarks,RemoveUnusedBookmarks,RemoveLanguageTags,ResetPageSize,RunningHeaders,UpdateStyles,UsedStyles"/>
    <w:docVar w:name="WAFER_20190626114321_GUID" w:val="9e8dc7a4-fc52-4115-8826-4bd066740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7D40-7EE2-46DD-B1EB-AB4A07C5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6809</Words>
  <Characters>33640</Characters>
  <Application>Microsoft Office Word</Application>
  <DocSecurity>0</DocSecurity>
  <Lines>1868</Lines>
  <Paragraphs>1093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1991 - 04-h0-00</dc:title>
  <dc:subject/>
  <dc:creator/>
  <cp:keywords/>
  <dc:description/>
  <cp:lastModifiedBy>svcMRProcess</cp:lastModifiedBy>
  <cp:revision>4</cp:revision>
  <cp:lastPrinted>2018-05-22T02:43:00Z</cp:lastPrinted>
  <dcterms:created xsi:type="dcterms:W3CDTF">2019-07-01T02:46:00Z</dcterms:created>
  <dcterms:modified xsi:type="dcterms:W3CDTF">2019-07-01T02:47:00Z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02 Jul 2019</vt:lpwstr>
  </property>
  <property fmtid="{D5CDD505-2E9C-101B-9397-08002B2CF9AE}" pid="8" name="Suffix">
    <vt:lpwstr>04-h0-00</vt:lpwstr>
  </property>
  <property fmtid="{D5CDD505-2E9C-101B-9397-08002B2CF9AE}" pid="9" name="Status">
    <vt:lpwstr>NIF</vt:lpwstr>
  </property>
  <property fmtid="{D5CDD505-2E9C-101B-9397-08002B2CF9AE}" pid="10" name="CommencementDate">
    <vt:lpwstr>20190702</vt:lpwstr>
  </property>
</Properties>
</file>