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_Toc12615295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_Toc12615296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_Toc12615297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_Toc12615298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_Toc12615299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_Toc12615300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_Toc12615301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_Toc12615302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_Toc12615303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_Toc12615304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_Toc12615305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_Toc12615306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_Toc12615307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_Toc12615308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_Toc12615309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_Toc12615310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_Toc12615311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_Toc12615312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_Toc12615313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_Toc12615314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_Toc12615315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_Toc12615316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_Toc12615317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_Toc12615318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_Toc12615319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_Toc12615320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_Toc12615321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_Toc12615322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_Toc12615323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_Toc12615324 \h </w:instrText>
      </w:r>
      <w:r>
        <w:fldChar w:fldCharType="separate"/>
      </w:r>
      <w:r>
        <w:t>29</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_Toc12615325 \h </w:instrText>
      </w:r>
      <w:r>
        <w:fldChar w:fldCharType="separate"/>
      </w:r>
      <w:r>
        <w:t>37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_Toc12615326 \h </w:instrText>
      </w:r>
      <w:r>
        <w:fldChar w:fldCharType="separate"/>
      </w:r>
      <w:r>
        <w:t>37</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_Toc12615327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_Toc12615328 \h </w:instrText>
      </w:r>
      <w:r>
        <w:fldChar w:fldCharType="separate"/>
      </w:r>
      <w:r>
        <w:t>38</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_Toc12615329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_Toc12615330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_Toc12615331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_Toc12615332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_Toc12615333 \h </w:instrText>
      </w:r>
      <w:r>
        <w:fldChar w:fldCharType="separate"/>
      </w:r>
      <w:r>
        <w:t>40</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_Toc12615334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_Toc12615335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_Toc12615336 \h </w:instrText>
      </w:r>
      <w:r>
        <w:fldChar w:fldCharType="separate"/>
      </w:r>
      <w:r>
        <w:t>43</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_Toc12615337 \h </w:instrText>
      </w:r>
      <w:r>
        <w:fldChar w:fldCharType="separate"/>
      </w:r>
      <w:r>
        <w:t>44</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_Toc12615338 \h </w:instrText>
      </w:r>
      <w:r>
        <w:fldChar w:fldCharType="separate"/>
      </w:r>
      <w:r>
        <w:t>44</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_Toc12615339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_Toc12615340 \h </w:instrText>
      </w:r>
      <w:r>
        <w:fldChar w:fldCharType="separate"/>
      </w:r>
      <w:r>
        <w:t>45</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_Toc12615341 \h </w:instrText>
      </w:r>
      <w:r>
        <w:fldChar w:fldCharType="separate"/>
      </w:r>
      <w:r>
        <w:t>46</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_Toc12615342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_Toc12615343 \h </w:instrText>
      </w:r>
      <w:r>
        <w:fldChar w:fldCharType="separate"/>
      </w:r>
      <w:r>
        <w:t>47</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_Toc12615344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_Toc12615345 \h </w:instrText>
      </w:r>
      <w:r>
        <w:fldChar w:fldCharType="separate"/>
      </w:r>
      <w:r>
        <w:t>48</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_Toc12615346 \h </w:instrText>
      </w:r>
      <w:r>
        <w:fldChar w:fldCharType="separate"/>
      </w:r>
      <w:r>
        <w:t>49</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_Toc12615347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_Toc12615348 \h </w:instrText>
      </w:r>
      <w:r>
        <w:fldChar w:fldCharType="separate"/>
      </w:r>
      <w:r>
        <w:t>51</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_Toc12615349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_Toc12615350 \h </w:instrText>
      </w:r>
      <w:r>
        <w:fldChar w:fldCharType="separate"/>
      </w:r>
      <w:r>
        <w:t>53</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_Toc12615351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_Toc12615352 \h </w:instrText>
      </w:r>
      <w:r>
        <w:fldChar w:fldCharType="separate"/>
      </w:r>
      <w:r>
        <w:t>54</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_Toc12615353 \h </w:instrText>
      </w:r>
      <w:r>
        <w:fldChar w:fldCharType="separate"/>
      </w:r>
      <w:r>
        <w:t>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_Toc12615354 \h </w:instrText>
      </w:r>
      <w:r>
        <w:fldChar w:fldCharType="separate"/>
      </w:r>
      <w:r>
        <w:t>55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_Toc12615355 \h </w:instrText>
      </w:r>
      <w:r>
        <w:fldChar w:fldCharType="separate"/>
      </w:r>
      <w:r>
        <w:t>56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_Toc12615356 \h </w:instrText>
      </w:r>
      <w:r>
        <w:fldChar w:fldCharType="separate"/>
      </w:r>
      <w:r>
        <w:t>57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_Toc12615357 \h </w:instrText>
      </w:r>
      <w:r>
        <w:fldChar w:fldCharType="separate"/>
      </w:r>
      <w:r>
        <w:t>58</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_Toc12615358 \h </w:instrText>
      </w:r>
      <w:r>
        <w:fldChar w:fldCharType="separate"/>
      </w:r>
      <w:r>
        <w:t>58</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_Toc12615359 \h </w:instrText>
      </w:r>
      <w:r>
        <w:fldChar w:fldCharType="separate"/>
      </w:r>
      <w:r>
        <w:t>58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_Toc12615360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_Toc12615361 \h </w:instrText>
      </w:r>
      <w:r>
        <w:fldChar w:fldCharType="separate"/>
      </w:r>
      <w:r>
        <w:t>60</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_Toc12615362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_Toc12615363 \h </w:instrText>
      </w:r>
      <w:r>
        <w:fldChar w:fldCharType="separate"/>
      </w:r>
      <w:r>
        <w:t>63</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_Toc12615364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_Toc12615365 \h </w:instrText>
      </w:r>
      <w:r>
        <w:fldChar w:fldCharType="separate"/>
      </w:r>
      <w:r>
        <w:t>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_Toc12615366 \h </w:instrText>
      </w:r>
      <w:r>
        <w:fldChar w:fldCharType="separate"/>
      </w:r>
      <w:r>
        <w:t>64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_Toc12615367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_Toc12615368 \h </w:instrText>
      </w:r>
      <w:r>
        <w:fldChar w:fldCharType="separate"/>
      </w:r>
      <w:r>
        <w:t>65</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_Toc12615369 \h </w:instrText>
      </w:r>
      <w:r>
        <w:fldChar w:fldCharType="separate"/>
      </w:r>
      <w:r>
        <w:t>66</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_Toc12615370 \h </w:instrText>
      </w:r>
      <w:r>
        <w:fldChar w:fldCharType="separate"/>
      </w:r>
      <w:r>
        <w:t>67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_Toc12615371 \h </w:instrText>
      </w:r>
      <w:r>
        <w:fldChar w:fldCharType="separate"/>
      </w:r>
      <w:r>
        <w:t>67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_Toc12615372 \h </w:instrText>
      </w:r>
      <w:r>
        <w:fldChar w:fldCharType="separate"/>
      </w:r>
      <w:r>
        <w:t>67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_Toc12615373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_Toc12615374 \h </w:instrText>
      </w:r>
      <w:r>
        <w:fldChar w:fldCharType="separate"/>
      </w:r>
      <w:r>
        <w:t>70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_Toc12615375 \h </w:instrText>
      </w:r>
      <w:r>
        <w:fldChar w:fldCharType="separate"/>
      </w:r>
      <w:r>
        <w:t>71</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_Toc12615376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_Toc12615377 \h </w:instrText>
      </w:r>
      <w:r>
        <w:fldChar w:fldCharType="separate"/>
      </w:r>
      <w:r>
        <w:t>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_Toc12615378 \h </w:instrText>
      </w:r>
      <w:r>
        <w:fldChar w:fldCharType="separate"/>
      </w:r>
      <w:r>
        <w:t>73</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_Toc12615379 \h </w:instrText>
      </w:r>
      <w:r>
        <w:fldChar w:fldCharType="separate"/>
      </w:r>
      <w:r>
        <w:t>75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_Toc12615380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_Toc12615387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1261529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1261529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12615297"/>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12615298"/>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7" w:name="_Toc12615299"/>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12615300"/>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12615301"/>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12615302"/>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1261530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12615304"/>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12615305"/>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12615306"/>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12615307"/>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12615308"/>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1261530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12615310"/>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12615311"/>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12615312"/>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12615313"/>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12615314"/>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12615315"/>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12615316"/>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12615317"/>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12615318"/>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12615319"/>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12615320"/>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12615321"/>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rPr>
          <w:rStyle w:val="CharDefText"/>
        </w:rPr>
        <w:tab/>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12615322"/>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12615323"/>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32" w:name="_Toc12615324"/>
      <w:r>
        <w:rPr>
          <w:rStyle w:val="CharSectno"/>
        </w:rPr>
        <w:t>9A</w:t>
      </w:r>
      <w:r>
        <w:t>.</w:t>
      </w:r>
      <w:r>
        <w:tab/>
      </w:r>
      <w:r>
        <w:rPr>
          <w:snapToGrid w:val="0"/>
        </w:rPr>
        <w:t>Special facility licence, purposes for which may be granted</w:t>
      </w:r>
      <w:bookmarkEnd w:id="3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3" w:name="_Toc12615325"/>
      <w:r>
        <w:rPr>
          <w:rStyle w:val="CharSectno"/>
        </w:rPr>
        <w:t>9AB</w:t>
      </w:r>
      <w:r>
        <w:t>.</w:t>
      </w:r>
      <w:r>
        <w:tab/>
        <w:t xml:space="preserve">Kind of extended trading permit prescribed </w:t>
      </w:r>
      <w:r>
        <w:rPr>
          <w:snapToGrid w:val="0"/>
        </w:rPr>
        <w:t>(Act s.</w:t>
      </w:r>
      <w:r>
        <w:t> 25(5a))</w:t>
      </w:r>
      <w:bookmarkEnd w:id="3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4" w:name="_Toc12615326"/>
      <w:r>
        <w:rPr>
          <w:rStyle w:val="CharSectno"/>
        </w:rPr>
        <w:t>9B</w:t>
      </w:r>
      <w:r>
        <w:rPr>
          <w:snapToGrid w:val="0"/>
        </w:rPr>
        <w:t>.</w:t>
      </w:r>
      <w:r>
        <w:rPr>
          <w:snapToGrid w:val="0"/>
        </w:rPr>
        <w:tab/>
        <w:t>Special facility licence, effect of as to sale of packaged liquor</w:t>
      </w:r>
      <w:bookmarkEnd w:id="3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5" w:name="_Toc12615327"/>
      <w:r>
        <w:rPr>
          <w:rStyle w:val="CharSectno"/>
        </w:rPr>
        <w:t>9C</w:t>
      </w:r>
      <w:r>
        <w:t>.</w:t>
      </w:r>
      <w:r>
        <w:tab/>
        <w:t>Types of special facility licence prescribed (Act s. 46(6))</w:t>
      </w:r>
      <w:bookmarkEnd w:id="3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6" w:name="_Toc12615328"/>
      <w:r>
        <w:rPr>
          <w:rStyle w:val="CharSectno"/>
        </w:rPr>
        <w:t>9D</w:t>
      </w:r>
      <w:r>
        <w:t>.</w:t>
      </w:r>
      <w:r>
        <w:tab/>
      </w:r>
      <w:r>
        <w:rPr>
          <w:snapToGrid w:val="0"/>
        </w:rPr>
        <w:t>Act s.</w:t>
      </w:r>
      <w:r>
        <w:t> 33(6b) modified as to occasional licences</w:t>
      </w:r>
      <w:bookmarkEnd w:id="3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7" w:name="_Toc12615329"/>
      <w:r>
        <w:rPr>
          <w:rStyle w:val="CharSectno"/>
        </w:rPr>
        <w:t>9E</w:t>
      </w:r>
      <w:r>
        <w:t>.</w:t>
      </w:r>
      <w:r>
        <w:tab/>
        <w:t>Period prescribed (Act s. 33(6D)(b))</w:t>
      </w:r>
      <w:bookmarkEnd w:id="3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38" w:name="_Toc12615330"/>
      <w:r>
        <w:rPr>
          <w:rStyle w:val="CharSectno"/>
        </w:rPr>
        <w:t>9EA</w:t>
      </w:r>
      <w:r>
        <w:t>.</w:t>
      </w:r>
      <w:r>
        <w:tab/>
        <w:t>Kinds of licence prescribed (Act s. 38(1)(a))</w:t>
      </w:r>
      <w:bookmarkEnd w:id="3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39" w:name="_Toc12615331"/>
      <w:r>
        <w:rPr>
          <w:rStyle w:val="CharSectno"/>
        </w:rPr>
        <w:t>9F</w:t>
      </w:r>
      <w:r>
        <w:t>.</w:t>
      </w:r>
      <w:r>
        <w:tab/>
        <w:t>Kinds of permit prescribed (Act s. 38(1)(b))</w:t>
      </w:r>
      <w:bookmarkEnd w:id="3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0" w:name="_Toc12615332"/>
      <w:r>
        <w:rPr>
          <w:rStyle w:val="CharSectno"/>
        </w:rPr>
        <w:t>10</w:t>
      </w:r>
      <w:r>
        <w:rPr>
          <w:snapToGrid w:val="0"/>
        </w:rPr>
        <w:t>.</w:t>
      </w:r>
      <w:r>
        <w:rPr>
          <w:snapToGrid w:val="0"/>
        </w:rPr>
        <w:tab/>
        <w:t>Requirements prescribed (Act s. </w:t>
      </w:r>
      <w:r>
        <w:t>57(2)(d)</w:t>
      </w:r>
      <w:r>
        <w:rPr>
          <w:snapToGrid w:val="0"/>
        </w:rPr>
        <w:t>)</w:t>
      </w:r>
      <w:bookmarkEnd w:id="4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1" w:name="_Toc12615333"/>
      <w:r>
        <w:rPr>
          <w:rStyle w:val="CharSectno"/>
        </w:rPr>
        <w:t>10A</w:t>
      </w:r>
      <w:r>
        <w:rPr>
          <w:snapToGrid w:val="0"/>
        </w:rPr>
        <w:t>.</w:t>
      </w:r>
      <w:r>
        <w:rPr>
          <w:snapToGrid w:val="0"/>
        </w:rPr>
        <w:tab/>
        <w:t>Condition prescribed (Act s. 55(2))</w:t>
      </w:r>
      <w:bookmarkEnd w:id="4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2" w:name="_Toc12615334"/>
      <w:r>
        <w:rPr>
          <w:rStyle w:val="CharSectno"/>
        </w:rPr>
        <w:t>10B</w:t>
      </w:r>
      <w:r>
        <w:t>.</w:t>
      </w:r>
      <w:r>
        <w:tab/>
        <w:t>Days for making application prescribed (Act s. 64(1BA))</w:t>
      </w:r>
      <w:bookmarkEnd w:id="4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3" w:name="_Toc12615335"/>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12615336"/>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5" w:name="_Toc12615337"/>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6" w:name="_Toc12615338"/>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47" w:name="_Toc12615339"/>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48" w:name="_Toc12615340"/>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49" w:name="_Toc12615341"/>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0" w:name="_Toc12615342"/>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1" w:name="_Toc12615343"/>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2" w:name="_Toc12615344"/>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3" w:name="_Toc12615345"/>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4" w:name="_Toc12615346"/>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5" w:name="_Toc12615347"/>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56" w:name="_Toc12615348"/>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57" w:name="_Toc12615349"/>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58" w:name="_Toc12615350"/>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 w:name="_Toc12615351"/>
      <w:r>
        <w:rPr>
          <w:rStyle w:val="CharSectno"/>
        </w:rPr>
        <w:t>16A</w:t>
      </w:r>
      <w:r>
        <w:t>.</w:t>
      </w:r>
      <w:r>
        <w:tab/>
        <w:t xml:space="preserve">Sports arenas prescribed (Act s. 110(4B) </w:t>
      </w:r>
      <w:r>
        <w:rPr>
          <w:i/>
        </w:rPr>
        <w:t>sports arena</w:t>
      </w:r>
      <w:r>
        <w:t>)</w:t>
      </w:r>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0" w:name="_Toc12615352"/>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1" w:name="_Toc12615353"/>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2" w:name="_Toc12615354"/>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12615355"/>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12615356"/>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5" w:name="_Toc12615357"/>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66" w:name="_Toc12615358"/>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67" w:name="_Toc12615359"/>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68" w:name="_Toc12615360"/>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69" w:name="_Toc12615361"/>
      <w:r>
        <w:rPr>
          <w:rStyle w:val="CharSectno"/>
        </w:rPr>
        <w:t>18EB</w:t>
      </w:r>
      <w:r>
        <w:t>.</w:t>
      </w:r>
      <w:r>
        <w:tab/>
        <w:t>Incidents and information prescribed for register (Act s. 116A)</w:t>
      </w:r>
      <w:bookmarkEnd w:id="69"/>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0" w:name="_Toc12615362"/>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1" w:name="_Toc12615363"/>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ageBreakBefore/>
        <w:spacing w:before="0"/>
      </w:pPr>
      <w:bookmarkStart w:id="72" w:name="_Toc12615364"/>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3" w:name="_Toc12615365"/>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4" w:name="_Toc12615366"/>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pageBreakBefore/>
        <w:spacing w:before="0"/>
        <w:rPr>
          <w:snapToGrid w:val="0"/>
        </w:rPr>
      </w:pPr>
      <w:bookmarkStart w:id="75" w:name="_Toc1261536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76" w:name="_Toc12615368"/>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Next w:val="0"/>
        <w:keepLines w:val="0"/>
      </w:pPr>
      <w:bookmarkStart w:id="77" w:name="_Toc12615369"/>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71523"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78" w:name="_Toc12615370"/>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79" w:name="_Toc12615371"/>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0" w:name="_Toc12615372"/>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1" w:name="_Toc12615373"/>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2" w:name="_Toc12615374"/>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3" w:name="_Toc12615375"/>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4" w:name="_Toc12615376"/>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5" w:name="_Toc12615377"/>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86" w:name="_Toc12615378"/>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87" w:name="_Toc12615379"/>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rPr>
          <w:snapToGrid w:val="0"/>
        </w:rPr>
      </w:pPr>
      <w:bookmarkStart w:id="88" w:name="_Toc12615380"/>
      <w:r>
        <w:rPr>
          <w:rStyle w:val="CharSectno"/>
        </w:rPr>
        <w:t>27</w:t>
      </w:r>
      <w:r>
        <w:rPr>
          <w:snapToGrid w:val="0"/>
        </w:rPr>
        <w:t>.</w:t>
      </w:r>
      <w:r>
        <w:rPr>
          <w:snapToGrid w:val="0"/>
        </w:rPr>
        <w:tab/>
      </w:r>
      <w:r>
        <w:t>Prescribed offences for infringement notices (Act s. 167(2))</w:t>
      </w:r>
      <w:bookmarkEnd w:id="88"/>
    </w:p>
    <w:p>
      <w:pPr>
        <w:pStyle w:val="Footnoteheading"/>
      </w:pPr>
      <w:r>
        <w:tab/>
        <w:t>[Heading amended: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2018 p. 1900.]</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12603130"/>
      <w:bookmarkStart w:id="90" w:name="_Toc12614925"/>
      <w:bookmarkStart w:id="91" w:name="_Toc12615381"/>
      <w:r>
        <w:rPr>
          <w:rStyle w:val="CharSchNo"/>
        </w:rPr>
        <w:t>Schedule 1</w:t>
      </w:r>
      <w:bookmarkEnd w:id="89"/>
      <w:bookmarkEnd w:id="90"/>
      <w:bookmarkEnd w:id="91"/>
    </w:p>
    <w:p>
      <w:pPr>
        <w:pStyle w:val="yShoulderClause"/>
        <w:spacing w:before="60"/>
        <w:rPr>
          <w:snapToGrid w:val="0"/>
        </w:rPr>
      </w:pPr>
      <w:r>
        <w:rPr>
          <w:snapToGrid w:val="0"/>
        </w:rPr>
        <w:t>[Regulation 3]</w:t>
      </w:r>
    </w:p>
    <w:p>
      <w:pPr>
        <w:pStyle w:val="yHeading2"/>
        <w:outlineLvl w:val="9"/>
      </w:pPr>
      <w:bookmarkStart w:id="92" w:name="_Toc12603131"/>
      <w:bookmarkStart w:id="93" w:name="_Toc12614926"/>
      <w:bookmarkStart w:id="94" w:name="_Toc12615382"/>
      <w:r>
        <w:rPr>
          <w:rStyle w:val="CharSchText"/>
        </w:rPr>
        <w:t>Forms</w:t>
      </w:r>
      <w:bookmarkEnd w:id="92"/>
      <w:bookmarkEnd w:id="93"/>
      <w:bookmarkEnd w:id="94"/>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5" w:name="_Toc12603132"/>
      <w:bookmarkStart w:id="96" w:name="_Toc12614927"/>
      <w:bookmarkStart w:id="97" w:name="_Toc12615383"/>
      <w:r>
        <w:rPr>
          <w:rStyle w:val="CharSchNo"/>
        </w:rPr>
        <w:t>Schedule 2</w:t>
      </w:r>
      <w:bookmarkEnd w:id="95"/>
      <w:bookmarkEnd w:id="96"/>
      <w:bookmarkEnd w:id="97"/>
    </w:p>
    <w:p>
      <w:pPr>
        <w:pStyle w:val="yShoulderClause"/>
        <w:spacing w:before="60"/>
        <w:rPr>
          <w:snapToGrid w:val="0"/>
        </w:rPr>
      </w:pPr>
      <w:r>
        <w:rPr>
          <w:snapToGrid w:val="0"/>
        </w:rPr>
        <w:t>[Regulation 13]</w:t>
      </w:r>
    </w:p>
    <w:p>
      <w:pPr>
        <w:pStyle w:val="yHeading2"/>
        <w:spacing w:before="120" w:after="80"/>
      </w:pPr>
      <w:bookmarkStart w:id="98" w:name="_Toc12603133"/>
      <w:bookmarkStart w:id="99" w:name="_Toc12614928"/>
      <w:bookmarkStart w:id="100" w:name="_Toc12615384"/>
      <w:r>
        <w:rPr>
          <w:rStyle w:val="CharSchText"/>
        </w:rPr>
        <w:t>Details of applicant</w:t>
      </w:r>
      <w:bookmarkEnd w:id="98"/>
      <w:bookmarkEnd w:id="99"/>
      <w:bookmarkEnd w:id="10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01" w:name="_Toc12603134"/>
      <w:bookmarkStart w:id="102" w:name="_Toc12614929"/>
      <w:bookmarkStart w:id="103" w:name="_Toc12615385"/>
      <w:r>
        <w:rPr>
          <w:rStyle w:val="CharSchNo"/>
        </w:rPr>
        <w:t>Schedule 3</w:t>
      </w:r>
      <w:r>
        <w:t> — </w:t>
      </w:r>
      <w:r>
        <w:rPr>
          <w:rStyle w:val="CharSchText"/>
        </w:rPr>
        <w:t>Fees</w:t>
      </w:r>
      <w:bookmarkEnd w:id="101"/>
      <w:bookmarkEnd w:id="102"/>
      <w:bookmarkEnd w:id="103"/>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04" w:name="_Toc12603135"/>
      <w:bookmarkStart w:id="105" w:name="_Toc12614930"/>
      <w:bookmarkStart w:id="106" w:name="_Toc12615386"/>
      <w:r>
        <w:t>Notes</w:t>
      </w:r>
      <w:bookmarkEnd w:id="104"/>
      <w:bookmarkEnd w:id="105"/>
      <w:bookmarkEnd w:id="106"/>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7" w:name="_Toc12615387"/>
      <w:r>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tcBorders>
              <w:bottom w:val="single" w:sz="4" w:space="0" w:color="auto"/>
            </w:tcBorders>
            <w:shd w:val="clear" w:color="auto" w:fill="auto"/>
          </w:tcPr>
          <w:p>
            <w:pPr>
              <w:pStyle w:val="nTable"/>
              <w:keepNext/>
              <w:spacing w:after="40"/>
              <w:rPr>
                <w:i/>
              </w:rPr>
            </w:pPr>
            <w:r>
              <w:rPr>
                <w:i/>
              </w:rPr>
              <w:t>Liquor Control Amendment Regulations 2019</w:t>
            </w:r>
          </w:p>
        </w:tc>
        <w:tc>
          <w:tcPr>
            <w:tcW w:w="1276" w:type="dxa"/>
            <w:tcBorders>
              <w:bottom w:val="single" w:sz="4" w:space="0" w:color="auto"/>
            </w:tcBorders>
            <w:shd w:val="clear" w:color="auto" w:fill="auto"/>
          </w:tcPr>
          <w:p>
            <w:pPr>
              <w:pStyle w:val="nTable"/>
              <w:keepNext/>
              <w:spacing w:after="40"/>
            </w:pPr>
            <w:r>
              <w:t>28 Jun 2019 p. 2491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 xml:space="preserve">Regulations other than r. 1 and 2: 2 Jul 2019 (see r. 2(b) and </w:t>
            </w:r>
            <w:r>
              <w:rPr>
                <w:rFonts w:ascii="Times" w:hAnsi="Times"/>
                <w:bCs/>
                <w:i/>
                <w:snapToGrid w:val="0"/>
                <w:spacing w:val="-2"/>
              </w:rPr>
              <w:t>Gazette</w:t>
            </w:r>
            <w:r>
              <w:rPr>
                <w:rFonts w:ascii="Times" w:hAnsi="Times"/>
                <w:bCs/>
                <w:snapToGrid w:val="0"/>
                <w:spacing w:val="-2"/>
              </w:rPr>
              <w:t xml:space="preserve"> 28 Jun 2019 p. 2473)</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09" w:name="_Toc12603137"/>
      <w:bookmarkStart w:id="110" w:name="_Toc12614932"/>
      <w:bookmarkStart w:id="111" w:name="_Toc12615388"/>
      <w:r>
        <w:rPr>
          <w:sz w:val="28"/>
        </w:rPr>
        <w:t>Defined terms</w:t>
      </w:r>
      <w:bookmarkEnd w:id="109"/>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808250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8771-0441-4B84-9874-EE0719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26640</Words>
  <Characters>132295</Characters>
  <Application>Microsoft Office Word</Application>
  <DocSecurity>0</DocSecurity>
  <Lines>4724</Lines>
  <Paragraphs>2693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1989 - 14-r0-00</dc:title>
  <dc:subject/>
  <dc:creator/>
  <cp:keywords/>
  <dc:description/>
  <cp:lastModifiedBy>svcMRProcess</cp:lastModifiedBy>
  <cp:revision>4</cp:revision>
  <cp:lastPrinted>2018-12-06T06:42:00Z</cp:lastPrinted>
  <dcterms:created xsi:type="dcterms:W3CDTF">2020-02-26T17:19:00Z</dcterms:created>
  <dcterms:modified xsi:type="dcterms:W3CDTF">2020-02-26T17:19:00Z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02 Jul 2019</vt:lpwstr>
  </property>
  <property fmtid="{D5CDD505-2E9C-101B-9397-08002B2CF9AE}" pid="8" name="Suffix">
    <vt:lpwstr>14-r0-00</vt:lpwstr>
  </property>
  <property fmtid="{D5CDD505-2E9C-101B-9397-08002B2CF9AE}" pid="9" name="CommencementDate">
    <vt:lpwstr>20190702</vt:lpwstr>
  </property>
</Properties>
</file>