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Taxi Act 1994</w:t>
      </w:r>
      <w:r>
        <w:fldChar w:fldCharType="end"/>
      </w:r>
    </w:p>
    <w:p>
      <w:pPr>
        <w:pStyle w:val="Subsection"/>
      </w:pPr>
      <w:r>
        <w:tab/>
      </w:r>
      <w:r>
        <w:tab/>
        <w:t xml:space="preserve">This Act was repealed by the </w:t>
      </w:r>
      <w:r>
        <w:rPr>
          <w:i/>
        </w:rPr>
        <w:t xml:space="preserve">Transport (Road Passenger Services) Act 2018 </w:t>
      </w:r>
      <w:r>
        <w:t>s. </w:t>
      </w:r>
      <w:r>
        <w:rPr>
          <w:lang w:val="en-US"/>
        </w:rPr>
        <w:t>303 (</w:t>
      </w:r>
      <w:r>
        <w:t xml:space="preserve">No. 26 of 2018) as at 2 Jul 2019 (see s. 2(b) and </w:t>
      </w:r>
      <w:r>
        <w:rPr>
          <w:i/>
        </w:rPr>
        <w:t xml:space="preserve">Gazette </w:t>
      </w:r>
      <w:r>
        <w:t>28 Jun 2019 p. 2473).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_Toc12891067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_Toc12891068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_Toc12891069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_Toc12891070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_Toc12891072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_Toc12891073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_Toc12891074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_Toc12891075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_Toc12891076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_Toc12891077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_Toc12891078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_Toc12891079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_Toc12891080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_Toc12891081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taxis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_Toc12891084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_Toc12891085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_Toc12891086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_Toc12891087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_Toc12891088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_Toc12891089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_Toc12891090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_Toc12891091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_Toc12891092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_Toc12891093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_Toc12891094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_Toc12891095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_Toc12891096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_Toc12891098 \h </w:instrText>
      </w:r>
      <w:r>
        <w:fldChar w:fldCharType="separate"/>
      </w:r>
      <w:r>
        <w:t>24</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_Toc12891099 \h </w:instrText>
      </w:r>
      <w:r>
        <w:fldChar w:fldCharType="separate"/>
      </w:r>
      <w:r>
        <w:t>25</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_Toc12891100 \h </w:instrText>
      </w:r>
      <w:r>
        <w:fldChar w:fldCharType="separate"/>
      </w:r>
      <w:r>
        <w:t>25</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_Toc12891101 \h </w:instrText>
      </w:r>
      <w:r>
        <w:fldChar w:fldCharType="separate"/>
      </w:r>
      <w:r>
        <w:t>26</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_Toc12891102 \h </w:instrText>
      </w:r>
      <w:r>
        <w:fldChar w:fldCharType="separate"/>
      </w:r>
      <w:r>
        <w:t>28</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_Toc12891103 \h </w:instrText>
      </w:r>
      <w:r>
        <w:fldChar w:fldCharType="separate"/>
      </w:r>
      <w:r>
        <w:t>28</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_Toc12891104 \h </w:instrText>
      </w:r>
      <w:r>
        <w:fldChar w:fldCharType="separate"/>
      </w:r>
      <w:r>
        <w:t>29</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_Toc12891105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_Toc12891107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3A — Adjustment assistance grants</w:t>
      </w:r>
    </w:p>
    <w:p>
      <w:pPr>
        <w:pStyle w:val="TOC8"/>
        <w:rPr>
          <w:rFonts w:asciiTheme="minorHAnsi" w:eastAsiaTheme="minorEastAsia" w:hAnsiTheme="minorHAnsi" w:cstheme="minorBidi"/>
          <w:szCs w:val="22"/>
        </w:rPr>
      </w:pPr>
      <w:r>
        <w:t>30J.</w:t>
      </w:r>
      <w:r>
        <w:tab/>
        <w:t>Terms used</w:t>
      </w:r>
      <w:r>
        <w:tab/>
      </w:r>
      <w:r>
        <w:fldChar w:fldCharType="begin"/>
      </w:r>
      <w:r>
        <w:instrText xml:space="preserve"> PAGEREF _Toc12891109 \h </w:instrText>
      </w:r>
      <w:r>
        <w:fldChar w:fldCharType="separate"/>
      </w:r>
      <w:r>
        <w:t>33</w:t>
      </w:r>
      <w:r>
        <w:fldChar w:fldCharType="end"/>
      </w:r>
    </w:p>
    <w:p>
      <w:pPr>
        <w:pStyle w:val="TOC8"/>
        <w:rPr>
          <w:rFonts w:asciiTheme="minorHAnsi" w:eastAsiaTheme="minorEastAsia" w:hAnsiTheme="minorHAnsi" w:cstheme="minorBidi"/>
          <w:szCs w:val="22"/>
        </w:rPr>
      </w:pPr>
      <w:r>
        <w:t>30K.</w:t>
      </w:r>
      <w:r>
        <w:tab/>
        <w:t>Application for adjustment assistance grant</w:t>
      </w:r>
      <w:r>
        <w:tab/>
      </w:r>
      <w:r>
        <w:fldChar w:fldCharType="begin"/>
      </w:r>
      <w:r>
        <w:instrText xml:space="preserve"> PAGEREF _Toc12891110 \h </w:instrText>
      </w:r>
      <w:r>
        <w:fldChar w:fldCharType="separate"/>
      </w:r>
      <w:r>
        <w:t>33</w:t>
      </w:r>
      <w:r>
        <w:fldChar w:fldCharType="end"/>
      </w:r>
    </w:p>
    <w:p>
      <w:pPr>
        <w:pStyle w:val="TOC8"/>
        <w:rPr>
          <w:rFonts w:asciiTheme="minorHAnsi" w:eastAsiaTheme="minorEastAsia" w:hAnsiTheme="minorHAnsi" w:cstheme="minorBidi"/>
          <w:szCs w:val="22"/>
        </w:rPr>
      </w:pPr>
      <w:r>
        <w:t>30L.</w:t>
      </w:r>
      <w:r>
        <w:tab/>
        <w:t>Requirement to grant application for adjustment assistance grant</w:t>
      </w:r>
      <w:r>
        <w:tab/>
      </w:r>
      <w:r>
        <w:fldChar w:fldCharType="begin"/>
      </w:r>
      <w:r>
        <w:instrText xml:space="preserve"> PAGEREF _Toc12891111 \h </w:instrText>
      </w:r>
      <w:r>
        <w:fldChar w:fldCharType="separate"/>
      </w:r>
      <w:r>
        <w:t>34</w:t>
      </w:r>
      <w:r>
        <w:fldChar w:fldCharType="end"/>
      </w:r>
    </w:p>
    <w:p>
      <w:pPr>
        <w:pStyle w:val="TOC8"/>
        <w:rPr>
          <w:rFonts w:asciiTheme="minorHAnsi" w:eastAsiaTheme="minorEastAsia" w:hAnsiTheme="minorHAnsi" w:cstheme="minorBidi"/>
          <w:szCs w:val="22"/>
        </w:rPr>
      </w:pPr>
      <w:r>
        <w:t>30M.</w:t>
      </w:r>
      <w:r>
        <w:tab/>
        <w:t>Amount and payment of adjustment assistance grant</w:t>
      </w:r>
      <w:r>
        <w:tab/>
      </w:r>
      <w:r>
        <w:fldChar w:fldCharType="begin"/>
      </w:r>
      <w:r>
        <w:instrText xml:space="preserve"> PAGEREF _Toc12891112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_Toc12891114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_Toc12891115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_Toc12891116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_Toc12891117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_Toc12891118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_Toc12891119 \h </w:instrText>
      </w:r>
      <w:r>
        <w:fldChar w:fldCharType="separate"/>
      </w:r>
      <w:r>
        <w:t>41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_Toc12891120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_Toc12891121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_Toc12891122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_Toc12891123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_Toc12891125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_Toc12891127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3" w:name="_Toc528767523"/>
      <w:bookmarkStart w:id="4" w:name="_Toc2089924"/>
      <w:bookmarkStart w:id="5" w:name="_Toc2090100"/>
      <w:bookmarkStart w:id="6" w:name="_Toc2090242"/>
      <w:bookmarkStart w:id="7" w:name="_Toc10108017"/>
      <w:bookmarkStart w:id="8" w:name="_Toc10108259"/>
      <w:bookmarkStart w:id="9" w:name="_Toc128910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2891067"/>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1" w:name="_Toc12891068"/>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2" w:name="_Toc12891069"/>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No. 7 of 2002 s. 30; No. 72 of 2003 s. 4 and 18; No. 4 of 2006 s. 5(1), (2) and 6; No. 26 of 2007 s. 4; No. 24 of 2009 s. 510 and 517; No. 26 of 2018 s. 331.]</w:t>
      </w:r>
    </w:p>
    <w:p>
      <w:pPr>
        <w:pStyle w:val="Heading5"/>
        <w:spacing w:before="260"/>
        <w:rPr>
          <w:snapToGrid w:val="0"/>
        </w:rPr>
      </w:pPr>
      <w:bookmarkStart w:id="13" w:name="_Toc12891070"/>
      <w:r>
        <w:rPr>
          <w:rStyle w:val="CharSectno"/>
        </w:rPr>
        <w:t>4</w:t>
      </w:r>
      <w:r>
        <w:rPr>
          <w:snapToGrid w:val="0"/>
        </w:rPr>
        <w:t>.</w:t>
      </w:r>
      <w:r>
        <w:rPr>
          <w:snapToGrid w:val="0"/>
        </w:rPr>
        <w:tab/>
        <w:t>Operating across boundary of control area, effect of</w:t>
      </w:r>
      <w:bookmarkEnd w:id="13"/>
      <w:r>
        <w:rPr>
          <w:snapToGrid w:val="0"/>
        </w:rPr>
        <w:t xml:space="preserve"> </w:t>
      </w:r>
    </w:p>
    <w:p>
      <w:pPr>
        <w:pStyle w:val="Subsection"/>
        <w:keepNext/>
        <w:rPr>
          <w:snapToGrid w:val="0"/>
        </w:rPr>
      </w:pPr>
      <w:r>
        <w:rPr>
          <w:snapToGrid w:val="0"/>
        </w:rPr>
        <w:tab/>
      </w:r>
      <w:r>
        <w:rPr>
          <w:snapToGrid w:val="0"/>
        </w:rPr>
        <w:tab/>
        <w:t>The carrying of passengers — </w:t>
      </w:r>
    </w:p>
    <w:p>
      <w:pPr>
        <w:pStyle w:val="Indenta"/>
        <w:keepNext/>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4" w:name="_Toc528767528"/>
      <w:bookmarkStart w:id="15" w:name="_Toc2089929"/>
      <w:bookmarkStart w:id="16" w:name="_Toc2090105"/>
      <w:bookmarkStart w:id="17" w:name="_Toc2090247"/>
      <w:bookmarkStart w:id="18" w:name="_Toc10108022"/>
      <w:bookmarkStart w:id="19" w:name="_Toc10108264"/>
      <w:bookmarkStart w:id="20" w:name="_Toc12891071"/>
      <w:r>
        <w:rPr>
          <w:rStyle w:val="CharPartNo"/>
        </w:rPr>
        <w:t>Part 2</w:t>
      </w:r>
      <w:r>
        <w:rPr>
          <w:rStyle w:val="CharDivNo"/>
        </w:rPr>
        <w:t> </w:t>
      </w:r>
      <w:r>
        <w:t>—</w:t>
      </w:r>
      <w:r>
        <w:rPr>
          <w:rStyle w:val="CharDivText"/>
        </w:rPr>
        <w:t> </w:t>
      </w:r>
      <w:r>
        <w:rPr>
          <w:rStyle w:val="CharPartText"/>
        </w:rPr>
        <w:t>Administration</w:t>
      </w:r>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12891072"/>
      <w:r>
        <w:rPr>
          <w:rStyle w:val="CharSectno"/>
        </w:rPr>
        <w:t>5</w:t>
      </w:r>
      <w:r>
        <w:rPr>
          <w:snapToGrid w:val="0"/>
        </w:rPr>
        <w:t>.</w:t>
      </w:r>
      <w:r>
        <w:rPr>
          <w:snapToGrid w:val="0"/>
        </w:rPr>
        <w:tab/>
        <w:t>Directions by Minister to Director General</w:t>
      </w:r>
      <w:bookmarkEnd w:id="21"/>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No. 7 of 2002 s. 31; No. 5 of 2005 s. 44; No. 77 of 2006 Sch. 1 cl. 167(1).]</w:t>
      </w:r>
    </w:p>
    <w:p>
      <w:pPr>
        <w:pStyle w:val="Heading5"/>
        <w:rPr>
          <w:snapToGrid w:val="0"/>
        </w:rPr>
      </w:pPr>
      <w:bookmarkStart w:id="22" w:name="_Toc12891073"/>
      <w:r>
        <w:rPr>
          <w:rStyle w:val="CharSectno"/>
        </w:rPr>
        <w:t>6</w:t>
      </w:r>
      <w:r>
        <w:rPr>
          <w:snapToGrid w:val="0"/>
        </w:rPr>
        <w:t>.</w:t>
      </w:r>
      <w:r>
        <w:rPr>
          <w:snapToGrid w:val="0"/>
        </w:rPr>
        <w:tab/>
        <w:t>Delegation by Minister and Director General</w:t>
      </w:r>
      <w:bookmarkEnd w:id="2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3" w:name="_Toc12891074"/>
      <w:r>
        <w:rPr>
          <w:rStyle w:val="CharSectno"/>
        </w:rPr>
        <w:t>7</w:t>
      </w:r>
      <w:r>
        <w:rPr>
          <w:snapToGrid w:val="0"/>
        </w:rPr>
        <w:t>.</w:t>
      </w:r>
      <w:r>
        <w:rPr>
          <w:snapToGrid w:val="0"/>
        </w:rPr>
        <w:tab/>
        <w:t>Director General to advise Minister</w:t>
      </w:r>
      <w:bookmarkEnd w:id="2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4" w:name="_Toc12891075"/>
      <w:r>
        <w:rPr>
          <w:rStyle w:val="CharSectno"/>
        </w:rPr>
        <w:t>8</w:t>
      </w:r>
      <w:r>
        <w:rPr>
          <w:snapToGrid w:val="0"/>
        </w:rPr>
        <w:t>.</w:t>
      </w:r>
      <w:r>
        <w:rPr>
          <w:snapToGrid w:val="0"/>
        </w:rPr>
        <w:tab/>
        <w:t>Taxi Industry Board established</w:t>
      </w:r>
      <w:bookmarkEnd w:id="24"/>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5" w:name="_Toc12891076"/>
      <w:r>
        <w:rPr>
          <w:rStyle w:val="CharSectno"/>
        </w:rPr>
        <w:t>9</w:t>
      </w:r>
      <w:r>
        <w:rPr>
          <w:snapToGrid w:val="0"/>
        </w:rPr>
        <w:t>.</w:t>
      </w:r>
      <w:r>
        <w:rPr>
          <w:snapToGrid w:val="0"/>
        </w:rPr>
        <w:tab/>
        <w:t>Term of office of Board members</w:t>
      </w:r>
      <w:bookmarkEnd w:id="25"/>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6" w:name="_Toc12891077"/>
      <w:r>
        <w:rPr>
          <w:rStyle w:val="CharSectno"/>
        </w:rPr>
        <w:t>10</w:t>
      </w:r>
      <w:r>
        <w:rPr>
          <w:snapToGrid w:val="0"/>
        </w:rPr>
        <w:t>.</w:t>
      </w:r>
      <w:r>
        <w:rPr>
          <w:snapToGrid w:val="0"/>
        </w:rPr>
        <w:tab/>
        <w:t>Chairperson and deputy chairperson</w:t>
      </w:r>
      <w:bookmarkEnd w:id="26"/>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27" w:name="_Toc12891078"/>
      <w:r>
        <w:rPr>
          <w:rStyle w:val="CharSectno"/>
        </w:rPr>
        <w:t>11</w:t>
      </w:r>
      <w:r>
        <w:rPr>
          <w:snapToGrid w:val="0"/>
        </w:rPr>
        <w:t>.</w:t>
      </w:r>
      <w:r>
        <w:rPr>
          <w:snapToGrid w:val="0"/>
        </w:rPr>
        <w:tab/>
        <w:t>Meetings</w:t>
      </w:r>
      <w:bookmarkEnd w:id="2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28" w:name="_Toc12891079"/>
      <w:r>
        <w:rPr>
          <w:rStyle w:val="CharSectno"/>
        </w:rPr>
        <w:t>12</w:t>
      </w:r>
      <w:r>
        <w:rPr>
          <w:snapToGrid w:val="0"/>
        </w:rPr>
        <w:t>.</w:t>
      </w:r>
      <w:r>
        <w:rPr>
          <w:snapToGrid w:val="0"/>
        </w:rPr>
        <w:tab/>
        <w:t>Remuneration and allowances</w:t>
      </w:r>
      <w:bookmarkEnd w:id="2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No. 39 of 2010 s. 89.]</w:t>
      </w:r>
    </w:p>
    <w:p>
      <w:pPr>
        <w:pStyle w:val="Heading5"/>
        <w:rPr>
          <w:snapToGrid w:val="0"/>
        </w:rPr>
      </w:pPr>
      <w:bookmarkStart w:id="29" w:name="_Toc12891080"/>
      <w:r>
        <w:rPr>
          <w:rStyle w:val="CharSectno"/>
        </w:rPr>
        <w:t>13</w:t>
      </w:r>
      <w:r>
        <w:rPr>
          <w:snapToGrid w:val="0"/>
        </w:rPr>
        <w:t>.</w:t>
      </w:r>
      <w:r>
        <w:rPr>
          <w:snapToGrid w:val="0"/>
        </w:rPr>
        <w:tab/>
        <w:t>Funding of Board</w:t>
      </w:r>
      <w:bookmarkEnd w:id="29"/>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No. 49 of 1996 s. 64; No. 7 of 2002 s. 35.] </w:t>
      </w:r>
    </w:p>
    <w:p>
      <w:pPr>
        <w:pStyle w:val="Heading5"/>
        <w:rPr>
          <w:snapToGrid w:val="0"/>
        </w:rPr>
      </w:pPr>
      <w:bookmarkStart w:id="30" w:name="_Toc12891081"/>
      <w:r>
        <w:rPr>
          <w:rStyle w:val="CharSectno"/>
        </w:rPr>
        <w:t>14</w:t>
      </w:r>
      <w:r>
        <w:rPr>
          <w:snapToGrid w:val="0"/>
        </w:rPr>
        <w:t>.</w:t>
      </w:r>
      <w:r>
        <w:rPr>
          <w:snapToGrid w:val="0"/>
        </w:rPr>
        <w:tab/>
        <w:t>Functions of Board</w:t>
      </w:r>
      <w:bookmarkEnd w:id="3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No. 49 of 1996 s. 64; No. 7 of 2002 s. 35.] </w:t>
      </w:r>
    </w:p>
    <w:p>
      <w:pPr>
        <w:pStyle w:val="Heading2"/>
      </w:pPr>
      <w:bookmarkStart w:id="31" w:name="_Toc528767539"/>
      <w:bookmarkStart w:id="32" w:name="_Toc2089940"/>
      <w:bookmarkStart w:id="33" w:name="_Toc2090116"/>
      <w:bookmarkStart w:id="34" w:name="_Toc2090258"/>
      <w:bookmarkStart w:id="35" w:name="_Toc10108033"/>
      <w:bookmarkStart w:id="36" w:name="_Toc10108275"/>
      <w:bookmarkStart w:id="37" w:name="_Toc12891082"/>
      <w:r>
        <w:rPr>
          <w:rStyle w:val="CharPartNo"/>
        </w:rPr>
        <w:t>Part 3</w:t>
      </w:r>
      <w:r>
        <w:t> — </w:t>
      </w:r>
      <w:r>
        <w:rPr>
          <w:rStyle w:val="CharPartText"/>
        </w:rPr>
        <w:t>Operation of taxis</w:t>
      </w:r>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528767540"/>
      <w:bookmarkStart w:id="39" w:name="_Toc2089941"/>
      <w:bookmarkStart w:id="40" w:name="_Toc2090117"/>
      <w:bookmarkStart w:id="41" w:name="_Toc2090259"/>
      <w:bookmarkStart w:id="42" w:name="_Toc10108034"/>
      <w:bookmarkStart w:id="43" w:name="_Toc10108276"/>
      <w:bookmarkStart w:id="44" w:name="_Toc12891083"/>
      <w:r>
        <w:rPr>
          <w:rStyle w:val="CharDivNo"/>
        </w:rPr>
        <w:t>Division 1</w:t>
      </w:r>
      <w:r>
        <w:rPr>
          <w:snapToGrid w:val="0"/>
        </w:rPr>
        <w:t> — </w:t>
      </w:r>
      <w:r>
        <w:rPr>
          <w:rStyle w:val="CharDivText"/>
        </w:rPr>
        <w:t>Taxi plates</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12891084"/>
      <w:r>
        <w:rPr>
          <w:rStyle w:val="CharSectno"/>
        </w:rPr>
        <w:t>15</w:t>
      </w:r>
      <w:r>
        <w:rPr>
          <w:snapToGrid w:val="0"/>
        </w:rPr>
        <w:t>.</w:t>
      </w:r>
      <w:r>
        <w:rPr>
          <w:snapToGrid w:val="0"/>
        </w:rPr>
        <w:tab/>
        <w:t>Taxi plates required on taxi operating in control area</w:t>
      </w:r>
      <w:bookmarkEnd w:id="45"/>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46" w:name="_Toc12891085"/>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46"/>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No. 72 of 2003 s. 5; No. 4 of 2006 s. 7; No. 26 of 2007 s. 5; No. 46 of 2009 s. 17; No. 42 of 2011 s. 107; No. 8 of 2012 s. 180.]</w:t>
      </w:r>
    </w:p>
    <w:p>
      <w:pPr>
        <w:pStyle w:val="Heading5"/>
        <w:rPr>
          <w:snapToGrid w:val="0"/>
        </w:rPr>
      </w:pPr>
      <w:bookmarkStart w:id="47" w:name="_Toc12891086"/>
      <w:r>
        <w:rPr>
          <w:rStyle w:val="CharSectno"/>
        </w:rPr>
        <w:t>17</w:t>
      </w:r>
      <w:r>
        <w:rPr>
          <w:snapToGrid w:val="0"/>
        </w:rPr>
        <w:t>.</w:t>
      </w:r>
      <w:r>
        <w:rPr>
          <w:snapToGrid w:val="0"/>
        </w:rPr>
        <w:tab/>
        <w:t>Tenders and applications for taxi plates</w:t>
      </w:r>
      <w:bookmarkEnd w:id="47"/>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 No. 72 of 2003 s. 6; No. 29 of 2016 s. 4.]</w:t>
      </w:r>
    </w:p>
    <w:p>
      <w:pPr>
        <w:pStyle w:val="Heading5"/>
        <w:spacing w:before="260"/>
        <w:rPr>
          <w:snapToGrid w:val="0"/>
        </w:rPr>
      </w:pPr>
      <w:bookmarkStart w:id="48" w:name="_Toc12891087"/>
      <w:r>
        <w:rPr>
          <w:rStyle w:val="CharSectno"/>
        </w:rPr>
        <w:t>18</w:t>
      </w:r>
      <w:r>
        <w:rPr>
          <w:snapToGrid w:val="0"/>
        </w:rPr>
        <w:t>.</w:t>
      </w:r>
      <w:r>
        <w:rPr>
          <w:snapToGrid w:val="0"/>
        </w:rPr>
        <w:tab/>
        <w:t>Issuing taxi plates</w:t>
      </w:r>
      <w:bookmarkEnd w:id="48"/>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No. 72 of 2003 s. 7; No. 4 of 2006 s. 8; No. 26 of 2007 s. 6.]</w:t>
      </w:r>
    </w:p>
    <w:p>
      <w:pPr>
        <w:pStyle w:val="Heading5"/>
        <w:rPr>
          <w:snapToGrid w:val="0"/>
        </w:rPr>
      </w:pPr>
      <w:bookmarkStart w:id="49" w:name="_Toc12891088"/>
      <w:r>
        <w:rPr>
          <w:rStyle w:val="CharSectno"/>
        </w:rPr>
        <w:t>19</w:t>
      </w:r>
      <w:r>
        <w:rPr>
          <w:snapToGrid w:val="0"/>
        </w:rPr>
        <w:t>.</w:t>
      </w:r>
      <w:r>
        <w:rPr>
          <w:snapToGrid w:val="0"/>
        </w:rPr>
        <w:tab/>
        <w:t>Annual fees for taxi plates</w:t>
      </w:r>
      <w:bookmarkEnd w:id="4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No. 72 of 2003 s. 8 and 18.]</w:t>
      </w:r>
    </w:p>
    <w:p>
      <w:pPr>
        <w:pStyle w:val="Heading5"/>
      </w:pPr>
      <w:bookmarkStart w:id="50" w:name="_Toc12891089"/>
      <w:r>
        <w:rPr>
          <w:rStyle w:val="CharSectno"/>
        </w:rPr>
        <w:t>19A</w:t>
      </w:r>
      <w:r>
        <w:t>.</w:t>
      </w:r>
      <w:r>
        <w:tab/>
        <w:t>Periodic payments for leased taxi plates</w:t>
      </w:r>
      <w:bookmarkEnd w:id="50"/>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No. 72 of 2003 s. 9.]</w:t>
      </w:r>
    </w:p>
    <w:p>
      <w:pPr>
        <w:pStyle w:val="Heading5"/>
        <w:rPr>
          <w:snapToGrid w:val="0"/>
        </w:rPr>
      </w:pPr>
      <w:bookmarkStart w:id="51" w:name="_Toc12891090"/>
      <w:r>
        <w:rPr>
          <w:rStyle w:val="CharSectno"/>
        </w:rPr>
        <w:t>20</w:t>
      </w:r>
      <w:r>
        <w:rPr>
          <w:snapToGrid w:val="0"/>
        </w:rPr>
        <w:t>.</w:t>
      </w:r>
      <w:r>
        <w:rPr>
          <w:snapToGrid w:val="0"/>
        </w:rPr>
        <w:tab/>
        <w:t>Conditions on operating taxis</w:t>
      </w:r>
      <w:bookmarkEnd w:id="51"/>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keepNext/>
        <w:rPr>
          <w:snapToGrid w:val="0"/>
        </w:rPr>
      </w:pPr>
      <w:r>
        <w:rPr>
          <w:snapToGrid w:val="0"/>
        </w:rPr>
        <w:tab/>
        <w:t>(2)</w:t>
      </w:r>
      <w:r>
        <w:rPr>
          <w:snapToGrid w:val="0"/>
        </w:rPr>
        <w:tab/>
        <w:t>A person who is — </w:t>
      </w:r>
    </w:p>
    <w:p>
      <w:pPr>
        <w:pStyle w:val="Indenta"/>
        <w:keepNext/>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No. 72 of 2003 s. 18; No. 55 of 2004 s. 1185.]</w:t>
      </w:r>
    </w:p>
    <w:p>
      <w:pPr>
        <w:pStyle w:val="Heading5"/>
        <w:rPr>
          <w:snapToGrid w:val="0"/>
        </w:rPr>
      </w:pPr>
      <w:bookmarkStart w:id="52" w:name="_Toc12891091"/>
      <w:r>
        <w:rPr>
          <w:rStyle w:val="CharSectno"/>
        </w:rPr>
        <w:t>21</w:t>
      </w:r>
      <w:r>
        <w:rPr>
          <w:snapToGrid w:val="0"/>
        </w:rPr>
        <w:t>.</w:t>
      </w:r>
      <w:r>
        <w:rPr>
          <w:snapToGrid w:val="0"/>
        </w:rPr>
        <w:tab/>
        <w:t>How taxi plates to be used; consequences of non-use</w:t>
      </w:r>
      <w:bookmarkEnd w:id="5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No. 72 of 2003 s. 10 and 18; No. 26 of 2007 s. 7.]</w:t>
      </w:r>
    </w:p>
    <w:p>
      <w:pPr>
        <w:pStyle w:val="Heading5"/>
        <w:rPr>
          <w:snapToGrid w:val="0"/>
        </w:rPr>
      </w:pPr>
      <w:bookmarkStart w:id="53" w:name="_Toc12891092"/>
      <w:r>
        <w:rPr>
          <w:rStyle w:val="CharSectno"/>
        </w:rPr>
        <w:t>22</w:t>
      </w:r>
      <w:r>
        <w:rPr>
          <w:snapToGrid w:val="0"/>
        </w:rPr>
        <w:t>.</w:t>
      </w:r>
      <w:r>
        <w:rPr>
          <w:snapToGrid w:val="0"/>
        </w:rPr>
        <w:tab/>
        <w:t>Varying conditions imposed under s. 20</w:t>
      </w:r>
      <w:bookmarkEnd w:id="53"/>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No. 72 of 2003 s. 18; No. 55 of 2004 s. 1186.]</w:t>
      </w:r>
    </w:p>
    <w:p>
      <w:pPr>
        <w:pStyle w:val="Heading5"/>
        <w:rPr>
          <w:snapToGrid w:val="0"/>
        </w:rPr>
      </w:pPr>
      <w:bookmarkStart w:id="54" w:name="_Toc12891093"/>
      <w:r>
        <w:rPr>
          <w:rStyle w:val="CharSectno"/>
        </w:rPr>
        <w:t>23</w:t>
      </w:r>
      <w:r>
        <w:rPr>
          <w:snapToGrid w:val="0"/>
        </w:rPr>
        <w:t>.</w:t>
      </w:r>
      <w:r>
        <w:rPr>
          <w:snapToGrid w:val="0"/>
        </w:rPr>
        <w:tab/>
        <w:t>Persons no longer fit to hold taxi plates, powers to deal with</w:t>
      </w:r>
      <w:bookmarkEnd w:id="5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No. 72 of 2003 s. 11 and 18; No. 55 of 2004 s. 1187.]</w:t>
      </w:r>
    </w:p>
    <w:p>
      <w:pPr>
        <w:pStyle w:val="Heading5"/>
      </w:pPr>
      <w:bookmarkStart w:id="55" w:name="_Toc12891094"/>
      <w:r>
        <w:rPr>
          <w:rStyle w:val="CharSectno"/>
        </w:rPr>
        <w:t>23A</w:t>
      </w:r>
      <w:r>
        <w:t>.</w:t>
      </w:r>
      <w:r>
        <w:tab/>
        <w:t>When lessees of taxi plates forfeit right to them</w:t>
      </w:r>
      <w:bookmarkEnd w:id="55"/>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keepNext/>
      </w:pPr>
      <w:r>
        <w:tab/>
        <w:t>(c)</w:t>
      </w:r>
      <w:r>
        <w:tab/>
        <w:t xml:space="preserve">a corporation that leases taxi plates if — </w:t>
      </w:r>
    </w:p>
    <w:p>
      <w:pPr>
        <w:pStyle w:val="Indenti"/>
        <w:keepNext/>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No. 72 of 2003 s. 12.]</w:t>
      </w:r>
    </w:p>
    <w:p>
      <w:pPr>
        <w:pStyle w:val="Heading5"/>
        <w:rPr>
          <w:snapToGrid w:val="0"/>
        </w:rPr>
      </w:pPr>
      <w:bookmarkStart w:id="56" w:name="_Toc12891095"/>
      <w:r>
        <w:rPr>
          <w:rStyle w:val="CharSectno"/>
        </w:rPr>
        <w:t>24</w:t>
      </w:r>
      <w:r>
        <w:rPr>
          <w:snapToGrid w:val="0"/>
        </w:rPr>
        <w:t>.</w:t>
      </w:r>
      <w:r>
        <w:rPr>
          <w:snapToGrid w:val="0"/>
        </w:rPr>
        <w:tab/>
        <w:t>Transferring ownership of taxi plates</w:t>
      </w:r>
      <w:bookmarkEnd w:id="56"/>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No. 72 of 2003 s. 13; No. 26 of 2007 s. 8; No. 29 of 2016 s. 5.]</w:t>
      </w:r>
    </w:p>
    <w:p>
      <w:pPr>
        <w:pStyle w:val="Heading5"/>
        <w:rPr>
          <w:snapToGrid w:val="0"/>
        </w:rPr>
      </w:pPr>
      <w:bookmarkStart w:id="57" w:name="_Toc12891096"/>
      <w:r>
        <w:rPr>
          <w:rStyle w:val="CharSectno"/>
        </w:rPr>
        <w:t>25</w:t>
      </w:r>
      <w:r>
        <w:rPr>
          <w:snapToGrid w:val="0"/>
        </w:rPr>
        <w:t>.</w:t>
      </w:r>
      <w:r>
        <w:rPr>
          <w:snapToGrid w:val="0"/>
        </w:rPr>
        <w:tab/>
        <w:t>Taxi plates to be returned in some cases</w:t>
      </w:r>
      <w:bookmarkEnd w:id="5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No. 72 of 2003 s. 14 and 18; No. 4 of 2006 s. 5(3); No. 26 of 2007 s. 9.]</w:t>
      </w:r>
    </w:p>
    <w:p>
      <w:pPr>
        <w:pStyle w:val="Ednotedivision"/>
      </w:pPr>
      <w:bookmarkStart w:id="58" w:name="_Toc528767554"/>
      <w:r>
        <w:t>[Div. 2 (s. 26-30) deleted: No. 26 of 2018 s. 302.]</w:t>
      </w:r>
    </w:p>
    <w:p>
      <w:pPr>
        <w:pStyle w:val="Heading3"/>
      </w:pPr>
      <w:bookmarkStart w:id="59" w:name="_Toc528767560"/>
      <w:bookmarkStart w:id="60" w:name="_Toc2089955"/>
      <w:bookmarkStart w:id="61" w:name="_Toc2090131"/>
      <w:bookmarkStart w:id="62" w:name="_Toc2090273"/>
      <w:bookmarkStart w:id="63" w:name="_Toc10108048"/>
      <w:bookmarkStart w:id="64" w:name="_Toc10108290"/>
      <w:bookmarkStart w:id="65" w:name="_Toc12891097"/>
      <w:bookmarkEnd w:id="58"/>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59"/>
      <w:bookmarkEnd w:id="60"/>
      <w:bookmarkEnd w:id="61"/>
      <w:bookmarkEnd w:id="62"/>
      <w:bookmarkEnd w:id="63"/>
      <w:bookmarkEnd w:id="64"/>
      <w:bookmarkEnd w:id="65"/>
    </w:p>
    <w:p>
      <w:pPr>
        <w:pStyle w:val="Footnoteheading"/>
      </w:pPr>
      <w:r>
        <w:tab/>
        <w:t>[Heading inserted: No. 4 of 2006 s. 4.]</w:t>
      </w:r>
    </w:p>
    <w:p>
      <w:pPr>
        <w:pStyle w:val="Heading5"/>
      </w:pPr>
      <w:bookmarkStart w:id="66" w:name="_Toc12891098"/>
      <w:r>
        <w:rPr>
          <w:rStyle w:val="CharSectno"/>
        </w:rPr>
        <w:t>30A</w:t>
      </w:r>
      <w:r>
        <w:t>.</w:t>
      </w:r>
      <w:r>
        <w:tab/>
        <w:t>Terms used</w:t>
      </w:r>
      <w:bookmarkEnd w:id="66"/>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No. 4 of 2006 s. 4; amended: No. 26 of 2007 s. 10.]</w:t>
      </w:r>
    </w:p>
    <w:p>
      <w:pPr>
        <w:pStyle w:val="Heading5"/>
        <w:spacing w:before="240"/>
      </w:pPr>
      <w:bookmarkStart w:id="67" w:name="_Toc12891099"/>
      <w:r>
        <w:rPr>
          <w:rStyle w:val="CharSectno"/>
        </w:rPr>
        <w:t>30B</w:t>
      </w:r>
      <w:r>
        <w:t>.</w:t>
      </w:r>
      <w:r>
        <w:tab/>
        <w:t>Buy</w:t>
      </w:r>
      <w:r>
        <w:noBreakHyphen/>
        <w:t>back agreements for transferable MPT plates</w:t>
      </w:r>
      <w:bookmarkEnd w:id="6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No. 4 of 2006 s. 4.]</w:t>
      </w:r>
    </w:p>
    <w:p>
      <w:pPr>
        <w:pStyle w:val="Heading5"/>
        <w:spacing w:before="240"/>
      </w:pPr>
      <w:bookmarkStart w:id="68" w:name="_Toc12891100"/>
      <w:r>
        <w:rPr>
          <w:rStyle w:val="CharSectno"/>
        </w:rPr>
        <w:t>30C</w:t>
      </w:r>
      <w:r>
        <w:t>.</w:t>
      </w:r>
      <w:r>
        <w:tab/>
        <w:t>Operation of s. 30D to 30G subject to conditions</w:t>
      </w:r>
      <w:bookmarkEnd w:id="6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No. 4 of 2006 s. 4.]</w:t>
      </w:r>
    </w:p>
    <w:p>
      <w:pPr>
        <w:pStyle w:val="Heading5"/>
      </w:pPr>
      <w:bookmarkStart w:id="69" w:name="_Toc12891101"/>
      <w:r>
        <w:rPr>
          <w:rStyle w:val="CharSectno"/>
        </w:rPr>
        <w:t>30D</w:t>
      </w:r>
      <w:r>
        <w:t>.</w:t>
      </w:r>
      <w:r>
        <w:tab/>
        <w:t>Certain MPT owner</w:t>
      </w:r>
      <w:r>
        <w:noBreakHyphen/>
        <w:t>drivers and eligible operators to be offered leases of taxi plates for multi</w:t>
      </w:r>
      <w:r>
        <w:noBreakHyphen/>
        <w:t>purpose taxis</w:t>
      </w:r>
      <w:bookmarkEnd w:id="69"/>
    </w:p>
    <w:p>
      <w:pPr>
        <w:pStyle w:val="Subsection"/>
        <w:keepNext/>
      </w:pPr>
      <w:r>
        <w:tab/>
        <w:t>(1)</w:t>
      </w:r>
      <w:r>
        <w:tab/>
        <w:t>Taxi plates to be used on a multi</w:t>
      </w:r>
      <w:r>
        <w:noBreakHyphen/>
        <w:t xml:space="preserve">purpose taxi shall, subject to this section, be offered for lease to — </w:t>
      </w:r>
    </w:p>
    <w:p>
      <w:pPr>
        <w:pStyle w:val="Indenta"/>
        <w:keepNext/>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No. 4 of 2006 s. 4.]</w:t>
      </w:r>
    </w:p>
    <w:p>
      <w:pPr>
        <w:pStyle w:val="Heading5"/>
      </w:pPr>
      <w:bookmarkStart w:id="70" w:name="_Toc12891102"/>
      <w:r>
        <w:rPr>
          <w:rStyle w:val="CharSectno"/>
        </w:rPr>
        <w:t>30E</w:t>
      </w:r>
      <w:r>
        <w:t>.</w:t>
      </w:r>
      <w:r>
        <w:tab/>
        <w:t>Leases by eligible operators of taxi plates for multi</w:t>
      </w:r>
      <w:r>
        <w:noBreakHyphen/>
        <w:t>purpose taxis</w:t>
      </w:r>
      <w:bookmarkEnd w:id="70"/>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No. 4 of 2006 s. 4.]</w:t>
      </w:r>
    </w:p>
    <w:p>
      <w:pPr>
        <w:pStyle w:val="Heading5"/>
      </w:pPr>
      <w:bookmarkStart w:id="71" w:name="_Toc12891103"/>
      <w:r>
        <w:rPr>
          <w:rStyle w:val="CharSectno"/>
        </w:rPr>
        <w:t>30F</w:t>
      </w:r>
      <w:r>
        <w:t>.</w:t>
      </w:r>
      <w:r>
        <w:tab/>
        <w:t>Leases by certain MPT owner</w:t>
      </w:r>
      <w:r>
        <w:noBreakHyphen/>
        <w:t>drivers and others of taxi plates for multi</w:t>
      </w:r>
      <w:r>
        <w:noBreakHyphen/>
        <w:t>purpose taxis</w:t>
      </w:r>
      <w:bookmarkEnd w:id="71"/>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No. 4 of 2006 s. 4.]</w:t>
      </w:r>
    </w:p>
    <w:p>
      <w:pPr>
        <w:pStyle w:val="Heading5"/>
      </w:pPr>
      <w:bookmarkStart w:id="72" w:name="_Toc12891104"/>
      <w:r>
        <w:rPr>
          <w:rStyle w:val="CharSectno"/>
        </w:rPr>
        <w:t>30G</w:t>
      </w:r>
      <w:r>
        <w:t>.</w:t>
      </w:r>
      <w:r>
        <w:tab/>
        <w:t>Compensation for certain parties to buy</w:t>
      </w:r>
      <w:r>
        <w:noBreakHyphen/>
        <w:t>back agreements</w:t>
      </w:r>
      <w:bookmarkEnd w:id="7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No. 4 of 2006 s. 4.]</w:t>
      </w:r>
    </w:p>
    <w:p>
      <w:pPr>
        <w:pStyle w:val="Heading5"/>
      </w:pPr>
      <w:bookmarkStart w:id="73" w:name="_Toc12891105"/>
      <w:r>
        <w:rPr>
          <w:rStyle w:val="CharSectno"/>
        </w:rPr>
        <w:t>30H</w:t>
      </w:r>
      <w:r>
        <w:t>.</w:t>
      </w:r>
      <w:r>
        <w:tab/>
        <w:t>Consolidated Account charged with payment for plates</w:t>
      </w:r>
      <w:bookmarkEnd w:id="73"/>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No. 4 of 2006 s. 4; amended: No. 77 of 2006 s. 4.]</w:t>
      </w:r>
    </w:p>
    <w:p>
      <w:pPr>
        <w:pStyle w:val="Heading3"/>
      </w:pPr>
      <w:bookmarkStart w:id="74" w:name="_Toc528767569"/>
      <w:bookmarkStart w:id="75" w:name="_Toc2089964"/>
      <w:bookmarkStart w:id="76" w:name="_Toc2090140"/>
      <w:bookmarkStart w:id="77" w:name="_Toc2090282"/>
      <w:bookmarkStart w:id="78" w:name="_Toc10108057"/>
      <w:bookmarkStart w:id="79" w:name="_Toc10108299"/>
      <w:bookmarkStart w:id="80" w:name="_Toc12891106"/>
      <w:r>
        <w:rPr>
          <w:rStyle w:val="CharDivNo"/>
        </w:rPr>
        <w:t>Division 4</w:t>
      </w:r>
      <w:r>
        <w:t> — </w:t>
      </w:r>
      <w:r>
        <w:rPr>
          <w:rStyle w:val="CharDivText"/>
        </w:rPr>
        <w:t>Exchange of restricted hours taxi plates</w:t>
      </w:r>
      <w:bookmarkEnd w:id="74"/>
      <w:bookmarkEnd w:id="75"/>
      <w:bookmarkEnd w:id="76"/>
      <w:bookmarkEnd w:id="77"/>
      <w:bookmarkEnd w:id="78"/>
      <w:bookmarkEnd w:id="79"/>
      <w:bookmarkEnd w:id="80"/>
    </w:p>
    <w:p>
      <w:pPr>
        <w:pStyle w:val="Footnoteheading"/>
        <w:keepNext/>
      </w:pPr>
      <w:r>
        <w:tab/>
        <w:t>[Heading inserted No. 26 of 2007 s. 11.]</w:t>
      </w:r>
    </w:p>
    <w:p>
      <w:pPr>
        <w:pStyle w:val="Heading5"/>
      </w:pPr>
      <w:bookmarkStart w:id="81" w:name="_Toc12891107"/>
      <w:r>
        <w:rPr>
          <w:rStyle w:val="CharSectno"/>
        </w:rPr>
        <w:t>30I</w:t>
      </w:r>
      <w:r>
        <w:t>.</w:t>
      </w:r>
      <w:r>
        <w:tab/>
        <w:t>Agreements to exchange restricted hours taxi plates for conventional taxi plates</w:t>
      </w:r>
      <w:bookmarkEnd w:id="8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No. 26 of 2007 s. 11.]</w:t>
      </w:r>
    </w:p>
    <w:p>
      <w:pPr>
        <w:pStyle w:val="Heading2"/>
      </w:pPr>
      <w:bookmarkStart w:id="82" w:name="_Toc528767571"/>
      <w:bookmarkStart w:id="83" w:name="_Toc2089966"/>
      <w:bookmarkStart w:id="84" w:name="_Toc2090142"/>
      <w:bookmarkStart w:id="85" w:name="_Toc2090284"/>
      <w:bookmarkStart w:id="86" w:name="_Toc10108059"/>
      <w:bookmarkStart w:id="87" w:name="_Toc10108301"/>
      <w:bookmarkStart w:id="88" w:name="_Toc12891108"/>
      <w:r>
        <w:rPr>
          <w:rStyle w:val="CharPartNo"/>
        </w:rPr>
        <w:t>Part 3A</w:t>
      </w:r>
      <w:r>
        <w:rPr>
          <w:rStyle w:val="CharDivNo"/>
        </w:rPr>
        <w:t> </w:t>
      </w:r>
      <w:r>
        <w:t>—</w:t>
      </w:r>
      <w:r>
        <w:rPr>
          <w:rStyle w:val="CharDivText"/>
        </w:rPr>
        <w:t> </w:t>
      </w:r>
      <w:r>
        <w:rPr>
          <w:rStyle w:val="CharPartText"/>
        </w:rPr>
        <w:t>Adjustment assistance grants</w:t>
      </w:r>
      <w:bookmarkEnd w:id="82"/>
      <w:bookmarkEnd w:id="83"/>
      <w:bookmarkEnd w:id="84"/>
      <w:bookmarkEnd w:id="85"/>
      <w:bookmarkEnd w:id="86"/>
      <w:bookmarkEnd w:id="87"/>
      <w:bookmarkEnd w:id="88"/>
    </w:p>
    <w:p>
      <w:pPr>
        <w:pStyle w:val="Footnoteheading"/>
      </w:pPr>
      <w:r>
        <w:tab/>
        <w:t>[Heading inserted: No. 29 of 2016 s. 6.]</w:t>
      </w:r>
    </w:p>
    <w:p>
      <w:pPr>
        <w:pStyle w:val="Heading5"/>
      </w:pPr>
      <w:bookmarkStart w:id="89" w:name="_Toc12891109"/>
      <w:r>
        <w:rPr>
          <w:rStyle w:val="CharSectno"/>
        </w:rPr>
        <w:t>30J</w:t>
      </w:r>
      <w:r>
        <w:t>.</w:t>
      </w:r>
      <w:r>
        <w:tab/>
        <w:t>Terms used</w:t>
      </w:r>
      <w:bookmarkEnd w:id="89"/>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 No. 29 of 2016 s. 6.]</w:t>
      </w:r>
    </w:p>
    <w:p>
      <w:pPr>
        <w:pStyle w:val="Heading5"/>
      </w:pPr>
      <w:bookmarkStart w:id="90" w:name="_Toc12891110"/>
      <w:r>
        <w:rPr>
          <w:rStyle w:val="CharSectno"/>
        </w:rPr>
        <w:t>30K</w:t>
      </w:r>
      <w:r>
        <w:t>.</w:t>
      </w:r>
      <w:r>
        <w:tab/>
        <w:t>Application for adjustment assistance grant</w:t>
      </w:r>
      <w:bookmarkEnd w:id="90"/>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 No. 29 of 2016 s. 6.]</w:t>
      </w:r>
    </w:p>
    <w:p>
      <w:pPr>
        <w:pStyle w:val="Heading5"/>
      </w:pPr>
      <w:bookmarkStart w:id="91" w:name="_Toc12891111"/>
      <w:r>
        <w:rPr>
          <w:rStyle w:val="CharSectno"/>
        </w:rPr>
        <w:t>30L</w:t>
      </w:r>
      <w:r>
        <w:t>.</w:t>
      </w:r>
      <w:r>
        <w:tab/>
        <w:t>Requirement to grant application for adjustment assistance grant</w:t>
      </w:r>
      <w:bookmarkEnd w:id="91"/>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 No. 29 of 2016 s. 6.]</w:t>
      </w:r>
    </w:p>
    <w:p>
      <w:pPr>
        <w:pStyle w:val="Heading5"/>
      </w:pPr>
      <w:bookmarkStart w:id="92" w:name="_Toc12891112"/>
      <w:r>
        <w:rPr>
          <w:rStyle w:val="CharSectno"/>
        </w:rPr>
        <w:t>30M</w:t>
      </w:r>
      <w:r>
        <w:t>.</w:t>
      </w:r>
      <w:r>
        <w:tab/>
        <w:t>Amount and payment of adjustment assistance grant</w:t>
      </w:r>
      <w:bookmarkEnd w:id="92"/>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 No. 29 of 2016 s. 6.]</w:t>
      </w:r>
    </w:p>
    <w:p>
      <w:pPr>
        <w:pStyle w:val="Heading2"/>
      </w:pPr>
      <w:bookmarkStart w:id="93" w:name="_Toc528767576"/>
      <w:bookmarkStart w:id="94" w:name="_Toc2089971"/>
      <w:bookmarkStart w:id="95" w:name="_Toc2090147"/>
      <w:bookmarkStart w:id="96" w:name="_Toc2090289"/>
      <w:bookmarkStart w:id="97" w:name="_Toc10108064"/>
      <w:bookmarkStart w:id="98" w:name="_Toc10108306"/>
      <w:bookmarkStart w:id="99" w:name="_Toc12891113"/>
      <w:r>
        <w:rPr>
          <w:rStyle w:val="CharPartNo"/>
        </w:rPr>
        <w:t>Part 4</w:t>
      </w:r>
      <w:r>
        <w:rPr>
          <w:rStyle w:val="CharDivNo"/>
        </w:rPr>
        <w:t> </w:t>
      </w:r>
      <w:r>
        <w:t>—</w:t>
      </w:r>
      <w:r>
        <w:rPr>
          <w:rStyle w:val="CharDivText"/>
        </w:rPr>
        <w:t> </w:t>
      </w:r>
      <w:r>
        <w:rPr>
          <w:rStyle w:val="CharPartText"/>
        </w:rPr>
        <w:t>General</w:t>
      </w:r>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12891114"/>
      <w:r>
        <w:rPr>
          <w:rStyle w:val="CharSectno"/>
        </w:rPr>
        <w:t>31</w:t>
      </w:r>
      <w:r>
        <w:rPr>
          <w:snapToGrid w:val="0"/>
        </w:rPr>
        <w:t>.</w:t>
      </w:r>
      <w:r>
        <w:rPr>
          <w:snapToGrid w:val="0"/>
        </w:rPr>
        <w:tab/>
        <w:t>Authorised officers, designation of</w:t>
      </w:r>
      <w:bookmarkEnd w:id="100"/>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01" w:name="_Toc12891115"/>
      <w:r>
        <w:rPr>
          <w:rStyle w:val="CharSectno"/>
        </w:rPr>
        <w:t>32</w:t>
      </w:r>
      <w:r>
        <w:rPr>
          <w:snapToGrid w:val="0"/>
        </w:rPr>
        <w:t>.</w:t>
      </w:r>
      <w:r>
        <w:rPr>
          <w:snapToGrid w:val="0"/>
        </w:rPr>
        <w:tab/>
        <w:t>Powers of authorised officers</w:t>
      </w:r>
      <w:bookmarkEnd w:id="10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No. 72 of 2003 s. 18; No. 8 of 2012 s. 181.]</w:t>
      </w:r>
    </w:p>
    <w:p>
      <w:pPr>
        <w:pStyle w:val="Heading5"/>
        <w:rPr>
          <w:snapToGrid w:val="0"/>
        </w:rPr>
      </w:pPr>
      <w:bookmarkStart w:id="102" w:name="_Toc12891116"/>
      <w:r>
        <w:rPr>
          <w:rStyle w:val="CharSectno"/>
        </w:rPr>
        <w:t>33</w:t>
      </w:r>
      <w:r>
        <w:rPr>
          <w:snapToGrid w:val="0"/>
        </w:rPr>
        <w:t>.</w:t>
      </w:r>
      <w:r>
        <w:rPr>
          <w:snapToGrid w:val="0"/>
        </w:rPr>
        <w:tab/>
        <w:t>Evidentiary provisions for prosecutions</w:t>
      </w:r>
      <w:bookmarkEnd w:id="102"/>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No. 72 of 2003 s. 18; No. 84 of 2004 s. 80; No. 26 of 2018 s. 332.]</w:t>
      </w:r>
    </w:p>
    <w:p>
      <w:pPr>
        <w:pStyle w:val="Ednotesection"/>
      </w:pPr>
      <w:r>
        <w:t>[</w:t>
      </w:r>
      <w:r>
        <w:rPr>
          <w:b/>
        </w:rPr>
        <w:t>34</w:t>
      </w:r>
      <w:r>
        <w:rPr>
          <w:b/>
        </w:rPr>
        <w:noBreakHyphen/>
        <w:t>35.</w:t>
      </w:r>
      <w:r>
        <w:tab/>
        <w:t>Deleted: No. 10 of 1999 s. 9.]</w:t>
      </w:r>
    </w:p>
    <w:p>
      <w:pPr>
        <w:pStyle w:val="Heading5"/>
        <w:rPr>
          <w:snapToGrid w:val="0"/>
        </w:rPr>
      </w:pPr>
      <w:bookmarkStart w:id="103" w:name="_Toc12891117"/>
      <w:r>
        <w:rPr>
          <w:rStyle w:val="CharSectno"/>
        </w:rPr>
        <w:t>36</w:t>
      </w:r>
      <w:r>
        <w:rPr>
          <w:snapToGrid w:val="0"/>
        </w:rPr>
        <w:t>.</w:t>
      </w:r>
      <w:r>
        <w:rPr>
          <w:snapToGrid w:val="0"/>
        </w:rPr>
        <w:tab/>
        <w:t>Bonds given by drivers to operators</w:t>
      </w:r>
      <w:bookmarkEnd w:id="10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No. 4 of 2006 s. 9.]</w:t>
      </w:r>
    </w:p>
    <w:p>
      <w:pPr>
        <w:pStyle w:val="Heading5"/>
        <w:rPr>
          <w:snapToGrid w:val="0"/>
        </w:rPr>
      </w:pPr>
      <w:bookmarkStart w:id="104" w:name="_Toc12891118"/>
      <w:r>
        <w:rPr>
          <w:rStyle w:val="CharSectno"/>
        </w:rPr>
        <w:t>37</w:t>
      </w:r>
      <w:r>
        <w:rPr>
          <w:snapToGrid w:val="0"/>
        </w:rPr>
        <w:t>.</w:t>
      </w:r>
      <w:r>
        <w:rPr>
          <w:snapToGrid w:val="0"/>
        </w:rPr>
        <w:tab/>
        <w:t>Rights to reasons for and review of certain decisions</w:t>
      </w:r>
      <w:bookmarkEnd w:id="104"/>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w:t>
      </w:r>
      <w:r>
        <w:t xml:space="preserve"> section 24,</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w:t>
      </w:r>
      <w:r>
        <w:t xml:space="preserve"> transferee,</w:t>
      </w:r>
    </w:p>
    <w:p>
      <w:pPr>
        <w:pStyle w:val="Ednotepara"/>
        <w:rPr>
          <w:snapToGrid w:val="0"/>
        </w:rPr>
      </w:pPr>
      <w:r>
        <w:rPr>
          <w:snapToGrid w:val="0"/>
        </w:rPr>
        <w:tab/>
        <w:t>[(f)</w:t>
      </w:r>
      <w:r>
        <w:rPr>
          <w:snapToGrid w:val="0"/>
        </w:rPr>
        <w:tab/>
        <w:t>deleted]</w:t>
      </w:r>
    </w:p>
    <w:p>
      <w:pPr>
        <w:pStyle w:val="Subsection"/>
        <w:rPr>
          <w:snapToGrid w:val="0"/>
        </w:rPr>
      </w:pPr>
      <w:r>
        <w:rPr>
          <w:snapToGrid w:val="0"/>
        </w:rPr>
        <w:tab/>
      </w:r>
      <w:r>
        <w:rPr>
          <w:snapToGrid w:val="0"/>
        </w:rPr>
        <w:tab/>
        <w:t>is fit to be the owner</w:t>
      </w:r>
      <w:r>
        <w:t xml:space="preserve"> or lessee</w:t>
      </w:r>
      <w:r>
        <w:rPr>
          <w:snapToGrid w:val="0"/>
        </w:rPr>
        <w:t xml:space="preserve"> of taxi </w:t>
      </w:r>
      <w:r>
        <w:t xml:space="preserve">plates, 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No. 72 of 2003 s. 16; No. 55 of 2004 s. 1189; No. 26 of 2018 s. 333.]</w:t>
      </w:r>
    </w:p>
    <w:p>
      <w:pPr>
        <w:pStyle w:val="Ednotesection"/>
      </w:pPr>
      <w:r>
        <w:t>[</w:t>
      </w:r>
      <w:r>
        <w:rPr>
          <w:b/>
        </w:rPr>
        <w:t>38.</w:t>
      </w:r>
      <w:r>
        <w:tab/>
        <w:t>Deleted: No. 55 of 2004 s. 1190.]</w:t>
      </w:r>
    </w:p>
    <w:p>
      <w:pPr>
        <w:pStyle w:val="Heading5"/>
        <w:rPr>
          <w:snapToGrid w:val="0"/>
        </w:rPr>
      </w:pPr>
      <w:bookmarkStart w:id="105" w:name="_Toc12891119"/>
      <w:r>
        <w:rPr>
          <w:rStyle w:val="CharSectno"/>
        </w:rPr>
        <w:t>39</w:t>
      </w:r>
      <w:r>
        <w:rPr>
          <w:snapToGrid w:val="0"/>
        </w:rPr>
        <w:t>.</w:t>
      </w:r>
      <w:r>
        <w:rPr>
          <w:snapToGrid w:val="0"/>
        </w:rPr>
        <w:tab/>
        <w:t>Infringement notices</w:t>
      </w:r>
      <w:bookmarkEnd w:id="10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No. 78 of 1995 s. 126; No. 84 of 2004 s. 80.] </w:t>
      </w:r>
    </w:p>
    <w:p>
      <w:pPr>
        <w:pStyle w:val="Heading5"/>
        <w:rPr>
          <w:snapToGrid w:val="0"/>
        </w:rPr>
      </w:pPr>
      <w:bookmarkStart w:id="106" w:name="_Toc12891120"/>
      <w:r>
        <w:rPr>
          <w:rStyle w:val="CharSectno"/>
        </w:rPr>
        <w:t>40</w:t>
      </w:r>
      <w:r>
        <w:rPr>
          <w:snapToGrid w:val="0"/>
        </w:rPr>
        <w:t>.</w:t>
      </w:r>
      <w:r>
        <w:rPr>
          <w:snapToGrid w:val="0"/>
        </w:rPr>
        <w:tab/>
        <w:t>Regulations</w:t>
      </w:r>
      <w:bookmarkEnd w:id="10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No. 44 of 1998 s. 4.]</w:t>
      </w:r>
    </w:p>
    <w:p>
      <w:pPr>
        <w:pStyle w:val="Heading5"/>
        <w:rPr>
          <w:snapToGrid w:val="0"/>
        </w:rPr>
      </w:pPr>
      <w:bookmarkStart w:id="107" w:name="_Toc12891121"/>
      <w:r>
        <w:rPr>
          <w:rStyle w:val="CharSectno"/>
        </w:rPr>
        <w:t>41</w:t>
      </w:r>
      <w:r>
        <w:rPr>
          <w:snapToGrid w:val="0"/>
        </w:rPr>
        <w:t>.</w:t>
      </w:r>
      <w:r>
        <w:rPr>
          <w:snapToGrid w:val="0"/>
        </w:rPr>
        <w:tab/>
      </w:r>
      <w:r>
        <w:t>Taxi Industry Development Account</w:t>
      </w:r>
      <w:bookmarkEnd w:id="107"/>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 xml:space="preserve">[Section 41 amended: No. 49 of 1996 s. 64; No. 44 of 1998 s. 5; No. 7 of 2002 s. 32(1) to (6) and 35; No. 72 of 2003 s. 17; No. 77 of 2006 Sch. 1 cl. 167(2); No. 26 of 2007 s. 12; No. 29 of 2016 s. 7.] </w:t>
      </w:r>
    </w:p>
    <w:p>
      <w:pPr>
        <w:pStyle w:val="Ednotesection"/>
      </w:pPr>
      <w:r>
        <w:t>[</w:t>
      </w:r>
      <w:r>
        <w:rPr>
          <w:b/>
        </w:rPr>
        <w:t>42.</w:t>
      </w:r>
      <w:r>
        <w:tab/>
        <w:t>Deleted: No. 7 of 2002 s. 33.]</w:t>
      </w:r>
    </w:p>
    <w:p>
      <w:pPr>
        <w:pStyle w:val="Heading5"/>
        <w:rPr>
          <w:snapToGrid w:val="0"/>
        </w:rPr>
      </w:pPr>
      <w:bookmarkStart w:id="108" w:name="_Toc12891122"/>
      <w:r>
        <w:rPr>
          <w:rStyle w:val="CharSectno"/>
        </w:rPr>
        <w:t>43</w:t>
      </w:r>
      <w:r>
        <w:rPr>
          <w:snapToGrid w:val="0"/>
        </w:rPr>
        <w:t>.</w:t>
      </w:r>
      <w:r>
        <w:rPr>
          <w:snapToGrid w:val="0"/>
        </w:rPr>
        <w:tab/>
        <w:t>Some deemed plate holders may surrender plates</w:t>
      </w:r>
      <w:bookmarkEnd w:id="10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No. 49 of 1996 s. 64; No. 7 of 2002 s. 35; No. 72 of 2003 s. 18.] </w:t>
      </w:r>
    </w:p>
    <w:p>
      <w:pPr>
        <w:pStyle w:val="Ednotesection"/>
      </w:pPr>
      <w:r>
        <w:t>[</w:t>
      </w:r>
      <w:r>
        <w:rPr>
          <w:b/>
        </w:rPr>
        <w:t>44.</w:t>
      </w:r>
      <w:r>
        <w:tab/>
        <w:t>Deleted: No. 7 of 2002 s. 34.]</w:t>
      </w:r>
    </w:p>
    <w:p>
      <w:pPr>
        <w:pStyle w:val="Heading5"/>
        <w:rPr>
          <w:snapToGrid w:val="0"/>
        </w:rPr>
      </w:pPr>
      <w:bookmarkStart w:id="109" w:name="_Toc12891123"/>
      <w:r>
        <w:rPr>
          <w:rStyle w:val="CharSectno"/>
        </w:rPr>
        <w:t>45</w:t>
      </w:r>
      <w:r>
        <w:rPr>
          <w:snapToGrid w:val="0"/>
        </w:rPr>
        <w:t>.</w:t>
      </w:r>
      <w:r>
        <w:rPr>
          <w:snapToGrid w:val="0"/>
        </w:rPr>
        <w:tab/>
        <w:t>Review of Act</w:t>
      </w:r>
      <w:bookmarkEnd w:id="109"/>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10" w:name="_Toc528767587"/>
      <w:bookmarkStart w:id="111" w:name="_Toc2089982"/>
      <w:bookmarkStart w:id="112" w:name="_Toc2090158"/>
      <w:bookmarkStart w:id="113" w:name="_Toc2090300"/>
      <w:bookmarkStart w:id="114" w:name="_Toc10108075"/>
      <w:bookmarkStart w:id="115" w:name="_Toc10108317"/>
      <w:bookmarkStart w:id="116" w:name="_Toc12891124"/>
      <w:r>
        <w:rPr>
          <w:rStyle w:val="CharPartNo"/>
        </w:rPr>
        <w:t>Part 5</w:t>
      </w:r>
      <w:r>
        <w:rPr>
          <w:rStyle w:val="CharDivNo"/>
        </w:rPr>
        <w:t> </w:t>
      </w:r>
      <w:r>
        <w:t>—</w:t>
      </w:r>
      <w:r>
        <w:rPr>
          <w:rStyle w:val="CharDivText"/>
        </w:rPr>
        <w:t> </w:t>
      </w:r>
      <w:r>
        <w:rPr>
          <w:rStyle w:val="CharPartText"/>
        </w:rPr>
        <w:t>Repeal and transitional provisions</w:t>
      </w:r>
      <w:bookmarkEnd w:id="110"/>
      <w:bookmarkEnd w:id="111"/>
      <w:bookmarkEnd w:id="112"/>
      <w:bookmarkEnd w:id="113"/>
      <w:bookmarkEnd w:id="114"/>
      <w:bookmarkEnd w:id="115"/>
      <w:bookmarkEnd w:id="116"/>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17" w:name="_Toc12891125"/>
      <w:r>
        <w:rPr>
          <w:rStyle w:val="CharSectno"/>
        </w:rPr>
        <w:t>47</w:t>
      </w:r>
      <w:r>
        <w:rPr>
          <w:snapToGrid w:val="0"/>
        </w:rPr>
        <w:t>.</w:t>
      </w:r>
      <w:r>
        <w:rPr>
          <w:snapToGrid w:val="0"/>
        </w:rPr>
        <w:tab/>
        <w:t xml:space="preserve">Transitional provisions for repeal of </w:t>
      </w:r>
      <w:r>
        <w:rPr>
          <w:i/>
          <w:snapToGrid w:val="0"/>
        </w:rPr>
        <w:t>Taxi-car Control Act 1985</w:t>
      </w:r>
      <w:bookmarkEnd w:id="117"/>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8" w:name="_Toc528767589"/>
      <w:bookmarkStart w:id="119" w:name="_Toc2089984"/>
      <w:bookmarkStart w:id="120" w:name="_Toc2090160"/>
      <w:bookmarkStart w:id="121" w:name="_Toc2090302"/>
      <w:bookmarkStart w:id="122" w:name="_Toc10108077"/>
      <w:bookmarkStart w:id="123" w:name="_Toc10108319"/>
      <w:bookmarkStart w:id="124" w:name="_Toc12891126"/>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5, 9</w:t>
      </w:r>
      <w:r>
        <w:rPr>
          <w:snapToGrid w:val="0"/>
        </w:rPr>
        <w:t>.  The table also contains information about any reprint.</w:t>
      </w:r>
    </w:p>
    <w:p>
      <w:pPr>
        <w:pStyle w:val="nHeading3"/>
      </w:pPr>
      <w:bookmarkStart w:id="125" w:name="_Toc12891127"/>
      <w: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Pr>
          <w:p>
            <w:pPr>
              <w:pStyle w:val="nTable"/>
              <w:spacing w:after="40"/>
              <w:rPr>
                <w:snapToGrid w:val="0"/>
              </w:rPr>
            </w:pPr>
            <w:r>
              <w:rPr>
                <w:snapToGrid w:val="0"/>
              </w:rPr>
              <w:t>29 of 2016</w:t>
            </w:r>
          </w:p>
        </w:tc>
        <w:tc>
          <w:tcPr>
            <w:tcW w:w="1134" w:type="dxa"/>
          </w:tcPr>
          <w:p>
            <w:pPr>
              <w:pStyle w:val="nTable"/>
              <w:spacing w:after="40"/>
            </w:pPr>
            <w:r>
              <w:t>3 Oct 2016</w:t>
            </w:r>
          </w:p>
        </w:tc>
        <w:tc>
          <w:tcPr>
            <w:tcW w:w="2551" w:type="dxa"/>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r>
        <w:trPr>
          <w:cantSplit/>
        </w:trPr>
        <w:tc>
          <w:tcPr>
            <w:tcW w:w="2268" w:type="dxa"/>
          </w:tcPr>
          <w:p>
            <w:pPr>
              <w:pStyle w:val="nTable"/>
              <w:spacing w:after="40"/>
              <w:ind w:right="113"/>
              <w:rPr>
                <w:i/>
                <w:iCs/>
                <w:snapToGrid w:val="0"/>
              </w:rPr>
            </w:pPr>
            <w:r>
              <w:rPr>
                <w:i/>
                <w:iCs/>
                <w:snapToGrid w:val="0"/>
              </w:rPr>
              <w:t>Transport (Road Passenger Services) Act 2018</w:t>
            </w:r>
            <w:r>
              <w:rPr>
                <w:iCs/>
                <w:snapToGrid w:val="0"/>
              </w:rPr>
              <w:t xml:space="preserve"> s. 302 and Pt. 14 Div. 2 Subdiv. 9</w:t>
            </w:r>
          </w:p>
        </w:tc>
        <w:tc>
          <w:tcPr>
            <w:tcW w:w="1135" w:type="dxa"/>
          </w:tcPr>
          <w:p>
            <w:pPr>
              <w:pStyle w:val="nTable"/>
              <w:spacing w:after="40"/>
              <w:rPr>
                <w:snapToGrid w:val="0"/>
              </w:rPr>
            </w:pPr>
            <w:r>
              <w:rPr>
                <w:snapToGrid w:val="0"/>
              </w:rPr>
              <w:t>26 of 2018</w:t>
            </w:r>
          </w:p>
        </w:tc>
        <w:tc>
          <w:tcPr>
            <w:tcW w:w="1134" w:type="dxa"/>
          </w:tcPr>
          <w:p>
            <w:pPr>
              <w:pStyle w:val="nTable"/>
              <w:spacing w:after="40"/>
            </w:pPr>
            <w:r>
              <w:t>30 Oct 2018</w:t>
            </w:r>
          </w:p>
        </w:tc>
        <w:tc>
          <w:tcPr>
            <w:tcW w:w="2551" w:type="dxa"/>
          </w:tcPr>
          <w:p>
            <w:pPr>
              <w:pStyle w:val="nTable"/>
              <w:spacing w:after="40"/>
              <w:rPr>
                <w:rFonts w:ascii="Times" w:hAnsi="Times"/>
                <w:bCs/>
                <w:snapToGrid w:val="0"/>
                <w:spacing w:val="-2"/>
              </w:rPr>
            </w:pPr>
            <w:r>
              <w:rPr>
                <w:rFonts w:ascii="Times" w:hAnsi="Times"/>
                <w:bCs/>
                <w:snapToGrid w:val="0"/>
                <w:spacing w:val="-2"/>
              </w:rPr>
              <w:t xml:space="preserve">28 Feb 2019 (see s. 2(b) and </w:t>
            </w:r>
            <w:r>
              <w:rPr>
                <w:rFonts w:ascii="Times" w:hAnsi="Times"/>
                <w:bCs/>
                <w:i/>
                <w:snapToGrid w:val="0"/>
                <w:spacing w:val="-2"/>
              </w:rPr>
              <w:t>Gazette</w:t>
            </w:r>
            <w:r>
              <w:rPr>
                <w:rFonts w:ascii="Times" w:hAnsi="Times"/>
                <w:bCs/>
                <w:snapToGrid w:val="0"/>
                <w:spacing w:val="-2"/>
              </w:rPr>
              <w:t xml:space="preserve"> 26 Feb 2019 p. 449</w:t>
            </w:r>
            <w:r>
              <w:rPr>
                <w:rFonts w:ascii="Times" w:hAnsi="Times"/>
                <w:bCs/>
                <w:snapToGrid w:val="0"/>
                <w:spacing w:val="-2"/>
              </w:rPr>
              <w:noBreakHyphen/>
              <w:t>50)</w:t>
            </w:r>
          </w:p>
        </w:tc>
      </w:tr>
      <w:tr>
        <w:trPr>
          <w:cantSplit/>
        </w:trPr>
        <w:tc>
          <w:tcPr>
            <w:tcW w:w="7088" w:type="dxa"/>
            <w:gridSpan w:val="4"/>
            <w:tcBorders>
              <w:bottom w:val="single" w:sz="4" w:space="0" w:color="auto"/>
            </w:tcBorders>
          </w:tcPr>
          <w:p>
            <w:pPr>
              <w:pStyle w:val="nTable"/>
              <w:spacing w:after="40"/>
              <w:rPr>
                <w:rFonts w:ascii="Times" w:hAnsi="Times"/>
                <w:b/>
                <w:bCs/>
                <w:snapToGrid w:val="0"/>
                <w:color w:val="FF0000"/>
                <w:spacing w:val="-2"/>
              </w:rPr>
            </w:pPr>
            <w:r>
              <w:rPr>
                <w:b/>
                <w:color w:val="FF0000"/>
              </w:rPr>
              <w:t xml:space="preserve">This Act was repealed by the </w:t>
            </w:r>
            <w:r>
              <w:rPr>
                <w:b/>
                <w:i/>
                <w:color w:val="FF0000"/>
              </w:rPr>
              <w:t xml:space="preserve">Transport (Road Passenger Services) Act 2018 </w:t>
            </w:r>
            <w:r>
              <w:rPr>
                <w:b/>
                <w:color w:val="FF0000"/>
              </w:rPr>
              <w:t>s. </w:t>
            </w:r>
            <w:r>
              <w:rPr>
                <w:b/>
                <w:color w:val="FF0000"/>
                <w:lang w:val="en-US"/>
              </w:rPr>
              <w:t>303 (</w:t>
            </w:r>
            <w:r>
              <w:rPr>
                <w:b/>
                <w:color w:val="FF0000"/>
              </w:rPr>
              <w:t xml:space="preserve">No. 26 of 2018) as at 2 Jul 2019 (see s. 2(b) and </w:t>
            </w:r>
            <w:r>
              <w:rPr>
                <w:b/>
                <w:i/>
                <w:color w:val="FF0000"/>
              </w:rPr>
              <w:t xml:space="preserve">Gazette </w:t>
            </w:r>
            <w:r>
              <w:rPr>
                <w:b/>
                <w:color w:val="FF0000"/>
              </w:rPr>
              <w:t>28 Jun 2019 p. 2473)</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5 are not included because the Act was repealed by the </w:t>
      </w:r>
      <w:r>
        <w:rPr>
          <w:i/>
          <w:snapToGrid w:val="0"/>
        </w:rPr>
        <w:t>Transport (Road Passenger Services) Act 2018</w:t>
      </w:r>
      <w:r>
        <w:rPr>
          <w:snapToGrid w:val="0"/>
        </w:rPr>
        <w:t xml:space="preserve"> s. 304 before it purported to come into operation.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27" w:name="_Toc528767592"/>
      <w:bookmarkStart w:id="128" w:name="_Toc2089987"/>
      <w:bookmarkStart w:id="129" w:name="_Toc2090163"/>
      <w:bookmarkStart w:id="130" w:name="_Toc2090305"/>
      <w:bookmarkStart w:id="131" w:name="_Toc10108080"/>
      <w:bookmarkStart w:id="132" w:name="_Toc10108322"/>
      <w:bookmarkStart w:id="133" w:name="_Toc12891128"/>
      <w:r>
        <w:rPr>
          <w:sz w:val="28"/>
        </w:rPr>
        <w:t>Defined terms</w:t>
      </w:r>
      <w:bookmarkEnd w:id="127"/>
      <w:bookmarkEnd w:id="128"/>
      <w:bookmarkEnd w:id="129"/>
      <w:bookmarkEnd w:id="130"/>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w:t>
      </w:r>
    </w:p>
    <w:p>
      <w:pPr>
        <w:pStyle w:val="DefinedTerms"/>
      </w:pPr>
      <w:r>
        <w:t>department</w:t>
      </w:r>
      <w:r>
        <w:tab/>
        <w:t>3(1)</w:t>
      </w:r>
    </w:p>
    <w:p>
      <w:pPr>
        <w:pStyle w:val="DefinedTerms"/>
      </w:pPr>
      <w:r>
        <w:t>Director General</w:t>
      </w:r>
      <w:r>
        <w:tab/>
        <w:t>3(1)</w:t>
      </w:r>
    </w:p>
    <w:p>
      <w:pPr>
        <w:pStyle w:val="DefinedTerms"/>
      </w:pPr>
      <w:r>
        <w:t>divestment period</w:t>
      </w:r>
      <w:r>
        <w:tab/>
        <w:t>21(3), 23(2)</w:t>
      </w:r>
    </w:p>
    <w:p>
      <w:pPr>
        <w:pStyle w:val="DefinedTerms"/>
      </w:pPr>
      <w:r>
        <w:t>eligible operator</w:t>
      </w:r>
      <w:r>
        <w:tab/>
        <w:t>30A(1)</w:t>
      </w:r>
    </w:p>
    <w:p>
      <w:pPr>
        <w:pStyle w:val="DefinedTerms"/>
      </w:pPr>
      <w:r>
        <w:t>eligible owner</w:t>
      </w:r>
      <w:r>
        <w:tab/>
        <w:t>30J</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 16(6)</w:t>
      </w:r>
    </w:p>
    <w:p>
      <w:pPr>
        <w:pStyle w:val="DefinedTerms"/>
      </w:pPr>
      <w:r>
        <w:t>plate holder</w:t>
      </w:r>
      <w:r>
        <w:tab/>
        <w:t>3(1), 21(6)</w:t>
      </w:r>
    </w:p>
    <w:p>
      <w:pPr>
        <w:pStyle w:val="DefinedTerms"/>
      </w:pPr>
      <w:r>
        <w:t>plate owner’s lease</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restricted taxi plates</w:t>
      </w:r>
      <w:r>
        <w:tab/>
        <w:t>30J</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pPr>
      <w:r>
        <w:t>transferable MPT plates</w:t>
      </w:r>
      <w:r>
        <w:tab/>
        <w:t>30A(1)</w:t>
      </w:r>
    </w:p>
    <w:p>
      <w:pPr>
        <w:pStyle w:val="DefinedTerms"/>
      </w:pPr>
      <w:r>
        <w:t>use</w:t>
      </w:r>
      <w:r>
        <w:tab/>
        <w:t>3(1)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14128</Words>
  <Characters>64710</Characters>
  <Application>Microsoft Office Word</Application>
  <DocSecurity>0</DocSecurity>
  <Lines>1797</Lines>
  <Paragraphs>1037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1994 - 03-l0-00</dc:title>
  <dc:subject/>
  <dc:creator/>
  <cp:keywords/>
  <dc:description/>
  <cp:lastModifiedBy>svcMRProcess</cp:lastModifiedBy>
  <cp:revision>4</cp:revision>
  <cp:lastPrinted>2011-04-18T05:35:00Z</cp:lastPrinted>
  <dcterms:created xsi:type="dcterms:W3CDTF">2019-07-01T08:45:00Z</dcterms:created>
  <dcterms:modified xsi:type="dcterms:W3CDTF">2019-07-01T08:45:00Z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AsAtDate">
    <vt:lpwstr>02 Jul 2019</vt:lpwstr>
  </property>
  <property fmtid="{D5CDD505-2E9C-101B-9397-08002B2CF9AE}" pid="9" name="Suffix">
    <vt:lpwstr>03-l0-00</vt:lpwstr>
  </property>
  <property fmtid="{D5CDD505-2E9C-101B-9397-08002B2CF9AE}" pid="10" name="Status">
    <vt:lpwstr>NIF</vt:lpwstr>
  </property>
  <property fmtid="{D5CDD505-2E9C-101B-9397-08002B2CF9AE}" pid="11" name="CommencementDate">
    <vt:lpwstr>20190702</vt:lpwstr>
  </property>
</Properties>
</file>