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_Toc14420255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_Toc14420256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_Toc14420258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_Toc14420260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_Toc14420261 \h </w:instrText>
      </w:r>
      <w:r>
        <w:fldChar w:fldCharType="separate"/>
      </w:r>
      <w:r>
        <w:t>9</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_Toc14420262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_Toc14420263 \h </w:instrText>
      </w:r>
      <w:r>
        <w:fldChar w:fldCharType="separate"/>
      </w:r>
      <w:r>
        <w:t>10</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_Toc14420264 \h </w:instrText>
      </w:r>
      <w:r>
        <w:fldChar w:fldCharType="separate"/>
      </w:r>
      <w:r>
        <w:t>10</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_Toc14420265 \h </w:instrText>
      </w:r>
      <w:r>
        <w:fldChar w:fldCharType="separate"/>
      </w:r>
      <w:r>
        <w:t>13</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_Toc14420266 \h </w:instrText>
      </w:r>
      <w:r>
        <w:fldChar w:fldCharType="separate"/>
      </w:r>
      <w:r>
        <w:t>13</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_Toc14420267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_Toc14420268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_Toc14420270 \h </w:instrText>
      </w:r>
      <w:r>
        <w:fldChar w:fldCharType="separate"/>
      </w:r>
      <w:r>
        <w:t>16</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_Toc14420271 \h </w:instrText>
      </w:r>
      <w:r>
        <w:fldChar w:fldCharType="separate"/>
      </w:r>
      <w:r>
        <w:t>17</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_Toc14420272 \h </w:instrText>
      </w:r>
      <w:r>
        <w:fldChar w:fldCharType="separate"/>
      </w:r>
      <w:r>
        <w:t>17</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_Toc14420273 \h </w:instrText>
      </w:r>
      <w:r>
        <w:fldChar w:fldCharType="separate"/>
      </w:r>
      <w:r>
        <w:t>20</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_Toc14420274 \h </w:instrText>
      </w:r>
      <w:r>
        <w:fldChar w:fldCharType="separate"/>
      </w:r>
      <w:r>
        <w:t>22</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_Toc14420275 \h </w:instrText>
      </w:r>
      <w:r>
        <w:fldChar w:fldCharType="separate"/>
      </w:r>
      <w:r>
        <w:t>22</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_Toc14420276 \h </w:instrText>
      </w:r>
      <w:r>
        <w:fldChar w:fldCharType="separate"/>
      </w:r>
      <w:r>
        <w:t>23</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_Toc14420277 \h </w:instrText>
      </w:r>
      <w:r>
        <w:fldChar w:fldCharType="separate"/>
      </w:r>
      <w:r>
        <w:t>23</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_Toc14420278 \h </w:instrText>
      </w:r>
      <w:r>
        <w:fldChar w:fldCharType="separate"/>
      </w:r>
      <w:r>
        <w:t>25</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_Toc14420279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_Toc14420281 \h </w:instrText>
      </w:r>
      <w:r>
        <w:fldChar w:fldCharType="separate"/>
      </w:r>
      <w:r>
        <w:t>27</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_Toc14420282 \h </w:instrText>
      </w:r>
      <w:r>
        <w:fldChar w:fldCharType="separate"/>
      </w:r>
      <w:r>
        <w:t>27</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_Toc14420283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_Toc14420285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_Toc14420287 \h </w:instrText>
      </w:r>
      <w:r>
        <w:fldChar w:fldCharType="separate"/>
      </w:r>
      <w:r>
        <w:t>29</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_Toc14420288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_Toc14420290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_Toc14420292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Public Health Act 2016</w:t>
      </w:r>
    </w:p>
    <w:p>
      <w:pPr>
        <w:pStyle w:val="NameofActReg"/>
      </w:pPr>
      <w:r>
        <w:t>Public Health Regulations 2017</w:t>
      </w:r>
    </w:p>
    <w:p>
      <w:pPr>
        <w:pStyle w:val="Heading2"/>
        <w:pageBreakBefore w:val="0"/>
        <w:spacing w:before="240"/>
      </w:pPr>
      <w:bookmarkStart w:id="3" w:name="_Toc531862124"/>
      <w:bookmarkStart w:id="4" w:name="_Toc531862151"/>
      <w:bookmarkStart w:id="5" w:name="_Toc531867017"/>
      <w:bookmarkStart w:id="6" w:name="_Toc531872245"/>
      <w:bookmarkStart w:id="7" w:name="_Toc532211259"/>
      <w:bookmarkStart w:id="8" w:name="_Toc532218362"/>
      <w:bookmarkStart w:id="9" w:name="_Toc14358903"/>
      <w:bookmarkStart w:id="10" w:name="_Toc14360357"/>
      <w:bookmarkStart w:id="11" w:name="_Toc144202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4420255"/>
      <w:r>
        <w:rPr>
          <w:rStyle w:val="CharSectno"/>
        </w:rPr>
        <w:t>1</w:t>
      </w:r>
      <w:r>
        <w:t>.</w:t>
      </w:r>
      <w:r>
        <w:tab/>
        <w:t>Citation</w:t>
      </w:r>
      <w:bookmarkEnd w:id="12"/>
    </w:p>
    <w:p>
      <w:pPr>
        <w:pStyle w:val="Subsection"/>
      </w:pPr>
      <w:r>
        <w:tab/>
      </w:r>
      <w:r>
        <w:tab/>
      </w:r>
      <w:bookmarkStart w:id="13" w:name="Start_Cursor"/>
      <w:bookmarkEnd w:id="13"/>
      <w:r>
        <w:t xml:space="preserve">These </w:t>
      </w:r>
      <w:r>
        <w:rPr>
          <w:spacing w:val="-2"/>
        </w:rPr>
        <w:t>regulations</w:t>
      </w:r>
      <w:r>
        <w:t xml:space="preserve"> are the </w:t>
      </w:r>
      <w:r>
        <w:rPr>
          <w:i/>
        </w:rPr>
        <w:t>Public Health Regulations 2017</w:t>
      </w:r>
      <w:r>
        <w:t>.</w:t>
      </w:r>
    </w:p>
    <w:p>
      <w:pPr>
        <w:pStyle w:val="Heading5"/>
        <w:rPr>
          <w:spacing w:val="-2"/>
        </w:rPr>
      </w:pPr>
      <w:bookmarkStart w:id="14" w:name="_Toc14420256"/>
      <w:r>
        <w:rPr>
          <w:rStyle w:val="CharSectno"/>
        </w:rPr>
        <w:t>2</w:t>
      </w:r>
      <w:r>
        <w:rPr>
          <w:spacing w:val="-2"/>
        </w:rPr>
        <w:t>.</w:t>
      </w:r>
      <w:r>
        <w:rPr>
          <w:spacing w:val="-2"/>
        </w:rPr>
        <w:tab/>
        <w:t>Commencement</w:t>
      </w:r>
      <w:bookmarkEnd w:id="1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5" w:name="_Toc14358906"/>
      <w:bookmarkStart w:id="16" w:name="_Toc14360360"/>
      <w:bookmarkStart w:id="17" w:name="_Toc14420257"/>
      <w:bookmarkStart w:id="18" w:name="_Toc531862127"/>
      <w:bookmarkStart w:id="19" w:name="_Toc531862154"/>
      <w:bookmarkStart w:id="20" w:name="_Toc531867020"/>
      <w:bookmarkStart w:id="21" w:name="_Toc531872248"/>
      <w:bookmarkStart w:id="22" w:name="_Toc532211262"/>
      <w:bookmarkStart w:id="23" w:name="_Toc532218365"/>
      <w:r>
        <w:rPr>
          <w:rStyle w:val="CharPartNo"/>
        </w:rPr>
        <w:t>Part 1A</w:t>
      </w:r>
      <w:r>
        <w:rPr>
          <w:rStyle w:val="CharDivNo"/>
        </w:rPr>
        <w:t> </w:t>
      </w:r>
      <w:r>
        <w:t>—</w:t>
      </w:r>
      <w:r>
        <w:rPr>
          <w:rStyle w:val="CharDivText"/>
        </w:rPr>
        <w:t> </w:t>
      </w:r>
      <w:r>
        <w:rPr>
          <w:rStyle w:val="CharPartText"/>
        </w:rPr>
        <w:t>Services excluded from meaning of child care service</w:t>
      </w:r>
      <w:bookmarkEnd w:id="15"/>
      <w:bookmarkEnd w:id="16"/>
      <w:bookmarkEnd w:id="17"/>
    </w:p>
    <w:p>
      <w:pPr>
        <w:pStyle w:val="Footnoteheading"/>
      </w:pPr>
      <w:r>
        <w:tab/>
        <w:t>[Heading inserted: Gazette 19 Jul 2019 p. 2847.]</w:t>
      </w:r>
    </w:p>
    <w:p>
      <w:pPr>
        <w:pStyle w:val="Heading5"/>
      </w:pPr>
      <w:bookmarkStart w:id="24" w:name="_Toc14420258"/>
      <w:r>
        <w:rPr>
          <w:rStyle w:val="CharSectno"/>
        </w:rPr>
        <w:t>2A</w:t>
      </w:r>
      <w:r>
        <w:t>.</w:t>
      </w:r>
      <w:r>
        <w:tab/>
        <w:t>Services excluded from meaning of child care service</w:t>
      </w:r>
      <w:bookmarkEnd w:id="24"/>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25" w:name="_Toc14358908"/>
      <w:bookmarkStart w:id="26" w:name="_Toc14360362"/>
      <w:bookmarkStart w:id="27" w:name="_Toc14420259"/>
      <w:r>
        <w:rPr>
          <w:rStyle w:val="CharPartNo"/>
        </w:rPr>
        <w:t>Part 2</w:t>
      </w:r>
      <w:r>
        <w:rPr>
          <w:rStyle w:val="CharDivNo"/>
        </w:rPr>
        <w:t> </w:t>
      </w:r>
      <w:r>
        <w:t>—</w:t>
      </w:r>
      <w:r>
        <w:rPr>
          <w:rStyle w:val="CharDivText"/>
        </w:rPr>
        <w:t> </w:t>
      </w:r>
      <w:r>
        <w:rPr>
          <w:rStyle w:val="CharPartText"/>
        </w:rPr>
        <w:t>Notifiable infectious diseases and related conditions</w:t>
      </w:r>
      <w:bookmarkEnd w:id="18"/>
      <w:bookmarkEnd w:id="19"/>
      <w:bookmarkEnd w:id="20"/>
      <w:bookmarkEnd w:id="21"/>
      <w:bookmarkEnd w:id="22"/>
      <w:bookmarkEnd w:id="23"/>
      <w:bookmarkEnd w:id="25"/>
      <w:bookmarkEnd w:id="26"/>
      <w:bookmarkEnd w:id="27"/>
    </w:p>
    <w:p>
      <w:pPr>
        <w:pStyle w:val="Heading5"/>
      </w:pPr>
      <w:bookmarkStart w:id="28" w:name="_Toc14420260"/>
      <w:r>
        <w:rPr>
          <w:rStyle w:val="CharSectno"/>
        </w:rPr>
        <w:t>3</w:t>
      </w:r>
      <w:r>
        <w:t>.</w:t>
      </w:r>
      <w:r>
        <w:tab/>
        <w:t>Notifiable infectious diseases</w:t>
      </w:r>
      <w:bookmarkEnd w:id="28"/>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29" w:name="_Toc14420261"/>
      <w:r>
        <w:rPr>
          <w:rStyle w:val="CharSectno"/>
        </w:rPr>
        <w:t>4</w:t>
      </w:r>
      <w:r>
        <w:t>.</w:t>
      </w:r>
      <w:r>
        <w:tab/>
        <w:t>Notifiable infectious disease</w:t>
      </w:r>
      <w:r>
        <w:noBreakHyphen/>
        <w:t>related conditions</w:t>
      </w:r>
      <w:bookmarkEnd w:id="29"/>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30" w:name="_Toc14420262"/>
      <w:r>
        <w:rPr>
          <w:rStyle w:val="CharSectno"/>
        </w:rPr>
        <w:t>4A</w:t>
      </w:r>
      <w:r>
        <w:t>.</w:t>
      </w:r>
      <w:r>
        <w:tab/>
        <w:t>Urgently notifiable infectious disease</w:t>
      </w:r>
      <w:r>
        <w:noBreakHyphen/>
        <w:t>related conditions</w:t>
      </w:r>
      <w:bookmarkEnd w:id="30"/>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31" w:name="_Toc14420263"/>
      <w:r>
        <w:rPr>
          <w:rStyle w:val="CharSectno"/>
        </w:rPr>
        <w:t>5</w:t>
      </w:r>
      <w:r>
        <w:t>.</w:t>
      </w:r>
      <w:r>
        <w:tab/>
        <w:t>Notification of notifiable infectious diseases and notifiable infectious disease</w:t>
      </w:r>
      <w:r>
        <w:noBreakHyphen/>
        <w:t>related conditions: information not required</w:t>
      </w:r>
      <w:bookmarkEnd w:id="31"/>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32" w:name="_Toc14420264"/>
      <w:r>
        <w:rPr>
          <w:rStyle w:val="CharSectno"/>
        </w:rPr>
        <w:t>6</w:t>
      </w:r>
      <w:r>
        <w:t>.</w:t>
      </w:r>
      <w:r>
        <w:tab/>
        <w:t>Notification of notifiable infectious diseases and notifiable infectious disease</w:t>
      </w:r>
      <w:r>
        <w:noBreakHyphen/>
        <w:t>related conditions: information prescribed</w:t>
      </w:r>
      <w:bookmarkEnd w:id="32"/>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Footnotesection"/>
      </w:pPr>
      <w:r>
        <w:tab/>
        <w:t>[Regulation 6 amended: Gazette 19 Jul 2019 p. 2847.]</w:t>
      </w:r>
    </w:p>
    <w:p>
      <w:pPr>
        <w:pStyle w:val="Heading5"/>
        <w:pageBreakBefore/>
        <w:spacing w:before="0"/>
      </w:pPr>
      <w:bookmarkStart w:id="33" w:name="_Toc14420265"/>
      <w:r>
        <w:rPr>
          <w:rStyle w:val="CharSectno"/>
        </w:rPr>
        <w:t>7</w:t>
      </w:r>
      <w:r>
        <w:t>.</w:t>
      </w:r>
      <w:r>
        <w:tab/>
        <w:t>Authorised officers may request further information</w:t>
      </w:r>
      <w:bookmarkEnd w:id="33"/>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34" w:name="_Toc14420266"/>
      <w:r>
        <w:rPr>
          <w:rStyle w:val="CharSectno"/>
        </w:rPr>
        <w:t>8</w:t>
      </w:r>
      <w:r>
        <w:t>.</w:t>
      </w:r>
      <w:r>
        <w:tab/>
        <w:t>Protection from liability</w:t>
      </w:r>
      <w:bookmarkEnd w:id="34"/>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5" w:name="_Toc14420267"/>
      <w:r>
        <w:rPr>
          <w:rStyle w:val="CharSectno"/>
        </w:rPr>
        <w:t>9</w:t>
      </w:r>
      <w:r>
        <w:t>.</w:t>
      </w:r>
      <w:r>
        <w:tab/>
        <w:t>Disclosure and use of information</w:t>
      </w:r>
      <w:bookmarkEnd w:id="35"/>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6" w:name="_Toc14420268"/>
      <w:r>
        <w:rPr>
          <w:rStyle w:val="CharSectno"/>
        </w:rPr>
        <w:t>10</w:t>
      </w:r>
      <w:r>
        <w:t>.</w:t>
      </w:r>
      <w:r>
        <w:tab/>
        <w:t>Recognition of interstate public health orders</w:t>
      </w:r>
      <w:bookmarkEnd w:id="36"/>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37" w:name="_Toc532211271"/>
      <w:bookmarkStart w:id="38" w:name="_Toc532218374"/>
      <w:bookmarkStart w:id="39" w:name="_Toc14358918"/>
      <w:bookmarkStart w:id="40" w:name="_Toc14360372"/>
      <w:bookmarkStart w:id="41" w:name="_Toc14420269"/>
      <w:bookmarkStart w:id="42" w:name="_Toc531862136"/>
      <w:bookmarkStart w:id="43" w:name="_Toc531862163"/>
      <w:bookmarkStart w:id="44" w:name="_Toc531867029"/>
      <w:bookmarkStart w:id="45" w:name="_Toc531872257"/>
      <w:r>
        <w:rPr>
          <w:rStyle w:val="CharPartNo"/>
        </w:rPr>
        <w:t>Part 2A</w:t>
      </w:r>
      <w:r>
        <w:rPr>
          <w:rStyle w:val="CharDivNo"/>
        </w:rPr>
        <w:t> </w:t>
      </w:r>
      <w:r>
        <w:t>—</w:t>
      </w:r>
      <w:r>
        <w:rPr>
          <w:rStyle w:val="CharDivText"/>
        </w:rPr>
        <w:t> </w:t>
      </w:r>
      <w:r>
        <w:rPr>
          <w:rStyle w:val="CharPartText"/>
        </w:rPr>
        <w:t>Immunisation</w:t>
      </w:r>
      <w:r>
        <w:t xml:space="preserve"> </w:t>
      </w:r>
      <w:r>
        <w:rPr>
          <w:rStyle w:val="CharPartText"/>
        </w:rPr>
        <w:t>status of children</w:t>
      </w:r>
      <w:bookmarkEnd w:id="37"/>
      <w:bookmarkEnd w:id="38"/>
      <w:bookmarkEnd w:id="39"/>
      <w:bookmarkEnd w:id="40"/>
      <w:bookmarkEnd w:id="41"/>
    </w:p>
    <w:p>
      <w:pPr>
        <w:pStyle w:val="Footnoteheading"/>
      </w:pPr>
      <w:r>
        <w:tab/>
        <w:t>[Heading inserted: Gazette 7 Dec 2018 p. 4663</w:t>
      </w:r>
      <w:r>
        <w:noBreakHyphen/>
        <w:t>4; amended: Gazette 19 Jul 2019 p. 2847.]</w:t>
      </w:r>
    </w:p>
    <w:p>
      <w:pPr>
        <w:pStyle w:val="Heading5"/>
      </w:pPr>
      <w:bookmarkStart w:id="46" w:name="_Toc14420270"/>
      <w:r>
        <w:rPr>
          <w:rStyle w:val="CharSectno"/>
        </w:rPr>
        <w:t>10A</w:t>
      </w:r>
      <w:r>
        <w:t>.</w:t>
      </w:r>
      <w:r>
        <w:tab/>
        <w:t>Terms used</w:t>
      </w:r>
      <w:bookmarkEnd w:id="46"/>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47" w:name="_Toc14420271"/>
      <w:r>
        <w:rPr>
          <w:rStyle w:val="CharSectno"/>
        </w:rPr>
        <w:t>10AA</w:t>
      </w:r>
      <w:r>
        <w:t>.</w:t>
      </w:r>
      <w:r>
        <w:tab/>
        <w:t xml:space="preserve">Period prescribed for definition of </w:t>
      </w:r>
      <w:r>
        <w:rPr>
          <w:i/>
        </w:rPr>
        <w:t>current</w:t>
      </w:r>
      <w:bookmarkEnd w:id="47"/>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48" w:name="_Toc14420272"/>
      <w:r>
        <w:rPr>
          <w:rStyle w:val="CharSectno"/>
        </w:rPr>
        <w:t>10AB</w:t>
      </w:r>
      <w:r>
        <w:t>.</w:t>
      </w:r>
      <w:r>
        <w:tab/>
        <w:t>Exempt children</w:t>
      </w:r>
      <w:bookmarkEnd w:id="48"/>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49" w:name="_Toc14420273"/>
      <w:r>
        <w:rPr>
          <w:rStyle w:val="CharSectno"/>
        </w:rPr>
        <w:t>10AC</w:t>
      </w:r>
      <w:r>
        <w:t>.</w:t>
      </w:r>
      <w:r>
        <w:tab/>
        <w:t>Circumstances in which Chief Health Officer may issue a certificate</w:t>
      </w:r>
      <w:bookmarkEnd w:id="49"/>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50" w:name="_Toc14420274"/>
      <w:r>
        <w:rPr>
          <w:rStyle w:val="CharSectno"/>
        </w:rPr>
        <w:t>10AD</w:t>
      </w:r>
      <w:r>
        <w:t>.</w:t>
      </w:r>
      <w:r>
        <w:tab/>
        <w:t>Immunisation catch</w:t>
      </w:r>
      <w:r>
        <w:noBreakHyphen/>
        <w:t>up schedule</w:t>
      </w:r>
      <w:bookmarkEnd w:id="50"/>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51" w:name="_Toc14420275"/>
      <w:r>
        <w:rPr>
          <w:rStyle w:val="CharSectno"/>
        </w:rPr>
        <w:t>10C</w:t>
      </w:r>
      <w:r>
        <w:t>.</w:t>
      </w:r>
      <w:r>
        <w:tab/>
        <w:t>Relevant person or person in charge to give report on immunisation status</w:t>
      </w:r>
      <w:bookmarkEnd w:id="51"/>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52" w:name="_Toc14420276"/>
      <w:r>
        <w:rPr>
          <w:rStyle w:val="CharSectno"/>
        </w:rPr>
        <w:t>10D</w:t>
      </w:r>
      <w:r>
        <w:t>.</w:t>
      </w:r>
      <w:r>
        <w:tab/>
        <w:t>Person in charge to give report on contracted disease</w:t>
      </w:r>
      <w:bookmarkEnd w:id="52"/>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53" w:name="_Toc14420277"/>
      <w:r>
        <w:rPr>
          <w:rStyle w:val="CharSectno"/>
        </w:rPr>
        <w:t>10E</w:t>
      </w:r>
      <w:r>
        <w:t>.</w:t>
      </w:r>
      <w:r>
        <w:tab/>
        <w:t>Person in charge to prevent attendance of non</w:t>
      </w:r>
      <w:r>
        <w:noBreakHyphen/>
        <w:t>immunised child</w:t>
      </w:r>
      <w:bookmarkEnd w:id="53"/>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54" w:name="_Toc14420278"/>
      <w:r>
        <w:rPr>
          <w:rStyle w:val="CharSectno"/>
        </w:rPr>
        <w:t>10F</w:t>
      </w:r>
      <w:r>
        <w:t>.</w:t>
      </w:r>
      <w:r>
        <w:tab/>
        <w:t>Closure of whole or part of school, community kindergarten or child care service</w:t>
      </w:r>
      <w:bookmarkEnd w:id="54"/>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55" w:name="_Toc14420279"/>
      <w:r>
        <w:rPr>
          <w:rStyle w:val="CharSectno"/>
        </w:rPr>
        <w:t>10G</w:t>
      </w:r>
      <w:r>
        <w:t>.</w:t>
      </w:r>
      <w:r>
        <w:tab/>
        <w:t>Chief Health Officer may request further information</w:t>
      </w:r>
      <w:bookmarkEnd w:id="55"/>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56" w:name="_Toc532211279"/>
      <w:bookmarkStart w:id="57" w:name="_Toc532218382"/>
      <w:bookmarkStart w:id="58" w:name="_Toc14358929"/>
      <w:bookmarkStart w:id="59" w:name="_Toc14360383"/>
      <w:bookmarkStart w:id="60" w:name="_Toc14420280"/>
      <w:r>
        <w:rPr>
          <w:rStyle w:val="CharPartNo"/>
        </w:rPr>
        <w:t>Part 3</w:t>
      </w:r>
      <w:r>
        <w:rPr>
          <w:rStyle w:val="CharDivNo"/>
        </w:rPr>
        <w:t> </w:t>
      </w:r>
      <w:r>
        <w:t>—</w:t>
      </w:r>
      <w:r>
        <w:rPr>
          <w:rStyle w:val="CharDivText"/>
        </w:rPr>
        <w:t> </w:t>
      </w:r>
      <w:r>
        <w:rPr>
          <w:rStyle w:val="CharPartText"/>
        </w:rPr>
        <w:t>Public health emergencies</w:t>
      </w:r>
      <w:bookmarkEnd w:id="42"/>
      <w:bookmarkEnd w:id="43"/>
      <w:bookmarkEnd w:id="44"/>
      <w:bookmarkEnd w:id="45"/>
      <w:bookmarkEnd w:id="56"/>
      <w:bookmarkEnd w:id="57"/>
      <w:bookmarkEnd w:id="58"/>
      <w:bookmarkEnd w:id="59"/>
      <w:bookmarkEnd w:id="60"/>
    </w:p>
    <w:p>
      <w:pPr>
        <w:pStyle w:val="Heading5"/>
      </w:pPr>
      <w:bookmarkStart w:id="61" w:name="_Toc14420281"/>
      <w:r>
        <w:rPr>
          <w:rStyle w:val="CharSectno"/>
        </w:rPr>
        <w:t>11</w:t>
      </w:r>
      <w:r>
        <w:t>.</w:t>
      </w:r>
      <w:r>
        <w:tab/>
        <w:t>Relevant information</w:t>
      </w:r>
      <w:bookmarkEnd w:id="6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62" w:name="_Toc14420282"/>
      <w:r>
        <w:rPr>
          <w:rStyle w:val="CharSectno"/>
        </w:rPr>
        <w:t>12</w:t>
      </w:r>
      <w:r>
        <w:t>.</w:t>
      </w:r>
      <w:r>
        <w:tab/>
        <w:t>Disclosure of relevant information</w:t>
      </w:r>
      <w:bookmarkEnd w:id="6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63" w:name="_Toc14420283"/>
      <w:r>
        <w:rPr>
          <w:rStyle w:val="CharSectno"/>
        </w:rPr>
        <w:t>13</w:t>
      </w:r>
      <w:r>
        <w:t>.</w:t>
      </w:r>
      <w:r>
        <w:tab/>
        <w:t>Keeping disclosed relevant information secure</w:t>
      </w:r>
      <w:bookmarkEnd w:id="6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2"/>
      </w:pPr>
      <w:bookmarkStart w:id="64" w:name="_Toc531862140"/>
      <w:bookmarkStart w:id="65" w:name="_Toc531862167"/>
      <w:bookmarkStart w:id="66" w:name="_Toc531867033"/>
      <w:bookmarkStart w:id="67" w:name="_Toc531872261"/>
      <w:bookmarkStart w:id="68" w:name="_Toc532211283"/>
      <w:bookmarkStart w:id="69" w:name="_Toc532218386"/>
      <w:bookmarkStart w:id="70" w:name="_Toc14358933"/>
      <w:bookmarkStart w:id="71" w:name="_Toc14360387"/>
      <w:bookmarkStart w:id="72" w:name="_Toc14420284"/>
      <w:r>
        <w:rPr>
          <w:rStyle w:val="CharPartNo"/>
        </w:rPr>
        <w:t>Part 4</w:t>
      </w:r>
      <w:r>
        <w:rPr>
          <w:rStyle w:val="CharDivNo"/>
        </w:rPr>
        <w:t> </w:t>
      </w:r>
      <w:r>
        <w:t>—</w:t>
      </w:r>
      <w:r>
        <w:rPr>
          <w:rStyle w:val="CharDivText"/>
        </w:rPr>
        <w:t> </w:t>
      </w:r>
      <w:r>
        <w:rPr>
          <w:rStyle w:val="CharPartText"/>
        </w:rPr>
        <w:t>Inquiries</w:t>
      </w:r>
      <w:bookmarkEnd w:id="64"/>
      <w:bookmarkEnd w:id="65"/>
      <w:bookmarkEnd w:id="66"/>
      <w:bookmarkEnd w:id="67"/>
      <w:bookmarkEnd w:id="68"/>
      <w:bookmarkEnd w:id="69"/>
      <w:bookmarkEnd w:id="70"/>
      <w:bookmarkEnd w:id="71"/>
      <w:bookmarkEnd w:id="72"/>
    </w:p>
    <w:p>
      <w:pPr>
        <w:pStyle w:val="Heading5"/>
      </w:pPr>
      <w:bookmarkStart w:id="73" w:name="_Toc14420285"/>
      <w:r>
        <w:rPr>
          <w:rStyle w:val="CharSectno"/>
        </w:rPr>
        <w:t>14</w:t>
      </w:r>
      <w:r>
        <w:t>.</w:t>
      </w:r>
      <w:r>
        <w:tab/>
        <w:t>Allowances and expenses of a person required to attend</w:t>
      </w:r>
      <w:bookmarkEnd w:id="73"/>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74" w:name="_Toc531862142"/>
      <w:bookmarkStart w:id="75" w:name="_Toc531862169"/>
      <w:bookmarkStart w:id="76" w:name="_Toc531867035"/>
      <w:bookmarkStart w:id="77" w:name="_Toc531872263"/>
      <w:bookmarkStart w:id="78" w:name="_Toc532211285"/>
      <w:bookmarkStart w:id="79" w:name="_Toc532218388"/>
      <w:bookmarkStart w:id="80" w:name="_Toc14358935"/>
      <w:bookmarkStart w:id="81" w:name="_Toc14360389"/>
      <w:bookmarkStart w:id="82" w:name="_Toc14420286"/>
      <w:r>
        <w:rPr>
          <w:rStyle w:val="CharPartNo"/>
        </w:rPr>
        <w:t>Part 5</w:t>
      </w:r>
      <w:r>
        <w:rPr>
          <w:rStyle w:val="CharDivNo"/>
        </w:rPr>
        <w:t> </w:t>
      </w:r>
      <w:r>
        <w:t>—</w:t>
      </w:r>
      <w:r>
        <w:rPr>
          <w:rStyle w:val="CharDivText"/>
        </w:rPr>
        <w:t> </w:t>
      </w:r>
      <w:r>
        <w:rPr>
          <w:rStyle w:val="CharPartText"/>
        </w:rPr>
        <w:t>Miscellaneous</w:t>
      </w:r>
      <w:bookmarkEnd w:id="74"/>
      <w:bookmarkEnd w:id="75"/>
      <w:bookmarkEnd w:id="76"/>
      <w:bookmarkEnd w:id="77"/>
      <w:bookmarkEnd w:id="78"/>
      <w:bookmarkEnd w:id="79"/>
      <w:bookmarkEnd w:id="80"/>
      <w:bookmarkEnd w:id="81"/>
      <w:bookmarkEnd w:id="82"/>
    </w:p>
    <w:p>
      <w:pPr>
        <w:pStyle w:val="Heading5"/>
      </w:pPr>
      <w:bookmarkStart w:id="83" w:name="_Toc14420287"/>
      <w:r>
        <w:rPr>
          <w:rStyle w:val="CharSectno"/>
        </w:rPr>
        <w:t>15</w:t>
      </w:r>
      <w:r>
        <w:t>.</w:t>
      </w:r>
      <w:r>
        <w:tab/>
        <w:t>Disclosure and use of information provided under Part 9 or 10 of the Act</w:t>
      </w:r>
      <w:bookmarkEnd w:id="83"/>
    </w:p>
    <w:p>
      <w:pPr>
        <w:pStyle w:val="Subsection"/>
      </w:pPr>
      <w:r>
        <w:tab/>
      </w:r>
      <w:r>
        <w:tab/>
        <w:t>A public health official may disclose or use specified information under section 298 of the Act in the course of duty.</w:t>
      </w:r>
    </w:p>
    <w:p>
      <w:pPr>
        <w:pStyle w:val="Heading5"/>
      </w:pPr>
      <w:bookmarkStart w:id="84" w:name="_Toc14420288"/>
      <w:r>
        <w:rPr>
          <w:rStyle w:val="CharSectno"/>
        </w:rPr>
        <w:t>16</w:t>
      </w:r>
      <w:r>
        <w:t>.</w:t>
      </w:r>
      <w:r>
        <w:tab/>
        <w:t>Regulations repealed</w:t>
      </w:r>
      <w:bookmarkEnd w:id="84"/>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85" w:name="_Toc531862145"/>
      <w:bookmarkStart w:id="86" w:name="_Toc531862172"/>
      <w:bookmarkStart w:id="87" w:name="_Toc531867038"/>
      <w:bookmarkStart w:id="88" w:name="_Toc531872266"/>
      <w:bookmarkStart w:id="89" w:name="_Toc532211288"/>
      <w:bookmarkStart w:id="90" w:name="_Toc532218391"/>
      <w:bookmarkStart w:id="91" w:name="_Toc14358938"/>
      <w:bookmarkStart w:id="92" w:name="_Toc14360392"/>
      <w:bookmarkStart w:id="93" w:name="_Toc14420289"/>
      <w:r>
        <w:rPr>
          <w:rStyle w:val="CharPartNo"/>
        </w:rPr>
        <w:t>Part 6</w:t>
      </w:r>
      <w:r>
        <w:rPr>
          <w:rStyle w:val="CharDivNo"/>
        </w:rPr>
        <w:t> </w:t>
      </w:r>
      <w:r>
        <w:t>—</w:t>
      </w:r>
      <w:r>
        <w:rPr>
          <w:rStyle w:val="CharDivText"/>
        </w:rPr>
        <w:t> </w:t>
      </w:r>
      <w:r>
        <w:rPr>
          <w:rStyle w:val="CharPartText"/>
        </w:rPr>
        <w:t>Transitional provisions</w:t>
      </w:r>
      <w:bookmarkEnd w:id="85"/>
      <w:bookmarkEnd w:id="86"/>
      <w:bookmarkEnd w:id="87"/>
      <w:bookmarkEnd w:id="88"/>
      <w:bookmarkEnd w:id="89"/>
      <w:bookmarkEnd w:id="90"/>
      <w:bookmarkEnd w:id="91"/>
      <w:bookmarkEnd w:id="92"/>
      <w:bookmarkEnd w:id="93"/>
    </w:p>
    <w:p>
      <w:pPr>
        <w:pStyle w:val="Heading5"/>
      </w:pPr>
      <w:bookmarkStart w:id="94" w:name="_Toc14420290"/>
      <w:r>
        <w:rPr>
          <w:rStyle w:val="CharSectno"/>
        </w:rPr>
        <w:t>17</w:t>
      </w:r>
      <w:r>
        <w:t>.</w:t>
      </w:r>
      <w:r>
        <w:tab/>
        <w:t xml:space="preserve">Inquiries or investigations under the </w:t>
      </w:r>
      <w:r>
        <w:rPr>
          <w:i/>
        </w:rPr>
        <w:t>Health (Miscellaneous Provisions) Act 1911</w:t>
      </w:r>
      <w:r>
        <w:t xml:space="preserve"> section 13</w:t>
      </w:r>
      <w:bookmarkEnd w:id="94"/>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95" w:name="_Toc531862147"/>
      <w:bookmarkStart w:id="96" w:name="_Toc531862174"/>
      <w:bookmarkStart w:id="97" w:name="_Toc531867040"/>
      <w:bookmarkStart w:id="98" w:name="_Toc531872268"/>
      <w:bookmarkStart w:id="99" w:name="_Toc532211290"/>
      <w:bookmarkStart w:id="100" w:name="_Toc532218393"/>
      <w:bookmarkStart w:id="101" w:name="_Toc14358940"/>
      <w:bookmarkStart w:id="102" w:name="_Toc14360394"/>
      <w:bookmarkStart w:id="103" w:name="_Toc14420291"/>
      <w:r>
        <w:t>Notes</w:t>
      </w:r>
      <w:bookmarkEnd w:id="95"/>
      <w:bookmarkEnd w:id="96"/>
      <w:bookmarkEnd w:id="97"/>
      <w:bookmarkEnd w:id="98"/>
      <w:bookmarkEnd w:id="99"/>
      <w:bookmarkEnd w:id="100"/>
      <w:bookmarkEnd w:id="101"/>
      <w:bookmarkEnd w:id="102"/>
      <w:bookmarkEnd w:id="103"/>
    </w:p>
    <w:p>
      <w:pPr>
        <w:pStyle w:val="nSubsection"/>
      </w:pPr>
      <w:r>
        <w:rPr>
          <w:vertAlign w:val="superscript"/>
        </w:rPr>
        <w:t>1</w:t>
      </w:r>
      <w:r>
        <w:tab/>
        <w:t xml:space="preserve">This is a compilation of the </w:t>
      </w:r>
      <w:r>
        <w:rPr>
          <w:i/>
          <w:noProof/>
        </w:rPr>
        <w:t>Public Health Regulations 2017</w:t>
      </w:r>
      <w:r>
        <w:t xml:space="preserve"> and includes the amendments made by the other written laws referred to in the following table.</w:t>
      </w:r>
    </w:p>
    <w:p>
      <w:pPr>
        <w:pStyle w:val="nHeading3"/>
      </w:pPr>
      <w:bookmarkStart w:id="104" w:name="_Toc14420292"/>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single" w:sz="4" w:space="0" w:color="auto"/>
            </w:tcBorders>
          </w:tcPr>
          <w:p>
            <w:pPr>
              <w:pStyle w:val="nTable"/>
              <w:spacing w:after="40"/>
              <w:rPr>
                <w:i/>
              </w:rPr>
            </w:pPr>
            <w:r>
              <w:rPr>
                <w:i/>
              </w:rPr>
              <w:t>Public Health Amendment Regulations 2019</w:t>
            </w:r>
          </w:p>
        </w:tc>
        <w:tc>
          <w:tcPr>
            <w:tcW w:w="1276" w:type="dxa"/>
            <w:tcBorders>
              <w:top w:val="nil"/>
              <w:bottom w:val="single" w:sz="4" w:space="0" w:color="auto"/>
            </w:tcBorders>
          </w:tcPr>
          <w:p>
            <w:pPr>
              <w:pStyle w:val="nTable"/>
              <w:spacing w:after="40"/>
            </w:pPr>
            <w:r>
              <w:t>19 Jul 2019 p. 2846-54</w:t>
            </w:r>
          </w:p>
        </w:tc>
        <w:tc>
          <w:tcPr>
            <w:tcW w:w="2693" w:type="dxa"/>
            <w:tcBorders>
              <w:top w:val="nil"/>
              <w:bottom w:val="single" w:sz="4" w:space="0" w:color="auto"/>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06" w:name="_Toc14420293"/>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Notifiable infectious diseases and related conditions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Notifiable infectious diseases and related conditions</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152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AAEE-2B52-491B-8D4E-723ADED6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4750</Words>
  <Characters>26081</Characters>
  <Application>Microsoft Office Word</Application>
  <DocSecurity>0</DocSecurity>
  <Lines>1003</Lines>
  <Paragraphs>550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2017 - 00-d0-00</dc:title>
  <dc:subject/>
  <dc:creator/>
  <cp:keywords/>
  <dc:description/>
  <cp:lastModifiedBy>svcMRProcess</cp:lastModifiedBy>
  <cp:revision>4</cp:revision>
  <cp:lastPrinted>2018-12-06T07:02:00Z</cp:lastPrinted>
  <dcterms:created xsi:type="dcterms:W3CDTF">2019-07-19T06:18:00Z</dcterms:created>
  <dcterms:modified xsi:type="dcterms:W3CDTF">2019-07-19T06:18:00Z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22 Jul 2019</vt:lpwstr>
  </property>
  <property fmtid="{D5CDD505-2E9C-101B-9397-08002B2CF9AE}" pid="4" name="Suffix">
    <vt:lpwstr>00-d0-00</vt:lpwstr>
  </property>
  <property fmtid="{D5CDD505-2E9C-101B-9397-08002B2CF9AE}" pid="5" name="CommencementDate">
    <vt:lpwstr>20190722</vt:lpwstr>
  </property>
</Properties>
</file>