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Freedom of Information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Freedom of Information Regulations 1993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_Toc15044690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_Toc15044691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Term used: non-personal information</w:t>
      </w:r>
      <w:r>
        <w:tab/>
      </w:r>
      <w:r>
        <w:fldChar w:fldCharType="begin"/>
      </w:r>
      <w:r>
        <w:instrText xml:space="preserve"> PAGEREF _Toc15044692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provisions relating to charges</w:t>
      </w:r>
      <w:r>
        <w:tab/>
      </w:r>
      <w:r>
        <w:fldChar w:fldCharType="begin"/>
      </w:r>
      <w:r>
        <w:instrText xml:space="preserve"> PAGEREF _Toc15044693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fee (section 12(1)(e))</w:t>
      </w:r>
      <w:r>
        <w:tab/>
      </w:r>
      <w:r>
        <w:fldChar w:fldCharType="begin"/>
      </w:r>
      <w:r>
        <w:instrText xml:space="preserve"> PAGEREF _Toc15044694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(section 16(1))</w:t>
      </w:r>
      <w:r>
        <w:tab/>
      </w:r>
      <w:r>
        <w:fldChar w:fldCharType="begin"/>
      </w:r>
      <w:r>
        <w:instrText xml:space="preserve"> PAGEREF _Toc15044695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Advance deposits (section 18(1) and (4))</w:t>
      </w:r>
      <w:r>
        <w:tab/>
      </w:r>
      <w:r>
        <w:fldChar w:fldCharType="begin"/>
      </w:r>
      <w:r>
        <w:instrText xml:space="preserve"> PAGEREF _Toc15044696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used: suitably qualified person (section 28)</w:t>
      </w:r>
      <w:r>
        <w:tab/>
      </w:r>
      <w:r>
        <w:fldChar w:fldCharType="begin"/>
      </w:r>
      <w:r>
        <w:instrText xml:space="preserve"> PAGEREF _Toc15044697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or details to be included in complaint (section 66(1)(d))</w:t>
      </w:r>
      <w:r>
        <w:tab/>
      </w:r>
      <w:r>
        <w:fldChar w:fldCharType="begin"/>
      </w:r>
      <w:r>
        <w:instrText xml:space="preserve"> PAGEREF _Toc15044698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personal details (Act Schedule 1 clause 3)</w:t>
      </w:r>
      <w:r>
        <w:tab/>
      </w:r>
      <w:r>
        <w:fldChar w:fldCharType="begin"/>
      </w:r>
      <w:r>
        <w:instrText xml:space="preserve"> PAGEREF _Toc15044699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Specified bodies etc. to be regarded as part of other agencies</w:t>
      </w:r>
      <w:r>
        <w:tab/>
      </w:r>
      <w:r>
        <w:fldChar w:fldCharType="begin"/>
      </w:r>
      <w:r>
        <w:instrText xml:space="preserve"> PAGEREF _Toc15044700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Offices and bodies to be regarded as part of other agencies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_Toc15044704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Freedom of Information Act 1992</w:t>
      </w:r>
    </w:p>
    <w:p>
      <w:pPr>
        <w:pStyle w:val="NameofActReg"/>
      </w:pPr>
      <w:r>
        <w:t>Freedom of Information Regulations 1993</w:t>
      </w:r>
    </w:p>
    <w:p>
      <w:pPr>
        <w:pStyle w:val="Heading5"/>
        <w:rPr>
          <w:snapToGrid w:val="0"/>
        </w:rPr>
      </w:pPr>
      <w:bookmarkStart w:id="3" w:name="_Toc1504469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pPr>
        <w:pStyle w:val="Heading5"/>
        <w:rPr>
          <w:snapToGrid w:val="0"/>
        </w:rPr>
      </w:pPr>
      <w:bookmarkStart w:id="4" w:name="_Toc1504469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pPr>
        <w:pStyle w:val="Heading5"/>
        <w:rPr>
          <w:snapToGrid w:val="0"/>
        </w:rPr>
      </w:pPr>
      <w:bookmarkStart w:id="5" w:name="_Toc15044692"/>
      <w:r>
        <w:rPr>
          <w:rStyle w:val="CharSectno"/>
        </w:rPr>
        <w:t>2A</w:t>
      </w:r>
      <w:r>
        <w:rPr>
          <w:snapToGrid w:val="0"/>
        </w:rPr>
        <w:t>.</w:t>
      </w:r>
      <w:r>
        <w:rPr>
          <w:snapToGrid w:val="0"/>
        </w:rPr>
        <w:tab/>
        <w:t>Term used: non-personal information</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6" w:name="_Toc15044693"/>
      <w:r>
        <w:rPr>
          <w:rStyle w:val="CharSectno"/>
        </w:rPr>
        <w:t>3</w:t>
      </w:r>
      <w:r>
        <w:rPr>
          <w:snapToGrid w:val="0"/>
        </w:rPr>
        <w:t>.</w:t>
      </w:r>
      <w:r>
        <w:rPr>
          <w:snapToGrid w:val="0"/>
        </w:rPr>
        <w:tab/>
        <w:t>General provisions relating to charges</w:t>
      </w:r>
      <w:bookmarkEnd w:id="6"/>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7" w:name="_Toc15044694"/>
      <w:r>
        <w:rPr>
          <w:rStyle w:val="CharSectno"/>
        </w:rPr>
        <w:t>4</w:t>
      </w:r>
      <w:r>
        <w:rPr>
          <w:snapToGrid w:val="0"/>
        </w:rPr>
        <w:t>.</w:t>
      </w:r>
      <w:r>
        <w:rPr>
          <w:snapToGrid w:val="0"/>
        </w:rPr>
        <w:tab/>
        <w:t>Application fee (section 12(1)(e))</w:t>
      </w:r>
      <w:bookmarkEnd w:id="7"/>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8" w:name="_Toc15044695"/>
      <w:r>
        <w:rPr>
          <w:rStyle w:val="CharSectno"/>
        </w:rPr>
        <w:t>5</w:t>
      </w:r>
      <w:r>
        <w:rPr>
          <w:snapToGrid w:val="0"/>
        </w:rPr>
        <w:t>.</w:t>
      </w:r>
      <w:r>
        <w:rPr>
          <w:snapToGrid w:val="0"/>
        </w:rPr>
        <w:tab/>
        <w:t>Charges (section 16(1))</w:t>
      </w:r>
      <w:bookmarkEnd w:id="8"/>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9" w:name="_Toc15044696"/>
      <w:r>
        <w:rPr>
          <w:rStyle w:val="CharSectno"/>
        </w:rPr>
        <w:t>6</w:t>
      </w:r>
      <w:r>
        <w:rPr>
          <w:snapToGrid w:val="0"/>
        </w:rPr>
        <w:t>.</w:t>
      </w:r>
      <w:r>
        <w:rPr>
          <w:snapToGrid w:val="0"/>
        </w:rPr>
        <w:tab/>
        <w:t>Advance deposits (section 18(1) and (4))</w:t>
      </w:r>
      <w:bookmarkEnd w:id="9"/>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0" w:name="_Toc15044697"/>
      <w:r>
        <w:rPr>
          <w:rStyle w:val="CharSectno"/>
        </w:rPr>
        <w:t>7</w:t>
      </w:r>
      <w:r>
        <w:rPr>
          <w:snapToGrid w:val="0"/>
        </w:rPr>
        <w:t>.</w:t>
      </w:r>
      <w:r>
        <w:rPr>
          <w:snapToGrid w:val="0"/>
        </w:rPr>
        <w:tab/>
        <w:t>Term used: suitably qualified person (section 28)</w:t>
      </w:r>
      <w:bookmarkEnd w:id="10"/>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1" w:name="_Toc15044698"/>
      <w:r>
        <w:rPr>
          <w:rStyle w:val="CharSectno"/>
        </w:rPr>
        <w:t>8</w:t>
      </w:r>
      <w:r>
        <w:rPr>
          <w:snapToGrid w:val="0"/>
        </w:rPr>
        <w:t>.</w:t>
      </w:r>
      <w:r>
        <w:rPr>
          <w:snapToGrid w:val="0"/>
        </w:rPr>
        <w:tab/>
        <w:t>Information or details to be included in complaint (section 66(1)(d))</w:t>
      </w:r>
      <w:bookmarkEnd w:id="11"/>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12" w:name="_Toc15044699"/>
      <w:r>
        <w:rPr>
          <w:rStyle w:val="CharSectno"/>
        </w:rPr>
        <w:t>9</w:t>
      </w:r>
      <w:r>
        <w:rPr>
          <w:snapToGrid w:val="0"/>
        </w:rPr>
        <w:t>.</w:t>
      </w:r>
      <w:r>
        <w:rPr>
          <w:snapToGrid w:val="0"/>
        </w:rPr>
        <w:tab/>
        <w:t>Prescribed personal details (Act Schedule 1 clause 3)</w:t>
      </w:r>
      <w:bookmarkEnd w:id="12"/>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rPr>
          <w:snapToGrid w:val="0"/>
        </w:rPr>
      </w:pPr>
      <w:bookmarkStart w:id="13" w:name="_Toc15044700"/>
      <w:r>
        <w:rPr>
          <w:rStyle w:val="CharSectno"/>
        </w:rPr>
        <w:t>10</w:t>
      </w:r>
      <w:r>
        <w:rPr>
          <w:snapToGrid w:val="0"/>
        </w:rPr>
        <w:t>.</w:t>
      </w:r>
      <w:r>
        <w:rPr>
          <w:snapToGrid w:val="0"/>
        </w:rPr>
        <w:tab/>
        <w:t>Specified bodies etc. to be regarded as part of other agencies</w:t>
      </w:r>
      <w:bookmarkEnd w:id="13"/>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 w:name="_Toc15044701"/>
      <w:r>
        <w:rPr>
          <w:rStyle w:val="CharSchNo"/>
        </w:rPr>
        <w:t>Schedule 1</w:t>
      </w:r>
      <w:bookmarkEnd w:id="14"/>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15" w:name="_Toc15044702"/>
      <w:r>
        <w:rPr>
          <w:rStyle w:val="CharSchNo"/>
        </w:rPr>
        <w:t>Schedule 2</w:t>
      </w:r>
      <w:r>
        <w:t> — </w:t>
      </w:r>
      <w:r>
        <w:rPr>
          <w:rStyle w:val="CharSchText"/>
        </w:rPr>
        <w:t>Offices and bodies to be regarded as part of other agencies</w:t>
      </w:r>
      <w:bookmarkEnd w:id="15"/>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Bridgetown</w:t>
                </w:r>
              </w:smartTag>
            </w:smartTag>
            <w:r>
              <w:rPr>
                <w:sz w:val="20"/>
              </w:rPr>
              <w:t xml:space="preserve">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r>
                <w:rPr>
                  <w:sz w:val="20"/>
                </w:rPr>
                <w:t>Lake</w:t>
              </w:r>
            </w:smartTag>
            <w:r>
              <w:rPr>
                <w:sz w:val="20"/>
              </w:rPr>
              <w:t xml:space="preserv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Potato Marketing Corporation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Upper</w:t>
                </w:r>
              </w:smartTag>
              <w:r>
                <w:rPr>
                  <w:sz w:val="20"/>
                </w:rPr>
                <w:t xml:space="preserve"> </w:t>
              </w:r>
              <w:smartTag w:uri="urn:schemas-microsoft-com:office:smarttags" w:element="PlaceName">
                <w:r>
                  <w:rPr>
                    <w:sz w:val="20"/>
                  </w:rPr>
                  <w:t>Gascoyne</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Walpole</w:t>
                </w:r>
              </w:smartTag>
            </w:smartTag>
            <w:r>
              <w:rPr>
                <w:sz w:val="20"/>
              </w:rPr>
              <w:t xml:space="preserv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Wooroloo</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val="restart"/>
          </w:tcPr>
          <w:p>
            <w:pPr>
              <w:pStyle w:val="yTable"/>
              <w:rPr>
                <w:sz w:val="20"/>
              </w:rPr>
            </w:pPr>
            <w:r>
              <w:rPr>
                <w:sz w:val="20"/>
              </w:rPr>
              <w:t>Department of Consumer and Employment Protection</w:t>
            </w:r>
            <w:r>
              <w:rPr>
                <w:sz w:val="20"/>
                <w:vertAlign w:val="superscript"/>
              </w:rPr>
              <w:t> 5</w:t>
            </w:r>
            <w:r>
              <w:rPr>
                <w:sz w:val="20"/>
              </w:rPr>
              <w:t xml:space="preserve"> </w:t>
            </w:r>
          </w:p>
        </w:tc>
        <w:tc>
          <w:tcPr>
            <w:tcW w:w="5194" w:type="dxa"/>
          </w:tcPr>
          <w:p>
            <w:pPr>
              <w:pStyle w:val="yTable"/>
              <w:ind w:left="209" w:hanging="209"/>
              <w:rPr>
                <w:sz w:val="20"/>
              </w:rPr>
            </w:pPr>
            <w:r>
              <w:rPr>
                <w:sz w:val="20"/>
              </w:rPr>
              <w:t>Board of Examiners (Coal Mining)</w:t>
            </w:r>
          </w:p>
        </w:tc>
      </w:tr>
      <w:tr>
        <w:trPr>
          <w:cantSplit/>
        </w:trPr>
        <w:tc>
          <w:tcPr>
            <w:tcW w:w="1894" w:type="dxa"/>
            <w:vMerge/>
          </w:tcPr>
          <w:p>
            <w:pPr>
              <w:pStyle w:val="yTable"/>
            </w:pPr>
          </w:p>
        </w:tc>
        <w:tc>
          <w:tcPr>
            <w:tcW w:w="5194" w:type="dxa"/>
          </w:tcPr>
          <w:p>
            <w:pPr>
              <w:pStyle w:val="yTable"/>
              <w:ind w:left="209" w:hanging="209"/>
            </w:pPr>
            <w:r>
              <w:rPr>
                <w:sz w:val="20"/>
              </w:rPr>
              <w:t>Board of Examiners (Mine Managers and Underground Supervisors)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894" w:type="dxa"/>
            <w:vMerge w:val="restart"/>
          </w:tcPr>
          <w:p>
            <w:pPr>
              <w:pStyle w:val="yTableNAm"/>
              <w:keepNext/>
              <w:keepLines/>
              <w:spacing w:before="60"/>
              <w:rPr>
                <w:sz w:val="20"/>
              </w:rPr>
            </w:pPr>
            <w:r>
              <w:rPr>
                <w:sz w:val="20"/>
              </w:rPr>
              <w:t>Department of Education Services</w:t>
            </w:r>
          </w:p>
        </w:tc>
        <w:tc>
          <w:tcPr>
            <w:tcW w:w="5194" w:type="dxa"/>
          </w:tcPr>
          <w:p>
            <w:pPr>
              <w:pStyle w:val="yTableNAm"/>
              <w:keepNext/>
              <w:keepLines/>
              <w:spacing w:before="60"/>
              <w:rPr>
                <w:sz w:val="20"/>
              </w:rPr>
            </w:pPr>
            <w:r>
              <w:rPr>
                <w:sz w:val="20"/>
              </w:rPr>
              <w:t>Aboriginal Education and Training Council</w:t>
            </w:r>
          </w:p>
        </w:tc>
      </w:tr>
      <w:tr>
        <w:trPr>
          <w:cantSplit/>
        </w:trPr>
        <w:tc>
          <w:tcPr>
            <w:tcW w:w="1894" w:type="dxa"/>
            <w:vMerge/>
          </w:tcPr>
          <w:p>
            <w:pPr>
              <w:pStyle w:val="yTableNAm"/>
              <w:spacing w:before="60"/>
            </w:pPr>
          </w:p>
        </w:tc>
        <w:tc>
          <w:tcPr>
            <w:tcW w:w="5194" w:type="dxa"/>
          </w:tcPr>
          <w:p>
            <w:pPr>
              <w:pStyle w:val="yTableNAm"/>
              <w:spacing w:before="60"/>
            </w:pPr>
            <w:r>
              <w:rPr>
                <w:sz w:val="20"/>
              </w:rPr>
              <w:t>Non</w:t>
            </w:r>
            <w:r>
              <w:rPr>
                <w:sz w:val="20"/>
              </w:rPr>
              <w:noBreakHyphen/>
              <w:t>Government Schools Planning Advisory Committee</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 xml:space="preserve">Teacher Registration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Western Australian Higher Education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Waste Authority</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Abrolhos Islands Management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Aquaculture Development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Aged Care Advisory Panel</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Anaesthetic Morality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Aboriginal Housing and Infrastructure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Cultural Material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Aboriginal Lands Trust</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Centre of Excellence State Funding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Accident Relief Fund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Caravan Parks and Camping Grounds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Control of Vehicles (Off</w:t>
            </w:r>
            <w:r>
              <w:rPr>
                <w:sz w:val="20"/>
              </w:rPr>
              <w:noBreakHyphen/>
              <w:t>road Areas) Act Advisory Committee</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r>
              <w:rPr>
                <w:sz w:val="20"/>
              </w:rPr>
              <w:t>Conservation Commission of Western Australia</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Authority</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Scientific Advisory Committee</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Swan River Trust</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and Wagering Commission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Gaming Community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Premier’s Physical Activity Taskforce</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Completed Royal Commissions</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Infrastructure WA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Division of Industrial Training</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State Training Board</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Anzac Day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Office of Shared Services</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Avon Waterways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Broome Groundwater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sz w:val="20"/>
              </w:rPr>
              <w:t xml:space="preserve">Advisory Council for Disability Services </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Aboriginal and Remote Communities Power Supply Steering Committee</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State Underground Power Steering Committee</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 xml:space="preserve">Railway Appeal Board </w:t>
            </w:r>
          </w:p>
        </w:tc>
      </w:tr>
      <w:tr>
        <w:tc>
          <w:tcPr>
            <w:tcW w:w="1894" w:type="dxa"/>
            <w:vMerge w:val="restart"/>
          </w:tcPr>
          <w:p>
            <w:pPr>
              <w:pStyle w:val="yTable"/>
              <w:keepNext/>
              <w:keepLines/>
              <w:rPr>
                <w:sz w:val="20"/>
              </w:rPr>
            </w:pPr>
            <w:r>
              <w:rPr>
                <w:sz w:val="20"/>
              </w:rPr>
              <w:t>Western Australia Industrial Relations Commission</w:t>
            </w:r>
          </w:p>
        </w:tc>
        <w:tc>
          <w:tcPr>
            <w:tcW w:w="5194"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Community Safety and Crime Prevention Council</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Police Appeal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 w:name="_Toc15044703"/>
      <w:r>
        <w:t>Notes</w:t>
      </w:r>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15044704"/>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tcPr>
          <w:p>
            <w:pPr>
              <w:pStyle w:val="nTable"/>
              <w:spacing w:after="40"/>
              <w:rPr>
                <w:i/>
                <w:highlight w:val="green"/>
              </w:rPr>
            </w:pPr>
            <w:bookmarkStart w:id="19" w:name="RuleErr_8"/>
            <w:r>
              <w:rPr>
                <w:i/>
              </w:rPr>
              <w:t>Freedom of Information Amendment Regulations 2013</w:t>
            </w:r>
            <w:bookmarkEnd w:id="19"/>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bottom w:val="single" w:sz="4" w:space="0" w:color="auto"/>
            </w:tcBorders>
          </w:tcPr>
          <w:p>
            <w:pPr>
              <w:pStyle w:val="nTable"/>
              <w:spacing w:after="40"/>
              <w:rPr>
                <w:i/>
              </w:rPr>
            </w:pPr>
            <w:r>
              <w:rPr>
                <w:i/>
              </w:rPr>
              <w:t>Freedom of Information Amendment Regulations 2019</w:t>
            </w:r>
          </w:p>
        </w:tc>
        <w:tc>
          <w:tcPr>
            <w:tcW w:w="1276" w:type="dxa"/>
            <w:tcBorders>
              <w:bottom w:val="single" w:sz="4" w:space="0" w:color="auto"/>
            </w:tcBorders>
          </w:tcPr>
          <w:p>
            <w:pPr>
              <w:pStyle w:val="nTable"/>
              <w:keepNext/>
              <w:spacing w:after="40"/>
            </w:pPr>
            <w:r>
              <w:t>26 Jul 2019 p. 2955-6</w:t>
            </w:r>
          </w:p>
        </w:tc>
        <w:tc>
          <w:tcPr>
            <w:tcW w:w="2693" w:type="dxa"/>
            <w:tcBorders>
              <w:bottom w:val="single" w:sz="4" w:space="0" w:color="auto"/>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bl>
    <w:p>
      <w:pPr>
        <w:pStyle w:val="nSubsection"/>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for Child Protection has been altered to the Department for Child Protection and Family Support.</w:t>
      </w:r>
    </w:p>
    <w:p>
      <w:pPr>
        <w:pStyle w:val="nSubsection"/>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Subsection"/>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Subsection"/>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Subsection"/>
        <w:rPr>
          <w:snapToGrid w:val="0"/>
        </w:rPr>
      </w:pPr>
      <w:r>
        <w:rPr>
          <w:vertAlign w:val="superscript"/>
        </w:rPr>
        <w:t>6</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pPr>
        <w:pStyle w:val="nSubsection"/>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pPr>
        <w:pStyle w:val="nSubsection"/>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Subsection"/>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Subsection"/>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Subsection"/>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1" w:name="_Toc15044705"/>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personal information</w:t>
      </w:r>
      <w:r>
        <w:tab/>
        <w:t>2A</w:t>
      </w:r>
    </w:p>
    <w:p>
      <w:pPr>
        <w:pStyle w:val="DefinedTerms"/>
      </w:pPr>
      <w:r>
        <w:t>suitably qualified person</w:t>
      </w:r>
      <w:r>
        <w:tab/>
        <w:t>7</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72DC68"/>
    <w:lvl w:ilvl="0">
      <w:start w:val="1"/>
      <w:numFmt w:val="decimal"/>
      <w:lvlText w:val="%1."/>
      <w:lvlJc w:val="left"/>
      <w:pPr>
        <w:tabs>
          <w:tab w:val="num" w:pos="1800"/>
        </w:tabs>
        <w:ind w:left="1800" w:hanging="360"/>
      </w:pPr>
    </w:lvl>
  </w:abstractNum>
  <w:abstractNum w:abstractNumId="1">
    <w:nsid w:val="FFFFFF7D"/>
    <w:multiLevelType w:val="singleLevel"/>
    <w:tmpl w:val="2312C4BA"/>
    <w:lvl w:ilvl="0">
      <w:start w:val="1"/>
      <w:numFmt w:val="decimal"/>
      <w:lvlText w:val="%1."/>
      <w:lvlJc w:val="left"/>
      <w:pPr>
        <w:tabs>
          <w:tab w:val="num" w:pos="1440"/>
        </w:tabs>
        <w:ind w:left="1440" w:hanging="360"/>
      </w:pPr>
    </w:lvl>
  </w:abstractNum>
  <w:abstractNum w:abstractNumId="2">
    <w:nsid w:val="FFFFFF7E"/>
    <w:multiLevelType w:val="singleLevel"/>
    <w:tmpl w:val="0B225876"/>
    <w:lvl w:ilvl="0">
      <w:start w:val="1"/>
      <w:numFmt w:val="decimal"/>
      <w:lvlText w:val="%1."/>
      <w:lvlJc w:val="left"/>
      <w:pPr>
        <w:tabs>
          <w:tab w:val="num" w:pos="1080"/>
        </w:tabs>
        <w:ind w:left="1080" w:hanging="360"/>
      </w:pPr>
    </w:lvl>
  </w:abstractNum>
  <w:abstractNum w:abstractNumId="3">
    <w:nsid w:val="FFFFFF7F"/>
    <w:multiLevelType w:val="singleLevel"/>
    <w:tmpl w:val="9E362B64"/>
    <w:lvl w:ilvl="0">
      <w:start w:val="1"/>
      <w:numFmt w:val="decimal"/>
      <w:lvlText w:val="%1."/>
      <w:lvlJc w:val="left"/>
      <w:pPr>
        <w:tabs>
          <w:tab w:val="num" w:pos="720"/>
        </w:tabs>
        <w:ind w:left="720" w:hanging="360"/>
      </w:pPr>
    </w:lvl>
  </w:abstractNum>
  <w:abstractNum w:abstractNumId="4">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A4D4D6"/>
    <w:lvl w:ilvl="0">
      <w:start w:val="1"/>
      <w:numFmt w:val="decimal"/>
      <w:lvlText w:val="%1."/>
      <w:lvlJc w:val="left"/>
      <w:pPr>
        <w:tabs>
          <w:tab w:val="num" w:pos="360"/>
        </w:tabs>
        <w:ind w:left="360" w:hanging="360"/>
      </w:pPr>
    </w:lvl>
  </w:abstractNum>
  <w:abstractNum w:abstractNumId="9">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26091954"/>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86FF-37D3-486F-96E0-17404AAD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4400</Words>
  <Characters>26312</Characters>
  <Application>Microsoft Office Word</Application>
  <DocSecurity>0</DocSecurity>
  <Lines>1196</Lines>
  <Paragraphs>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1993 - 02-c0-00</dc:title>
  <dc:subject/>
  <dc:creator/>
  <cp:keywords/>
  <dc:description/>
  <cp:lastModifiedBy>svcMRProcess</cp:lastModifiedBy>
  <cp:revision>4</cp:revision>
  <cp:lastPrinted>2013-07-17T03:17:00Z</cp:lastPrinted>
  <dcterms:created xsi:type="dcterms:W3CDTF">2019-07-26T06:54:00Z</dcterms:created>
  <dcterms:modified xsi:type="dcterms:W3CDTF">2019-07-26T06:54:00Z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AsAtDate">
    <vt:lpwstr>27 Jul 2019</vt:lpwstr>
  </property>
  <property fmtid="{D5CDD505-2E9C-101B-9397-08002B2CF9AE}" pid="8" name="Suffix">
    <vt:lpwstr>02-c0-00</vt:lpwstr>
  </property>
  <property fmtid="{D5CDD505-2E9C-101B-9397-08002B2CF9AE}" pid="9" name="CommencementDate">
    <vt:lpwstr>20190727</vt:lpwstr>
  </property>
</Properties>
</file>