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Industrial Relations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Industrial Relations Commission Regulations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284" w:right="283"/>
      </w:pPr>
      <w:r>
        <w:fldChar w:fldCharType="begin"/>
      </w:r>
      <w:r>
        <w:instrText xml:space="preserve"> STYLEREF "Name Of Act/Reg"</w:instrText>
      </w:r>
      <w:r>
        <w:fldChar w:fldCharType="separate"/>
      </w:r>
      <w:r>
        <w:rPr>
          <w:noProof/>
        </w:rPr>
        <w:t>Industrial Relations Commission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_Toc11744419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_Toc11744420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_Toc11744421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The office of the Registrar</w:t>
      </w:r>
    </w:p>
    <w:p>
      <w:pPr>
        <w:pStyle w:val="TOC8"/>
        <w:rPr>
          <w:rFonts w:asciiTheme="minorHAnsi" w:eastAsiaTheme="minorEastAsia" w:hAnsiTheme="minorHAnsi" w:cstheme="minorBidi"/>
          <w:szCs w:val="22"/>
        </w:rPr>
      </w:pPr>
      <w:r>
        <w:t>4.</w:t>
      </w:r>
      <w:r>
        <w:tab/>
      </w:r>
      <w:r>
        <w:rPr>
          <w:snapToGrid w:val="0"/>
        </w:rPr>
        <w:t>Lodging documents</w:t>
      </w:r>
      <w:r>
        <w:tab/>
      </w:r>
      <w:r>
        <w:fldChar w:fldCharType="begin"/>
      </w:r>
      <w:r>
        <w:instrText xml:space="preserve"> PAGEREF _Toc11744423 \h </w:instrText>
      </w:r>
      <w:r>
        <w:fldChar w:fldCharType="separate"/>
      </w:r>
      <w:r>
        <w:t>3</w:t>
      </w:r>
      <w:r>
        <w:fldChar w:fldCharType="end"/>
      </w:r>
    </w:p>
    <w:p>
      <w:pPr>
        <w:pStyle w:val="TOC8"/>
        <w:rPr>
          <w:rFonts w:asciiTheme="minorHAnsi" w:eastAsiaTheme="minorEastAsia" w:hAnsiTheme="minorHAnsi" w:cstheme="minorBidi"/>
          <w:szCs w:val="22"/>
        </w:rPr>
      </w:pPr>
      <w:r>
        <w:t>5.</w:t>
      </w:r>
      <w:r>
        <w:tab/>
        <w:t>Lodging and filing documents electronically</w:t>
      </w:r>
      <w:r>
        <w:tab/>
      </w:r>
      <w:r>
        <w:fldChar w:fldCharType="begin"/>
      </w:r>
      <w:r>
        <w:instrText xml:space="preserve"> PAGEREF _Toc11744424 \h </w:instrText>
      </w:r>
      <w:r>
        <w:fldChar w:fldCharType="separate"/>
      </w:r>
      <w:r>
        <w:t>4</w:t>
      </w:r>
      <w:r>
        <w:fldChar w:fldCharType="end"/>
      </w:r>
    </w:p>
    <w:p>
      <w:pPr>
        <w:pStyle w:val="TOC8"/>
        <w:rPr>
          <w:rFonts w:asciiTheme="minorHAnsi" w:eastAsiaTheme="minorEastAsia" w:hAnsiTheme="minorHAnsi" w:cstheme="minorBidi"/>
          <w:szCs w:val="22"/>
        </w:rPr>
      </w:pPr>
      <w:r>
        <w:t>6.</w:t>
      </w:r>
      <w:r>
        <w:tab/>
      </w:r>
      <w:r>
        <w:rPr>
          <w:snapToGrid w:val="0"/>
        </w:rPr>
        <w:t>Office of Registrar opening hours</w:t>
      </w:r>
      <w:r>
        <w:tab/>
      </w:r>
      <w:r>
        <w:fldChar w:fldCharType="begin"/>
      </w:r>
      <w:r>
        <w:instrText xml:space="preserve"> PAGEREF _Toc11744425 \h </w:instrText>
      </w:r>
      <w:r>
        <w:fldChar w:fldCharType="separate"/>
      </w:r>
      <w:r>
        <w:t>6</w:t>
      </w:r>
      <w:r>
        <w:fldChar w:fldCharType="end"/>
      </w:r>
    </w:p>
    <w:p>
      <w:pPr>
        <w:pStyle w:val="TOC8"/>
        <w:rPr>
          <w:rFonts w:asciiTheme="minorHAnsi" w:eastAsiaTheme="minorEastAsia" w:hAnsiTheme="minorHAnsi" w:cstheme="minorBidi"/>
          <w:szCs w:val="22"/>
        </w:rPr>
      </w:pPr>
      <w:r>
        <w:t>7.</w:t>
      </w:r>
      <w:r>
        <w:tab/>
      </w:r>
      <w:r>
        <w:rPr>
          <w:snapToGrid w:val="0"/>
        </w:rPr>
        <w:t>Procedure by Registrar</w:t>
      </w:r>
      <w:r>
        <w:tab/>
      </w:r>
      <w:r>
        <w:fldChar w:fldCharType="begin"/>
      </w:r>
      <w:r>
        <w:instrText xml:space="preserve"> PAGEREF _Toc11744426 \h </w:instrText>
      </w:r>
      <w:r>
        <w:fldChar w:fldCharType="separate"/>
      </w:r>
      <w:r>
        <w:t>7</w:t>
      </w:r>
      <w:r>
        <w:fldChar w:fldCharType="end"/>
      </w:r>
    </w:p>
    <w:p>
      <w:pPr>
        <w:pStyle w:val="TOC8"/>
        <w:rPr>
          <w:rFonts w:asciiTheme="minorHAnsi" w:eastAsiaTheme="minorEastAsia" w:hAnsiTheme="minorHAnsi" w:cstheme="minorBidi"/>
          <w:szCs w:val="22"/>
        </w:rPr>
      </w:pPr>
      <w:r>
        <w:t>8.</w:t>
      </w:r>
      <w:r>
        <w:tab/>
      </w:r>
      <w:r>
        <w:rPr>
          <w:snapToGrid w:val="0"/>
        </w:rPr>
        <w:t>Duties of Registrar in respect of applications</w:t>
      </w:r>
      <w:r>
        <w:tab/>
      </w:r>
      <w:r>
        <w:fldChar w:fldCharType="begin"/>
      </w:r>
      <w:r>
        <w:instrText xml:space="preserve"> PAGEREF _Toc11744427 \h </w:instrText>
      </w:r>
      <w:r>
        <w:fldChar w:fldCharType="separate"/>
      </w:r>
      <w:r>
        <w:t>8</w:t>
      </w:r>
      <w:r>
        <w:fldChar w:fldCharType="end"/>
      </w:r>
    </w:p>
    <w:p>
      <w:pPr>
        <w:pStyle w:val="TOC8"/>
        <w:rPr>
          <w:rFonts w:asciiTheme="minorHAnsi" w:eastAsiaTheme="minorEastAsia" w:hAnsiTheme="minorHAnsi" w:cstheme="minorBidi"/>
          <w:szCs w:val="22"/>
        </w:rPr>
      </w:pPr>
      <w:r>
        <w:t>9.</w:t>
      </w:r>
      <w:r>
        <w:tab/>
      </w:r>
      <w:r>
        <w:rPr>
          <w:snapToGrid w:val="0"/>
        </w:rPr>
        <w:t>Direction to Registrar to investigate and report</w:t>
      </w:r>
      <w:r>
        <w:tab/>
      </w:r>
      <w:r>
        <w:fldChar w:fldCharType="begin"/>
      </w:r>
      <w:r>
        <w:instrText xml:space="preserve"> PAGEREF _Toc11744428 \h </w:instrText>
      </w:r>
      <w:r>
        <w:fldChar w:fldCharType="separate"/>
      </w:r>
      <w:r>
        <w:t>8</w:t>
      </w:r>
      <w:r>
        <w:fldChar w:fldCharType="end"/>
      </w:r>
    </w:p>
    <w:p>
      <w:pPr>
        <w:pStyle w:val="TOC8"/>
        <w:rPr>
          <w:rFonts w:asciiTheme="minorHAnsi" w:eastAsiaTheme="minorEastAsia" w:hAnsiTheme="minorHAnsi" w:cstheme="minorBidi"/>
          <w:szCs w:val="22"/>
        </w:rPr>
      </w:pPr>
      <w:r>
        <w:t>10.</w:t>
      </w:r>
      <w:r>
        <w:tab/>
      </w:r>
      <w:r>
        <w:rPr>
          <w:snapToGrid w:val="0"/>
        </w:rPr>
        <w:t>Stamp of Commission</w:t>
      </w:r>
      <w:r>
        <w:tab/>
      </w:r>
      <w:r>
        <w:fldChar w:fldCharType="begin"/>
      </w:r>
      <w:r>
        <w:instrText xml:space="preserve"> PAGEREF _Toc11744429 \h </w:instrText>
      </w:r>
      <w:r>
        <w:fldChar w:fldCharType="separate"/>
      </w:r>
      <w:r>
        <w:t>8</w:t>
      </w:r>
      <w:r>
        <w:fldChar w:fldCharType="end"/>
      </w:r>
    </w:p>
    <w:p>
      <w:pPr>
        <w:pStyle w:val="TOC8"/>
        <w:rPr>
          <w:rFonts w:asciiTheme="minorHAnsi" w:eastAsiaTheme="minorEastAsia" w:hAnsiTheme="minorHAnsi" w:cstheme="minorBidi"/>
          <w:szCs w:val="22"/>
        </w:rPr>
      </w:pPr>
      <w:r>
        <w:t>11.</w:t>
      </w:r>
      <w:r>
        <w:tab/>
      </w:r>
      <w:r>
        <w:rPr>
          <w:snapToGrid w:val="0"/>
        </w:rPr>
        <w:t>Seal of Commission</w:t>
      </w:r>
      <w:r>
        <w:tab/>
      </w:r>
      <w:r>
        <w:fldChar w:fldCharType="begin"/>
      </w:r>
      <w:r>
        <w:instrText xml:space="preserve"> PAGEREF _Toc11744430 \h </w:instrText>
      </w:r>
      <w:r>
        <w:fldChar w:fldCharType="separate"/>
      </w:r>
      <w:r>
        <w:t>9</w:t>
      </w:r>
      <w:r>
        <w:fldChar w:fldCharType="end"/>
      </w:r>
    </w:p>
    <w:p>
      <w:pPr>
        <w:pStyle w:val="TOC8"/>
        <w:rPr>
          <w:rFonts w:asciiTheme="minorHAnsi" w:eastAsiaTheme="minorEastAsia" w:hAnsiTheme="minorHAnsi" w:cstheme="minorBidi"/>
          <w:szCs w:val="22"/>
        </w:rPr>
      </w:pPr>
      <w:r>
        <w:t>12.</w:t>
      </w:r>
      <w:r>
        <w:tab/>
      </w:r>
      <w:r>
        <w:rPr>
          <w:snapToGrid w:val="0"/>
        </w:rPr>
        <w:t>Publication of information and notices</w:t>
      </w:r>
      <w:r>
        <w:tab/>
      </w:r>
      <w:r>
        <w:fldChar w:fldCharType="begin"/>
      </w:r>
      <w:r>
        <w:instrText xml:space="preserve"> PAGEREF _Toc11744431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Conduct of proceedings</w:t>
      </w:r>
    </w:p>
    <w:p>
      <w:pPr>
        <w:pStyle w:val="TOC4"/>
        <w:tabs>
          <w:tab w:val="right" w:leader="dot" w:pos="7077"/>
        </w:tabs>
        <w:rPr>
          <w:rFonts w:asciiTheme="minorHAnsi" w:eastAsiaTheme="minorEastAsia" w:hAnsiTheme="minorHAnsi" w:cstheme="minorBidi"/>
          <w:b w:val="0"/>
          <w:szCs w:val="22"/>
        </w:rPr>
      </w:pPr>
      <w:r>
        <w:t>Division 1 — Notice of application, response and parties</w:t>
      </w:r>
    </w:p>
    <w:p>
      <w:pPr>
        <w:pStyle w:val="TOC8"/>
        <w:rPr>
          <w:rFonts w:asciiTheme="minorHAnsi" w:eastAsiaTheme="minorEastAsia" w:hAnsiTheme="minorHAnsi" w:cstheme="minorBidi"/>
          <w:szCs w:val="22"/>
        </w:rPr>
      </w:pPr>
      <w:r>
        <w:t>13.</w:t>
      </w:r>
      <w:r>
        <w:tab/>
      </w:r>
      <w:r>
        <w:rPr>
          <w:snapToGrid w:val="0"/>
        </w:rPr>
        <w:t>Applications to Commission</w:t>
      </w:r>
      <w:r>
        <w:tab/>
      </w:r>
      <w:r>
        <w:fldChar w:fldCharType="begin"/>
      </w:r>
      <w:r>
        <w:instrText xml:space="preserve"> PAGEREF _Toc11744434 \h </w:instrText>
      </w:r>
      <w:r>
        <w:fldChar w:fldCharType="separate"/>
      </w:r>
      <w:r>
        <w:t>10</w:t>
      </w:r>
      <w:r>
        <w:fldChar w:fldCharType="end"/>
      </w:r>
    </w:p>
    <w:p>
      <w:pPr>
        <w:pStyle w:val="TOC8"/>
        <w:rPr>
          <w:rFonts w:asciiTheme="minorHAnsi" w:eastAsiaTheme="minorEastAsia" w:hAnsiTheme="minorHAnsi" w:cstheme="minorBidi"/>
          <w:szCs w:val="22"/>
        </w:rPr>
      </w:pPr>
      <w:r>
        <w:t>14.</w:t>
      </w:r>
      <w:r>
        <w:tab/>
        <w:t>Response</w:t>
      </w:r>
      <w:r>
        <w:tab/>
      </w:r>
      <w:r>
        <w:fldChar w:fldCharType="begin"/>
      </w:r>
      <w:r>
        <w:instrText xml:space="preserve"> PAGEREF _Toc11744435 \h </w:instrText>
      </w:r>
      <w:r>
        <w:fldChar w:fldCharType="separate"/>
      </w:r>
      <w:r>
        <w:t>11</w:t>
      </w:r>
      <w:r>
        <w:fldChar w:fldCharType="end"/>
      </w:r>
    </w:p>
    <w:p>
      <w:pPr>
        <w:pStyle w:val="TOC8"/>
        <w:rPr>
          <w:rFonts w:asciiTheme="minorHAnsi" w:eastAsiaTheme="minorEastAsia" w:hAnsiTheme="minorHAnsi" w:cstheme="minorBidi"/>
          <w:szCs w:val="22"/>
        </w:rPr>
      </w:pPr>
      <w:r>
        <w:t>15.</w:t>
      </w:r>
      <w:r>
        <w:tab/>
      </w:r>
      <w:r>
        <w:rPr>
          <w:snapToGrid w:val="0"/>
        </w:rPr>
        <w:t>General form of objection</w:t>
      </w:r>
      <w:r>
        <w:tab/>
      </w:r>
      <w:r>
        <w:fldChar w:fldCharType="begin"/>
      </w:r>
      <w:r>
        <w:instrText xml:space="preserve"> PAGEREF _Toc11744436 \h </w:instrText>
      </w:r>
      <w:r>
        <w:fldChar w:fldCharType="separate"/>
      </w:r>
      <w:r>
        <w:t>11</w:t>
      </w:r>
      <w:r>
        <w:fldChar w:fldCharType="end"/>
      </w:r>
    </w:p>
    <w:p>
      <w:pPr>
        <w:pStyle w:val="TOC8"/>
        <w:rPr>
          <w:rFonts w:asciiTheme="minorHAnsi" w:eastAsiaTheme="minorEastAsia" w:hAnsiTheme="minorHAnsi" w:cstheme="minorBidi"/>
          <w:szCs w:val="22"/>
        </w:rPr>
      </w:pPr>
      <w:r>
        <w:t>16.</w:t>
      </w:r>
      <w:r>
        <w:tab/>
        <w:t>Withdrawal or d</w:t>
      </w:r>
      <w:r>
        <w:rPr>
          <w:snapToGrid w:val="0"/>
        </w:rPr>
        <w:t>iscontinuance of application</w:t>
      </w:r>
      <w:r>
        <w:tab/>
      </w:r>
      <w:r>
        <w:fldChar w:fldCharType="begin"/>
      </w:r>
      <w:r>
        <w:instrText xml:space="preserve"> PAGEREF _Toc11744437 \h </w:instrText>
      </w:r>
      <w:r>
        <w:fldChar w:fldCharType="separate"/>
      </w:r>
      <w:r>
        <w:t>12</w:t>
      </w:r>
      <w:r>
        <w:fldChar w:fldCharType="end"/>
      </w:r>
    </w:p>
    <w:p>
      <w:pPr>
        <w:pStyle w:val="TOC8"/>
        <w:rPr>
          <w:rFonts w:asciiTheme="minorHAnsi" w:eastAsiaTheme="minorEastAsia" w:hAnsiTheme="minorHAnsi" w:cstheme="minorBidi"/>
          <w:szCs w:val="22"/>
        </w:rPr>
      </w:pPr>
      <w:r>
        <w:t>17.</w:t>
      </w:r>
      <w:r>
        <w:tab/>
        <w:t>Application to amend</w:t>
      </w:r>
      <w:r>
        <w:tab/>
      </w:r>
      <w:r>
        <w:fldChar w:fldCharType="begin"/>
      </w:r>
      <w:r>
        <w:instrText xml:space="preserve"> PAGEREF _Toc11744438 \h </w:instrText>
      </w:r>
      <w:r>
        <w:fldChar w:fldCharType="separate"/>
      </w:r>
      <w:r>
        <w:t>12</w:t>
      </w:r>
      <w:r>
        <w:fldChar w:fldCharType="end"/>
      </w:r>
    </w:p>
    <w:p>
      <w:pPr>
        <w:pStyle w:val="TOC8"/>
        <w:rPr>
          <w:rFonts w:asciiTheme="minorHAnsi" w:eastAsiaTheme="minorEastAsia" w:hAnsiTheme="minorHAnsi" w:cstheme="minorBidi"/>
          <w:szCs w:val="22"/>
        </w:rPr>
      </w:pPr>
      <w:r>
        <w:t>18.</w:t>
      </w:r>
      <w:r>
        <w:tab/>
        <w:t>Joinder of parties</w:t>
      </w:r>
      <w:r>
        <w:tab/>
      </w:r>
      <w:r>
        <w:fldChar w:fldCharType="begin"/>
      </w:r>
      <w:r>
        <w:instrText xml:space="preserve"> PAGEREF _Toc11744439 \h </w:instrText>
      </w:r>
      <w:r>
        <w:fldChar w:fldCharType="separate"/>
      </w:r>
      <w:r>
        <w:t>13</w:t>
      </w:r>
      <w:r>
        <w:fldChar w:fldCharType="end"/>
      </w:r>
    </w:p>
    <w:p>
      <w:pPr>
        <w:pStyle w:val="TOC8"/>
        <w:rPr>
          <w:rFonts w:asciiTheme="minorHAnsi" w:eastAsiaTheme="minorEastAsia" w:hAnsiTheme="minorHAnsi" w:cstheme="minorBidi"/>
          <w:szCs w:val="22"/>
        </w:rPr>
      </w:pPr>
      <w:r>
        <w:t>19.</w:t>
      </w:r>
      <w:r>
        <w:tab/>
      </w:r>
      <w:r>
        <w:rPr>
          <w:snapToGrid w:val="0"/>
        </w:rPr>
        <w:t>Intervention</w:t>
      </w:r>
      <w:r>
        <w:tab/>
      </w:r>
      <w:r>
        <w:fldChar w:fldCharType="begin"/>
      </w:r>
      <w:r>
        <w:instrText xml:space="preserve"> PAGEREF _Toc11744440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Interlocutory proceedings</w:t>
      </w:r>
    </w:p>
    <w:p>
      <w:pPr>
        <w:pStyle w:val="TOC8"/>
        <w:rPr>
          <w:rFonts w:asciiTheme="minorHAnsi" w:eastAsiaTheme="minorEastAsia" w:hAnsiTheme="minorHAnsi" w:cstheme="minorBidi"/>
          <w:szCs w:val="22"/>
        </w:rPr>
      </w:pPr>
      <w:r>
        <w:t>20.</w:t>
      </w:r>
      <w:r>
        <w:tab/>
      </w:r>
      <w:r>
        <w:rPr>
          <w:snapToGrid w:val="0"/>
        </w:rPr>
        <w:t>Discovery, production and inspection of documents</w:t>
      </w:r>
      <w:r>
        <w:tab/>
      </w:r>
      <w:r>
        <w:fldChar w:fldCharType="begin"/>
      </w:r>
      <w:r>
        <w:instrText xml:space="preserve"> PAGEREF _Toc11744442 \h </w:instrText>
      </w:r>
      <w:r>
        <w:fldChar w:fldCharType="separate"/>
      </w:r>
      <w:r>
        <w:t>15</w:t>
      </w:r>
      <w:r>
        <w:fldChar w:fldCharType="end"/>
      </w:r>
    </w:p>
    <w:p>
      <w:pPr>
        <w:pStyle w:val="TOC8"/>
        <w:rPr>
          <w:rFonts w:asciiTheme="minorHAnsi" w:eastAsiaTheme="minorEastAsia" w:hAnsiTheme="minorHAnsi" w:cstheme="minorBidi"/>
          <w:szCs w:val="22"/>
        </w:rPr>
      </w:pPr>
      <w:r>
        <w:t>21.</w:t>
      </w:r>
      <w:r>
        <w:tab/>
        <w:t>Order for production to Commission</w:t>
      </w:r>
      <w:r>
        <w:tab/>
      </w:r>
      <w:r>
        <w:fldChar w:fldCharType="begin"/>
      </w:r>
      <w:r>
        <w:instrText xml:space="preserve"> PAGEREF _Toc11744443 \h </w:instrText>
      </w:r>
      <w:r>
        <w:fldChar w:fldCharType="separate"/>
      </w:r>
      <w:r>
        <w:t>17</w:t>
      </w:r>
      <w:r>
        <w:fldChar w:fldCharType="end"/>
      </w:r>
    </w:p>
    <w:p>
      <w:pPr>
        <w:pStyle w:val="TOC8"/>
        <w:rPr>
          <w:rFonts w:asciiTheme="minorHAnsi" w:eastAsiaTheme="minorEastAsia" w:hAnsiTheme="minorHAnsi" w:cstheme="minorBidi"/>
          <w:szCs w:val="22"/>
        </w:rPr>
      </w:pPr>
      <w:r>
        <w:t>22.</w:t>
      </w:r>
      <w:r>
        <w:tab/>
      </w:r>
      <w:r>
        <w:rPr>
          <w:snapToGrid w:val="0"/>
        </w:rPr>
        <w:t>Further particulars</w:t>
      </w:r>
      <w:r>
        <w:tab/>
      </w:r>
      <w:r>
        <w:fldChar w:fldCharType="begin"/>
      </w:r>
      <w:r>
        <w:instrText xml:space="preserve"> PAGEREF _Toc11744444 \h </w:instrText>
      </w:r>
      <w:r>
        <w:fldChar w:fldCharType="separate"/>
      </w:r>
      <w:r>
        <w:t>17</w:t>
      </w:r>
      <w:r>
        <w:fldChar w:fldCharType="end"/>
      </w:r>
    </w:p>
    <w:p>
      <w:pPr>
        <w:pStyle w:val="TOC8"/>
        <w:rPr>
          <w:rFonts w:asciiTheme="minorHAnsi" w:eastAsiaTheme="minorEastAsia" w:hAnsiTheme="minorHAnsi" w:cstheme="minorBidi"/>
          <w:szCs w:val="22"/>
        </w:rPr>
      </w:pPr>
      <w:r>
        <w:t>23.</w:t>
      </w:r>
      <w:r>
        <w:tab/>
      </w:r>
      <w:r>
        <w:rPr>
          <w:snapToGrid w:val="0"/>
        </w:rPr>
        <w:t>Notice to admit</w:t>
      </w:r>
      <w:r>
        <w:tab/>
      </w:r>
      <w:r>
        <w:fldChar w:fldCharType="begin"/>
      </w:r>
      <w:r>
        <w:instrText xml:space="preserve"> PAGEREF _Toc11744445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Service</w:t>
      </w:r>
    </w:p>
    <w:p>
      <w:pPr>
        <w:pStyle w:val="TOC8"/>
        <w:rPr>
          <w:rFonts w:asciiTheme="minorHAnsi" w:eastAsiaTheme="minorEastAsia" w:hAnsiTheme="minorHAnsi" w:cstheme="minorBidi"/>
          <w:szCs w:val="22"/>
        </w:rPr>
      </w:pPr>
      <w:r>
        <w:t>24.</w:t>
      </w:r>
      <w:r>
        <w:tab/>
      </w:r>
      <w:r>
        <w:rPr>
          <w:snapToGrid w:val="0"/>
        </w:rPr>
        <w:t>Service</w:t>
      </w:r>
      <w:r>
        <w:tab/>
      </w:r>
      <w:r>
        <w:fldChar w:fldCharType="begin"/>
      </w:r>
      <w:r>
        <w:instrText xml:space="preserve"> PAGEREF _Toc11744447 \h </w:instrText>
      </w:r>
      <w:r>
        <w:fldChar w:fldCharType="separate"/>
      </w:r>
      <w:r>
        <w:t>19</w:t>
      </w:r>
      <w:r>
        <w:fldChar w:fldCharType="end"/>
      </w:r>
    </w:p>
    <w:p>
      <w:pPr>
        <w:pStyle w:val="TOC8"/>
        <w:rPr>
          <w:rFonts w:asciiTheme="minorHAnsi" w:eastAsiaTheme="minorEastAsia" w:hAnsiTheme="minorHAnsi" w:cstheme="minorBidi"/>
          <w:szCs w:val="22"/>
        </w:rPr>
      </w:pPr>
      <w:r>
        <w:t>25.</w:t>
      </w:r>
      <w:r>
        <w:tab/>
        <w:t>Electronic address for service</w:t>
      </w:r>
      <w:r>
        <w:tab/>
      </w:r>
      <w:r>
        <w:fldChar w:fldCharType="begin"/>
      </w:r>
      <w:r>
        <w:instrText xml:space="preserve"> PAGEREF _Toc11744448 \h </w:instrText>
      </w:r>
      <w:r>
        <w:fldChar w:fldCharType="separate"/>
      </w:r>
      <w:r>
        <w:t>20</w:t>
      </w:r>
      <w:r>
        <w:fldChar w:fldCharType="end"/>
      </w:r>
    </w:p>
    <w:p>
      <w:pPr>
        <w:pStyle w:val="TOC8"/>
        <w:rPr>
          <w:rFonts w:asciiTheme="minorHAnsi" w:eastAsiaTheme="minorEastAsia" w:hAnsiTheme="minorHAnsi" w:cstheme="minorBidi"/>
          <w:szCs w:val="22"/>
        </w:rPr>
      </w:pPr>
      <w:r>
        <w:t>26.</w:t>
      </w:r>
      <w:r>
        <w:tab/>
        <w:t>Service electronically</w:t>
      </w:r>
      <w:r>
        <w:tab/>
      </w:r>
      <w:r>
        <w:fldChar w:fldCharType="begin"/>
      </w:r>
      <w:r>
        <w:instrText xml:space="preserve"> PAGEREF _Toc11744449 \h </w:instrText>
      </w:r>
      <w:r>
        <w:fldChar w:fldCharType="separate"/>
      </w:r>
      <w:r>
        <w:t>20</w:t>
      </w:r>
      <w:r>
        <w:fldChar w:fldCharType="end"/>
      </w:r>
    </w:p>
    <w:p>
      <w:pPr>
        <w:pStyle w:val="TOC8"/>
        <w:rPr>
          <w:rFonts w:asciiTheme="minorHAnsi" w:eastAsiaTheme="minorEastAsia" w:hAnsiTheme="minorHAnsi" w:cstheme="minorBidi"/>
          <w:szCs w:val="22"/>
        </w:rPr>
      </w:pPr>
      <w:r>
        <w:t>27.</w:t>
      </w:r>
      <w:r>
        <w:tab/>
      </w:r>
      <w:r>
        <w:rPr>
          <w:snapToGrid w:val="0"/>
        </w:rPr>
        <w:t>Substituted service</w:t>
      </w:r>
      <w:r>
        <w:tab/>
      </w:r>
      <w:r>
        <w:fldChar w:fldCharType="begin"/>
      </w:r>
      <w:r>
        <w:instrText xml:space="preserve"> PAGEREF _Toc11744450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 — Conferences</w:t>
      </w:r>
    </w:p>
    <w:p>
      <w:pPr>
        <w:pStyle w:val="TOC8"/>
        <w:rPr>
          <w:rFonts w:asciiTheme="minorHAnsi" w:eastAsiaTheme="minorEastAsia" w:hAnsiTheme="minorHAnsi" w:cstheme="minorBidi"/>
          <w:szCs w:val="22"/>
        </w:rPr>
      </w:pPr>
      <w:r>
        <w:t>29.</w:t>
      </w:r>
      <w:r>
        <w:tab/>
      </w:r>
      <w:r>
        <w:rPr>
          <w:snapToGrid w:val="0"/>
        </w:rPr>
        <w:t>Orders under sections 32 and 44</w:t>
      </w:r>
      <w:r>
        <w:tab/>
      </w:r>
      <w:r>
        <w:fldChar w:fldCharType="begin"/>
      </w:r>
      <w:r>
        <w:instrText xml:space="preserve"> PAGEREF _Toc11744452 \h </w:instrText>
      </w:r>
      <w:r>
        <w:fldChar w:fldCharType="separate"/>
      </w:r>
      <w:r>
        <w:t>22</w:t>
      </w:r>
      <w:r>
        <w:fldChar w:fldCharType="end"/>
      </w:r>
    </w:p>
    <w:p>
      <w:pPr>
        <w:pStyle w:val="TOC8"/>
        <w:rPr>
          <w:rFonts w:asciiTheme="minorHAnsi" w:eastAsiaTheme="minorEastAsia" w:hAnsiTheme="minorHAnsi" w:cstheme="minorBidi"/>
          <w:szCs w:val="22"/>
        </w:rPr>
      </w:pPr>
      <w:r>
        <w:t>30.</w:t>
      </w:r>
      <w:r>
        <w:tab/>
      </w:r>
      <w:r>
        <w:rPr>
          <w:snapToGrid w:val="0"/>
        </w:rPr>
        <w:t>Compulsory conference</w:t>
      </w:r>
      <w:r>
        <w:tab/>
      </w:r>
      <w:r>
        <w:fldChar w:fldCharType="begin"/>
      </w:r>
      <w:r>
        <w:instrText xml:space="preserve"> PAGEREF _Toc11744453 \h </w:instrText>
      </w:r>
      <w:r>
        <w:fldChar w:fldCharType="separate"/>
      </w:r>
      <w:r>
        <w:t>22</w:t>
      </w:r>
      <w:r>
        <w:fldChar w:fldCharType="end"/>
      </w:r>
    </w:p>
    <w:p>
      <w:pPr>
        <w:pStyle w:val="TOC8"/>
        <w:rPr>
          <w:rFonts w:asciiTheme="minorHAnsi" w:eastAsiaTheme="minorEastAsia" w:hAnsiTheme="minorHAnsi" w:cstheme="minorBidi"/>
          <w:szCs w:val="22"/>
        </w:rPr>
      </w:pPr>
      <w:r>
        <w:t>31.</w:t>
      </w:r>
      <w:r>
        <w:tab/>
      </w:r>
      <w:r>
        <w:rPr>
          <w:snapToGrid w:val="0"/>
        </w:rPr>
        <w:t>Memorandum following compulsory conference</w:t>
      </w:r>
      <w:r>
        <w:tab/>
      </w:r>
      <w:r>
        <w:fldChar w:fldCharType="begin"/>
      </w:r>
      <w:r>
        <w:instrText xml:space="preserve"> PAGEREF _Toc11744454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5 — Conduct of hearings</w:t>
      </w:r>
    </w:p>
    <w:p>
      <w:pPr>
        <w:pStyle w:val="TOC8"/>
        <w:rPr>
          <w:rFonts w:asciiTheme="minorHAnsi" w:eastAsiaTheme="minorEastAsia" w:hAnsiTheme="minorHAnsi" w:cstheme="minorBidi"/>
          <w:szCs w:val="22"/>
        </w:rPr>
      </w:pPr>
      <w:r>
        <w:t>32.</w:t>
      </w:r>
      <w:r>
        <w:tab/>
      </w:r>
      <w:r>
        <w:rPr>
          <w:snapToGrid w:val="0"/>
        </w:rPr>
        <w:t>Application for and notice of hearing</w:t>
      </w:r>
      <w:r>
        <w:tab/>
      </w:r>
      <w:r>
        <w:fldChar w:fldCharType="begin"/>
      </w:r>
      <w:r>
        <w:instrText xml:space="preserve"> PAGEREF _Toc11744456 \h </w:instrText>
      </w:r>
      <w:r>
        <w:fldChar w:fldCharType="separate"/>
      </w:r>
      <w:r>
        <w:t>23</w:t>
      </w:r>
      <w:r>
        <w:fldChar w:fldCharType="end"/>
      </w:r>
    </w:p>
    <w:p>
      <w:pPr>
        <w:pStyle w:val="TOC8"/>
        <w:rPr>
          <w:rFonts w:asciiTheme="minorHAnsi" w:eastAsiaTheme="minorEastAsia" w:hAnsiTheme="minorHAnsi" w:cstheme="minorBidi"/>
          <w:szCs w:val="22"/>
        </w:rPr>
      </w:pPr>
      <w:r>
        <w:t>32A.</w:t>
      </w:r>
      <w:r>
        <w:tab/>
        <w:t>Proceedings may be determined on the papers</w:t>
      </w:r>
      <w:r>
        <w:tab/>
      </w:r>
      <w:r>
        <w:fldChar w:fldCharType="begin"/>
      </w:r>
      <w:r>
        <w:instrText xml:space="preserve"> PAGEREF _Toc11744457 \h </w:instrText>
      </w:r>
      <w:r>
        <w:fldChar w:fldCharType="separate"/>
      </w:r>
      <w:r>
        <w:t>23</w:t>
      </w:r>
      <w:r>
        <w:fldChar w:fldCharType="end"/>
      </w:r>
    </w:p>
    <w:p>
      <w:pPr>
        <w:pStyle w:val="TOC8"/>
        <w:rPr>
          <w:rFonts w:asciiTheme="minorHAnsi" w:eastAsiaTheme="minorEastAsia" w:hAnsiTheme="minorHAnsi" w:cstheme="minorBidi"/>
          <w:szCs w:val="22"/>
        </w:rPr>
      </w:pPr>
      <w:r>
        <w:t>33.</w:t>
      </w:r>
      <w:r>
        <w:tab/>
      </w:r>
      <w:r>
        <w:rPr>
          <w:snapToGrid w:val="0"/>
        </w:rPr>
        <w:t>Procedure before Commission</w:t>
      </w:r>
      <w:r>
        <w:tab/>
      </w:r>
      <w:r>
        <w:fldChar w:fldCharType="begin"/>
      </w:r>
      <w:r>
        <w:instrText xml:space="preserve"> PAGEREF _Toc11744458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34.</w:t>
      </w:r>
      <w:r>
        <w:tab/>
        <w:t>Elimination of delays</w:t>
      </w:r>
      <w:r>
        <w:tab/>
      </w:r>
      <w:r>
        <w:fldChar w:fldCharType="begin"/>
      </w:r>
      <w:r>
        <w:instrText xml:space="preserve"> PAGEREF _Toc11744460 \h </w:instrText>
      </w:r>
      <w:r>
        <w:fldChar w:fldCharType="separate"/>
      </w:r>
      <w:r>
        <w:t>25</w:t>
      </w:r>
      <w:r>
        <w:fldChar w:fldCharType="end"/>
      </w:r>
    </w:p>
    <w:p>
      <w:pPr>
        <w:pStyle w:val="TOC8"/>
        <w:rPr>
          <w:rFonts w:asciiTheme="minorHAnsi" w:eastAsiaTheme="minorEastAsia" w:hAnsiTheme="minorHAnsi" w:cstheme="minorBidi"/>
          <w:szCs w:val="22"/>
        </w:rPr>
      </w:pPr>
      <w:r>
        <w:t>35.</w:t>
      </w:r>
      <w:r>
        <w:tab/>
        <w:t>Electronic documents and communications</w:t>
      </w:r>
      <w:r>
        <w:tab/>
      </w:r>
      <w:r>
        <w:fldChar w:fldCharType="begin"/>
      </w:r>
      <w:r>
        <w:instrText xml:space="preserve"> PAGEREF _Toc11744461 \h </w:instrText>
      </w:r>
      <w:r>
        <w:fldChar w:fldCharType="separate"/>
      </w:r>
      <w:r>
        <w:t>26</w:t>
      </w:r>
      <w:r>
        <w:fldChar w:fldCharType="end"/>
      </w:r>
    </w:p>
    <w:p>
      <w:pPr>
        <w:pStyle w:val="TOC8"/>
        <w:rPr>
          <w:rFonts w:asciiTheme="minorHAnsi" w:eastAsiaTheme="minorEastAsia" w:hAnsiTheme="minorHAnsi" w:cstheme="minorBidi"/>
          <w:szCs w:val="22"/>
        </w:rPr>
      </w:pPr>
      <w:r>
        <w:t>36.</w:t>
      </w:r>
      <w:r>
        <w:tab/>
      </w:r>
      <w:r>
        <w:rPr>
          <w:snapToGrid w:val="0"/>
        </w:rPr>
        <w:t>Extension or abridgment of time</w:t>
      </w:r>
      <w:r>
        <w:tab/>
      </w:r>
      <w:r>
        <w:fldChar w:fldCharType="begin"/>
      </w:r>
      <w:r>
        <w:instrText xml:space="preserve"> PAGEREF _Toc11744462 \h </w:instrText>
      </w:r>
      <w:r>
        <w:fldChar w:fldCharType="separate"/>
      </w:r>
      <w:r>
        <w:t>27</w:t>
      </w:r>
      <w:r>
        <w:fldChar w:fldCharType="end"/>
      </w:r>
    </w:p>
    <w:p>
      <w:pPr>
        <w:pStyle w:val="TOC8"/>
        <w:rPr>
          <w:rFonts w:asciiTheme="minorHAnsi" w:eastAsiaTheme="minorEastAsia" w:hAnsiTheme="minorHAnsi" w:cstheme="minorBidi"/>
          <w:szCs w:val="22"/>
        </w:rPr>
      </w:pPr>
      <w:r>
        <w:t>37.</w:t>
      </w:r>
      <w:r>
        <w:tab/>
      </w:r>
      <w:r>
        <w:rPr>
          <w:snapToGrid w:val="0"/>
        </w:rPr>
        <w:t>Waiver of procedural regulations</w:t>
      </w:r>
      <w:r>
        <w:tab/>
      </w:r>
      <w:r>
        <w:fldChar w:fldCharType="begin"/>
      </w:r>
      <w:r>
        <w:instrText xml:space="preserve"> PAGEREF _Toc11744463 \h </w:instrText>
      </w:r>
      <w:r>
        <w:fldChar w:fldCharType="separate"/>
      </w:r>
      <w:r>
        <w:t>27</w:t>
      </w:r>
      <w:r>
        <w:fldChar w:fldCharType="end"/>
      </w:r>
    </w:p>
    <w:p>
      <w:pPr>
        <w:pStyle w:val="TOC8"/>
        <w:rPr>
          <w:rFonts w:asciiTheme="minorHAnsi" w:eastAsiaTheme="minorEastAsia" w:hAnsiTheme="minorHAnsi" w:cstheme="minorBidi"/>
          <w:szCs w:val="22"/>
        </w:rPr>
      </w:pPr>
      <w:r>
        <w:t>38.</w:t>
      </w:r>
      <w:r>
        <w:tab/>
      </w:r>
      <w:r>
        <w:rPr>
          <w:snapToGrid w:val="0"/>
        </w:rPr>
        <w:t>Non</w:t>
      </w:r>
      <w:r>
        <w:rPr>
          <w:snapToGrid w:val="0"/>
        </w:rPr>
        <w:noBreakHyphen/>
        <w:t>compliance with regulations</w:t>
      </w:r>
      <w:r>
        <w:tab/>
      </w:r>
      <w:r>
        <w:fldChar w:fldCharType="begin"/>
      </w:r>
      <w:r>
        <w:instrText xml:space="preserve"> PAGEREF _Toc11744464 \h </w:instrText>
      </w:r>
      <w:r>
        <w:fldChar w:fldCharType="separate"/>
      </w:r>
      <w:r>
        <w:t>28</w:t>
      </w:r>
      <w:r>
        <w:fldChar w:fldCharType="end"/>
      </w:r>
    </w:p>
    <w:p>
      <w:pPr>
        <w:pStyle w:val="TOC8"/>
        <w:rPr>
          <w:rFonts w:asciiTheme="minorHAnsi" w:eastAsiaTheme="minorEastAsia" w:hAnsiTheme="minorHAnsi" w:cstheme="minorBidi"/>
          <w:szCs w:val="22"/>
        </w:rPr>
      </w:pPr>
      <w:r>
        <w:t>39.</w:t>
      </w:r>
      <w:r>
        <w:tab/>
      </w:r>
      <w:r>
        <w:rPr>
          <w:snapToGrid w:val="0"/>
        </w:rPr>
        <w:t>Practice</w:t>
      </w:r>
      <w:r>
        <w:tab/>
      </w:r>
      <w:r>
        <w:fldChar w:fldCharType="begin"/>
      </w:r>
      <w:r>
        <w:instrText xml:space="preserve"> PAGEREF _Toc11744465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Witnesses and evidence</w:t>
      </w:r>
    </w:p>
    <w:p>
      <w:pPr>
        <w:pStyle w:val="TOC8"/>
        <w:rPr>
          <w:rFonts w:asciiTheme="minorHAnsi" w:eastAsiaTheme="minorEastAsia" w:hAnsiTheme="minorHAnsi" w:cstheme="minorBidi"/>
          <w:szCs w:val="22"/>
        </w:rPr>
      </w:pPr>
      <w:r>
        <w:t>40.</w:t>
      </w:r>
      <w:r>
        <w:tab/>
      </w:r>
      <w:r>
        <w:rPr>
          <w:snapToGrid w:val="0"/>
        </w:rPr>
        <w:t>Application for examination of witness</w:t>
      </w:r>
      <w:r>
        <w:tab/>
      </w:r>
      <w:r>
        <w:fldChar w:fldCharType="begin"/>
      </w:r>
      <w:r>
        <w:instrText xml:space="preserve"> PAGEREF _Toc11744467 \h </w:instrText>
      </w:r>
      <w:r>
        <w:fldChar w:fldCharType="separate"/>
      </w:r>
      <w:r>
        <w:t>29</w:t>
      </w:r>
      <w:r>
        <w:fldChar w:fldCharType="end"/>
      </w:r>
    </w:p>
    <w:p>
      <w:pPr>
        <w:pStyle w:val="TOC8"/>
        <w:rPr>
          <w:rFonts w:asciiTheme="minorHAnsi" w:eastAsiaTheme="minorEastAsia" w:hAnsiTheme="minorHAnsi" w:cstheme="minorBidi"/>
          <w:szCs w:val="22"/>
        </w:rPr>
      </w:pPr>
      <w:r>
        <w:t>41.</w:t>
      </w:r>
      <w:r>
        <w:tab/>
      </w:r>
      <w:r>
        <w:rPr>
          <w:snapToGrid w:val="0"/>
        </w:rPr>
        <w:t>Summons to witness</w:t>
      </w:r>
      <w:r>
        <w:tab/>
      </w:r>
      <w:r>
        <w:fldChar w:fldCharType="begin"/>
      </w:r>
      <w:r>
        <w:instrText xml:space="preserve"> PAGEREF _Toc11744468 \h </w:instrText>
      </w:r>
      <w:r>
        <w:fldChar w:fldCharType="separate"/>
      </w:r>
      <w:r>
        <w:t>30</w:t>
      </w:r>
      <w:r>
        <w:fldChar w:fldCharType="end"/>
      </w:r>
    </w:p>
    <w:p>
      <w:pPr>
        <w:pStyle w:val="TOC8"/>
        <w:rPr>
          <w:rFonts w:asciiTheme="minorHAnsi" w:eastAsiaTheme="minorEastAsia" w:hAnsiTheme="minorHAnsi" w:cstheme="minorBidi"/>
          <w:szCs w:val="22"/>
        </w:rPr>
      </w:pPr>
      <w:r>
        <w:t>42.</w:t>
      </w:r>
      <w:r>
        <w:tab/>
      </w:r>
      <w:r>
        <w:rPr>
          <w:snapToGrid w:val="0"/>
        </w:rPr>
        <w:t>Application to set aside witness summons</w:t>
      </w:r>
      <w:r>
        <w:tab/>
      </w:r>
      <w:r>
        <w:fldChar w:fldCharType="begin"/>
      </w:r>
      <w:r>
        <w:instrText xml:space="preserve"> PAGEREF _Toc11744469 \h </w:instrText>
      </w:r>
      <w:r>
        <w:fldChar w:fldCharType="separate"/>
      </w:r>
      <w:r>
        <w:t>31</w:t>
      </w:r>
      <w:r>
        <w:fldChar w:fldCharType="end"/>
      </w:r>
    </w:p>
    <w:p>
      <w:pPr>
        <w:pStyle w:val="TOC8"/>
        <w:rPr>
          <w:rFonts w:asciiTheme="minorHAnsi" w:eastAsiaTheme="minorEastAsia" w:hAnsiTheme="minorHAnsi" w:cstheme="minorBidi"/>
          <w:szCs w:val="22"/>
        </w:rPr>
      </w:pPr>
      <w:r>
        <w:t>43.</w:t>
      </w:r>
      <w:r>
        <w:tab/>
        <w:t>Witness statements and outlines of evidence</w:t>
      </w:r>
      <w:r>
        <w:tab/>
      </w:r>
      <w:r>
        <w:fldChar w:fldCharType="begin"/>
      </w:r>
      <w:r>
        <w:instrText xml:space="preserve"> PAGEREF _Toc11744470 \h </w:instrText>
      </w:r>
      <w:r>
        <w:fldChar w:fldCharType="separate"/>
      </w:r>
      <w:r>
        <w:t>32</w:t>
      </w:r>
      <w:r>
        <w:fldChar w:fldCharType="end"/>
      </w:r>
    </w:p>
    <w:p>
      <w:pPr>
        <w:pStyle w:val="TOC8"/>
        <w:rPr>
          <w:rFonts w:asciiTheme="minorHAnsi" w:eastAsiaTheme="minorEastAsia" w:hAnsiTheme="minorHAnsi" w:cstheme="minorBidi"/>
          <w:szCs w:val="22"/>
        </w:rPr>
      </w:pPr>
      <w:r>
        <w:t>44.</w:t>
      </w:r>
      <w:r>
        <w:tab/>
        <w:t>Evidence or submissions by video</w:t>
      </w:r>
      <w:r>
        <w:noBreakHyphen/>
        <w:t>link or telephone</w:t>
      </w:r>
      <w:r>
        <w:tab/>
      </w:r>
      <w:r>
        <w:fldChar w:fldCharType="begin"/>
      </w:r>
      <w:r>
        <w:instrText xml:space="preserve"> PAGEREF _Toc11744471 \h </w:instrText>
      </w:r>
      <w:r>
        <w:fldChar w:fldCharType="separate"/>
      </w:r>
      <w:r>
        <w:t>33</w:t>
      </w:r>
      <w:r>
        <w:fldChar w:fldCharType="end"/>
      </w:r>
    </w:p>
    <w:p>
      <w:pPr>
        <w:pStyle w:val="TOC8"/>
        <w:rPr>
          <w:rFonts w:asciiTheme="minorHAnsi" w:eastAsiaTheme="minorEastAsia" w:hAnsiTheme="minorHAnsi" w:cstheme="minorBidi"/>
          <w:szCs w:val="22"/>
        </w:rPr>
      </w:pPr>
      <w:r>
        <w:t>45.</w:t>
      </w:r>
      <w:r>
        <w:tab/>
        <w:t>Disclosure of expert’s report</w:t>
      </w:r>
      <w:r>
        <w:tab/>
      </w:r>
      <w:r>
        <w:fldChar w:fldCharType="begin"/>
      </w:r>
      <w:r>
        <w:instrText xml:space="preserve"> PAGEREF _Toc11744472 \h </w:instrText>
      </w:r>
      <w:r>
        <w:fldChar w:fldCharType="separate"/>
      </w:r>
      <w:r>
        <w:t>34</w:t>
      </w:r>
      <w:r>
        <w:fldChar w:fldCharType="end"/>
      </w:r>
    </w:p>
    <w:p>
      <w:pPr>
        <w:pStyle w:val="TOC8"/>
        <w:rPr>
          <w:rFonts w:asciiTheme="minorHAnsi" w:eastAsiaTheme="minorEastAsia" w:hAnsiTheme="minorHAnsi" w:cstheme="minorBidi"/>
          <w:szCs w:val="22"/>
        </w:rPr>
      </w:pPr>
      <w:r>
        <w:t>46.</w:t>
      </w:r>
      <w:r>
        <w:tab/>
      </w:r>
      <w:r>
        <w:rPr>
          <w:snapToGrid w:val="0"/>
        </w:rPr>
        <w:t>Exhibits</w:t>
      </w:r>
      <w:r>
        <w:tab/>
      </w:r>
      <w:r>
        <w:fldChar w:fldCharType="begin"/>
      </w:r>
      <w:r>
        <w:instrText xml:space="preserve"> PAGEREF _Toc11744473 \h </w:instrText>
      </w:r>
      <w:r>
        <w:fldChar w:fldCharType="separate"/>
      </w:r>
      <w:r>
        <w:t>36</w:t>
      </w:r>
      <w:r>
        <w:fldChar w:fldCharType="end"/>
      </w:r>
    </w:p>
    <w:p>
      <w:pPr>
        <w:pStyle w:val="TOC8"/>
        <w:rPr>
          <w:rFonts w:asciiTheme="minorHAnsi" w:eastAsiaTheme="minorEastAsia" w:hAnsiTheme="minorHAnsi" w:cstheme="minorBidi"/>
          <w:szCs w:val="22"/>
        </w:rPr>
      </w:pPr>
      <w:r>
        <w:t>47.</w:t>
      </w:r>
      <w:r>
        <w:tab/>
      </w:r>
      <w:r>
        <w:rPr>
          <w:snapToGrid w:val="0"/>
        </w:rPr>
        <w:t>Declarations and affidavits</w:t>
      </w:r>
      <w:r>
        <w:tab/>
      </w:r>
      <w:r>
        <w:fldChar w:fldCharType="begin"/>
      </w:r>
      <w:r>
        <w:instrText xml:space="preserve"> PAGEREF _Toc11744474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5 — Applications generally</w:t>
      </w:r>
    </w:p>
    <w:p>
      <w:pPr>
        <w:pStyle w:val="TOC8"/>
        <w:rPr>
          <w:rFonts w:asciiTheme="minorHAnsi" w:eastAsiaTheme="minorEastAsia" w:hAnsiTheme="minorHAnsi" w:cstheme="minorBidi"/>
          <w:szCs w:val="22"/>
        </w:rPr>
      </w:pPr>
      <w:r>
        <w:t>48.</w:t>
      </w:r>
      <w:r>
        <w:tab/>
      </w:r>
      <w:r>
        <w:rPr>
          <w:snapToGrid w:val="0"/>
        </w:rPr>
        <w:t>Application for award</w:t>
      </w:r>
      <w:r>
        <w:tab/>
      </w:r>
      <w:r>
        <w:fldChar w:fldCharType="begin"/>
      </w:r>
      <w:r>
        <w:instrText xml:space="preserve"> PAGEREF _Toc11744476 \h </w:instrText>
      </w:r>
      <w:r>
        <w:fldChar w:fldCharType="separate"/>
      </w:r>
      <w:r>
        <w:t>37</w:t>
      </w:r>
      <w:r>
        <w:fldChar w:fldCharType="end"/>
      </w:r>
    </w:p>
    <w:p>
      <w:pPr>
        <w:pStyle w:val="TOC8"/>
        <w:rPr>
          <w:rFonts w:asciiTheme="minorHAnsi" w:eastAsiaTheme="minorEastAsia" w:hAnsiTheme="minorHAnsi" w:cstheme="minorBidi"/>
          <w:szCs w:val="22"/>
        </w:rPr>
      </w:pPr>
      <w:r>
        <w:t>49.</w:t>
      </w:r>
      <w:r>
        <w:tab/>
      </w:r>
      <w:r>
        <w:rPr>
          <w:snapToGrid w:val="0"/>
        </w:rPr>
        <w:t>Application to vary area of operation of award</w:t>
      </w:r>
      <w:r>
        <w:tab/>
      </w:r>
      <w:r>
        <w:fldChar w:fldCharType="begin"/>
      </w:r>
      <w:r>
        <w:instrText xml:space="preserve"> PAGEREF _Toc11744477 \h </w:instrText>
      </w:r>
      <w:r>
        <w:fldChar w:fldCharType="separate"/>
      </w:r>
      <w:r>
        <w:t>38</w:t>
      </w:r>
      <w:r>
        <w:fldChar w:fldCharType="end"/>
      </w:r>
    </w:p>
    <w:p>
      <w:pPr>
        <w:pStyle w:val="TOC8"/>
        <w:rPr>
          <w:rFonts w:asciiTheme="minorHAnsi" w:eastAsiaTheme="minorEastAsia" w:hAnsiTheme="minorHAnsi" w:cstheme="minorBidi"/>
          <w:szCs w:val="22"/>
        </w:rPr>
      </w:pPr>
      <w:r>
        <w:t>50.</w:t>
      </w:r>
      <w:r>
        <w:tab/>
      </w:r>
      <w:r>
        <w:rPr>
          <w:snapToGrid w:val="0"/>
        </w:rPr>
        <w:t>Application to vary award</w:t>
      </w:r>
      <w:r>
        <w:tab/>
      </w:r>
      <w:r>
        <w:fldChar w:fldCharType="begin"/>
      </w:r>
      <w:r>
        <w:instrText xml:space="preserve"> PAGEREF _Toc11744478 \h </w:instrText>
      </w:r>
      <w:r>
        <w:fldChar w:fldCharType="separate"/>
      </w:r>
      <w:r>
        <w:t>39</w:t>
      </w:r>
      <w:r>
        <w:fldChar w:fldCharType="end"/>
      </w:r>
    </w:p>
    <w:p>
      <w:pPr>
        <w:pStyle w:val="TOC8"/>
        <w:rPr>
          <w:rFonts w:asciiTheme="minorHAnsi" w:eastAsiaTheme="minorEastAsia" w:hAnsiTheme="minorHAnsi" w:cstheme="minorBidi"/>
          <w:szCs w:val="22"/>
        </w:rPr>
      </w:pPr>
      <w:r>
        <w:t>51.</w:t>
      </w:r>
      <w:r>
        <w:tab/>
      </w:r>
      <w:r>
        <w:rPr>
          <w:snapToGrid w:val="0"/>
        </w:rPr>
        <w:t>Application for joinder of party to award</w:t>
      </w:r>
      <w:r>
        <w:tab/>
      </w:r>
      <w:r>
        <w:fldChar w:fldCharType="begin"/>
      </w:r>
      <w:r>
        <w:instrText xml:space="preserve"> PAGEREF _Toc11744479 \h </w:instrText>
      </w:r>
      <w:r>
        <w:fldChar w:fldCharType="separate"/>
      </w:r>
      <w:r>
        <w:t>40</w:t>
      </w:r>
      <w:r>
        <w:fldChar w:fldCharType="end"/>
      </w:r>
    </w:p>
    <w:p>
      <w:pPr>
        <w:pStyle w:val="TOC8"/>
        <w:rPr>
          <w:rFonts w:asciiTheme="minorHAnsi" w:eastAsiaTheme="minorEastAsia" w:hAnsiTheme="minorHAnsi" w:cstheme="minorBidi"/>
          <w:szCs w:val="22"/>
        </w:rPr>
      </w:pPr>
      <w:r>
        <w:t>52.</w:t>
      </w:r>
      <w:r>
        <w:tab/>
      </w:r>
      <w:r>
        <w:rPr>
          <w:snapToGrid w:val="0"/>
        </w:rPr>
        <w:t>Application for interpretation of award or industrial agreement</w:t>
      </w:r>
      <w:r>
        <w:tab/>
      </w:r>
      <w:r>
        <w:fldChar w:fldCharType="begin"/>
      </w:r>
      <w:r>
        <w:instrText xml:space="preserve"> PAGEREF _Toc11744480 \h </w:instrText>
      </w:r>
      <w:r>
        <w:fldChar w:fldCharType="separate"/>
      </w:r>
      <w:r>
        <w:t>41</w:t>
      </w:r>
      <w:r>
        <w:fldChar w:fldCharType="end"/>
      </w:r>
    </w:p>
    <w:p>
      <w:pPr>
        <w:pStyle w:val="TOC8"/>
        <w:rPr>
          <w:rFonts w:asciiTheme="minorHAnsi" w:eastAsiaTheme="minorEastAsia" w:hAnsiTheme="minorHAnsi" w:cstheme="minorBidi"/>
          <w:szCs w:val="22"/>
        </w:rPr>
      </w:pPr>
      <w:r>
        <w:t>53.</w:t>
      </w:r>
      <w:r>
        <w:tab/>
        <w:t>Bargaining for industrial agreement</w:t>
      </w:r>
      <w:r>
        <w:tab/>
      </w:r>
      <w:r>
        <w:fldChar w:fldCharType="begin"/>
      </w:r>
      <w:r>
        <w:instrText xml:space="preserve"> PAGEREF _Toc11744481 \h </w:instrText>
      </w:r>
      <w:r>
        <w:fldChar w:fldCharType="separate"/>
      </w:r>
      <w:r>
        <w:t>42</w:t>
      </w:r>
      <w:r>
        <w:fldChar w:fldCharType="end"/>
      </w:r>
    </w:p>
    <w:p>
      <w:pPr>
        <w:pStyle w:val="TOC8"/>
        <w:rPr>
          <w:rFonts w:asciiTheme="minorHAnsi" w:eastAsiaTheme="minorEastAsia" w:hAnsiTheme="minorHAnsi" w:cstheme="minorBidi"/>
          <w:szCs w:val="22"/>
        </w:rPr>
      </w:pPr>
      <w:r>
        <w:t>54A.</w:t>
      </w:r>
      <w:r>
        <w:tab/>
        <w:t>Orders as to specified matters on which agreement has not been reached</w:t>
      </w:r>
      <w:r>
        <w:tab/>
      </w:r>
      <w:r>
        <w:fldChar w:fldCharType="begin"/>
      </w:r>
      <w:r>
        <w:instrText xml:space="preserve"> PAGEREF _Toc11744482 \h </w:instrText>
      </w:r>
      <w:r>
        <w:fldChar w:fldCharType="separate"/>
      </w:r>
      <w:r>
        <w:t>43</w:t>
      </w:r>
      <w:r>
        <w:fldChar w:fldCharType="end"/>
      </w:r>
    </w:p>
    <w:p>
      <w:pPr>
        <w:pStyle w:val="TOC8"/>
        <w:rPr>
          <w:rFonts w:asciiTheme="minorHAnsi" w:eastAsiaTheme="minorEastAsia" w:hAnsiTheme="minorHAnsi" w:cstheme="minorBidi"/>
          <w:szCs w:val="22"/>
        </w:rPr>
      </w:pPr>
      <w:r>
        <w:t>54.</w:t>
      </w:r>
      <w:r>
        <w:tab/>
        <w:t>Enterprise order</w:t>
      </w:r>
      <w:r>
        <w:tab/>
      </w:r>
      <w:r>
        <w:fldChar w:fldCharType="begin"/>
      </w:r>
      <w:r>
        <w:instrText xml:space="preserve"> PAGEREF _Toc11744483 \h </w:instrText>
      </w:r>
      <w:r>
        <w:fldChar w:fldCharType="separate"/>
      </w:r>
      <w:r>
        <w:t>43</w:t>
      </w:r>
      <w:r>
        <w:fldChar w:fldCharType="end"/>
      </w:r>
    </w:p>
    <w:p>
      <w:pPr>
        <w:pStyle w:val="TOC8"/>
        <w:rPr>
          <w:rFonts w:asciiTheme="minorHAnsi" w:eastAsiaTheme="minorEastAsia" w:hAnsiTheme="minorHAnsi" w:cstheme="minorBidi"/>
          <w:szCs w:val="22"/>
        </w:rPr>
      </w:pPr>
      <w:r>
        <w:t>55.</w:t>
      </w:r>
      <w:r>
        <w:tab/>
      </w:r>
      <w:r>
        <w:rPr>
          <w:snapToGrid w:val="0"/>
        </w:rPr>
        <w:t>Application for industrial agreement</w:t>
      </w:r>
      <w:r>
        <w:tab/>
      </w:r>
      <w:r>
        <w:fldChar w:fldCharType="begin"/>
      </w:r>
      <w:r>
        <w:instrText xml:space="preserve"> PAGEREF _Toc11744484 \h </w:instrText>
      </w:r>
      <w:r>
        <w:fldChar w:fldCharType="separate"/>
      </w:r>
      <w:r>
        <w:t>44</w:t>
      </w:r>
      <w:r>
        <w:fldChar w:fldCharType="end"/>
      </w:r>
    </w:p>
    <w:p>
      <w:pPr>
        <w:pStyle w:val="TOC8"/>
        <w:rPr>
          <w:rFonts w:asciiTheme="minorHAnsi" w:eastAsiaTheme="minorEastAsia" w:hAnsiTheme="minorHAnsi" w:cstheme="minorBidi"/>
          <w:szCs w:val="22"/>
        </w:rPr>
      </w:pPr>
      <w:r>
        <w:t>56.</w:t>
      </w:r>
      <w:r>
        <w:tab/>
      </w:r>
      <w:r>
        <w:rPr>
          <w:snapToGrid w:val="0"/>
        </w:rPr>
        <w:t>Retirement from industrial agreement</w:t>
      </w:r>
      <w:r>
        <w:tab/>
      </w:r>
      <w:r>
        <w:fldChar w:fldCharType="begin"/>
      </w:r>
      <w:r>
        <w:instrText xml:space="preserve"> PAGEREF _Toc11744485 \h </w:instrText>
      </w:r>
      <w:r>
        <w:fldChar w:fldCharType="separate"/>
      </w:r>
      <w:r>
        <w:t>45</w:t>
      </w:r>
      <w:r>
        <w:fldChar w:fldCharType="end"/>
      </w:r>
    </w:p>
    <w:p>
      <w:pPr>
        <w:pStyle w:val="TOC8"/>
        <w:rPr>
          <w:rFonts w:asciiTheme="minorHAnsi" w:eastAsiaTheme="minorEastAsia" w:hAnsiTheme="minorHAnsi" w:cstheme="minorBidi"/>
          <w:szCs w:val="22"/>
        </w:rPr>
      </w:pPr>
      <w:r>
        <w:t>57.</w:t>
      </w:r>
      <w:r>
        <w:tab/>
      </w:r>
      <w:r>
        <w:rPr>
          <w:snapToGrid w:val="0"/>
        </w:rPr>
        <w:t>Variation of industrial agreement by subsequent agreement</w:t>
      </w:r>
      <w:r>
        <w:tab/>
      </w:r>
      <w:r>
        <w:fldChar w:fldCharType="begin"/>
      </w:r>
      <w:r>
        <w:instrText xml:space="preserve"> PAGEREF _Toc11744486 \h </w:instrText>
      </w:r>
      <w:r>
        <w:fldChar w:fldCharType="separate"/>
      </w:r>
      <w:r>
        <w:t>45</w:t>
      </w:r>
      <w:r>
        <w:fldChar w:fldCharType="end"/>
      </w:r>
    </w:p>
    <w:p>
      <w:pPr>
        <w:pStyle w:val="TOC8"/>
        <w:rPr>
          <w:rFonts w:asciiTheme="minorHAnsi" w:eastAsiaTheme="minorEastAsia" w:hAnsiTheme="minorHAnsi" w:cstheme="minorBidi"/>
          <w:szCs w:val="22"/>
        </w:rPr>
      </w:pPr>
      <w:r>
        <w:t>58.</w:t>
      </w:r>
      <w:r>
        <w:tab/>
        <w:t>Application to waive notice required for production of records</w:t>
      </w:r>
      <w:r>
        <w:tab/>
      </w:r>
      <w:r>
        <w:fldChar w:fldCharType="begin"/>
      </w:r>
      <w:r>
        <w:instrText xml:space="preserve"> PAGEREF _Toc11744487 \h </w:instrText>
      </w:r>
      <w:r>
        <w:fldChar w:fldCharType="separate"/>
      </w:r>
      <w:r>
        <w:t>45</w:t>
      </w:r>
      <w:r>
        <w:fldChar w:fldCharType="end"/>
      </w:r>
    </w:p>
    <w:p>
      <w:pPr>
        <w:pStyle w:val="TOC8"/>
        <w:rPr>
          <w:rFonts w:asciiTheme="minorHAnsi" w:eastAsiaTheme="minorEastAsia" w:hAnsiTheme="minorHAnsi" w:cstheme="minorBidi"/>
          <w:szCs w:val="22"/>
        </w:rPr>
      </w:pPr>
      <w:r>
        <w:t>59.</w:t>
      </w:r>
      <w:r>
        <w:tab/>
      </w:r>
      <w:r>
        <w:rPr>
          <w:snapToGrid w:val="0"/>
        </w:rPr>
        <w:t>Section 66 applications and directions</w:t>
      </w:r>
      <w:r>
        <w:tab/>
      </w:r>
      <w:r>
        <w:fldChar w:fldCharType="begin"/>
      </w:r>
      <w:r>
        <w:instrText xml:space="preserve"> PAGEREF _Toc11744488 \h </w:instrText>
      </w:r>
      <w:r>
        <w:fldChar w:fldCharType="separate"/>
      </w:r>
      <w:r>
        <w:t>46</w:t>
      </w:r>
      <w:r>
        <w:fldChar w:fldCharType="end"/>
      </w:r>
    </w:p>
    <w:p>
      <w:pPr>
        <w:pStyle w:val="TOC8"/>
        <w:rPr>
          <w:rFonts w:asciiTheme="minorHAnsi" w:eastAsiaTheme="minorEastAsia" w:hAnsiTheme="minorHAnsi" w:cstheme="minorBidi"/>
          <w:szCs w:val="22"/>
        </w:rPr>
      </w:pPr>
      <w:r>
        <w:t>60.</w:t>
      </w:r>
      <w:r>
        <w:tab/>
      </w:r>
      <w:r>
        <w:rPr>
          <w:snapToGrid w:val="0"/>
        </w:rPr>
        <w:t>Proceedings before Full Bench for enforcement of Act</w:t>
      </w:r>
      <w:r>
        <w:tab/>
      </w:r>
      <w:r>
        <w:fldChar w:fldCharType="begin"/>
      </w:r>
      <w:r>
        <w:instrText xml:space="preserve"> PAGEREF _Toc11744489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6 — Individual employee applications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61.</w:t>
      </w:r>
      <w:r>
        <w:tab/>
      </w:r>
      <w:r>
        <w:rPr>
          <w:snapToGrid w:val="0"/>
        </w:rPr>
        <w:t>Applications by individual employees</w:t>
      </w:r>
      <w:r>
        <w:tab/>
      </w:r>
      <w:r>
        <w:fldChar w:fldCharType="begin"/>
      </w:r>
      <w:r>
        <w:instrText xml:space="preserve"> PAGEREF _Toc11744492 \h </w:instrText>
      </w:r>
      <w:r>
        <w:fldChar w:fldCharType="separate"/>
      </w:r>
      <w:r>
        <w:t>48</w:t>
      </w:r>
      <w:r>
        <w:fldChar w:fldCharType="end"/>
      </w:r>
    </w:p>
    <w:p>
      <w:pPr>
        <w:pStyle w:val="TOC8"/>
        <w:rPr>
          <w:rFonts w:asciiTheme="minorHAnsi" w:eastAsiaTheme="minorEastAsia" w:hAnsiTheme="minorHAnsi" w:cstheme="minorBidi"/>
          <w:szCs w:val="22"/>
        </w:rPr>
      </w:pPr>
      <w:r>
        <w:t>62.</w:t>
      </w:r>
      <w:r>
        <w:tab/>
        <w:t>Application under section 29(1)(b)(i) — out of time</w:t>
      </w:r>
      <w:r>
        <w:tab/>
      </w:r>
      <w:r>
        <w:fldChar w:fldCharType="begin"/>
      </w:r>
      <w:r>
        <w:instrText xml:space="preserve"> PAGEREF _Toc11744493 \h </w:instrText>
      </w:r>
      <w:r>
        <w:fldChar w:fldCharType="separate"/>
      </w:r>
      <w:r>
        <w:t>49</w:t>
      </w:r>
      <w:r>
        <w:fldChar w:fldCharType="end"/>
      </w:r>
    </w:p>
    <w:p>
      <w:pPr>
        <w:pStyle w:val="TOC8"/>
        <w:rPr>
          <w:rFonts w:asciiTheme="minorHAnsi" w:eastAsiaTheme="minorEastAsia" w:hAnsiTheme="minorHAnsi" w:cstheme="minorBidi"/>
          <w:szCs w:val="22"/>
        </w:rPr>
      </w:pPr>
      <w:r>
        <w:t>63A.</w:t>
      </w:r>
      <w:r>
        <w:tab/>
        <w:t xml:space="preserve">Application by employee or former employee under </w:t>
      </w:r>
      <w:r>
        <w:rPr>
          <w:i/>
        </w:rPr>
        <w:t>Public Sector Management Act 1994</w:t>
      </w:r>
      <w:r>
        <w:tab/>
      </w:r>
      <w:r>
        <w:fldChar w:fldCharType="begin"/>
      </w:r>
      <w:r>
        <w:instrText xml:space="preserve"> PAGEREF _Toc11744494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 — Agents</w:t>
      </w:r>
    </w:p>
    <w:p>
      <w:pPr>
        <w:pStyle w:val="TOC8"/>
        <w:rPr>
          <w:rFonts w:asciiTheme="minorHAnsi" w:eastAsiaTheme="minorEastAsia" w:hAnsiTheme="minorHAnsi" w:cstheme="minorBidi"/>
          <w:szCs w:val="22"/>
        </w:rPr>
      </w:pPr>
      <w:r>
        <w:t>63.</w:t>
      </w:r>
      <w:r>
        <w:tab/>
      </w:r>
      <w:r>
        <w:rPr>
          <w:snapToGrid w:val="0"/>
        </w:rPr>
        <w:t>Appointment of agent</w:t>
      </w:r>
      <w:r>
        <w:tab/>
      </w:r>
      <w:r>
        <w:fldChar w:fldCharType="begin"/>
      </w:r>
      <w:r>
        <w:instrText xml:space="preserve"> PAGEREF _Toc11744496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3 — Delegation to Registrars</w:t>
      </w:r>
    </w:p>
    <w:p>
      <w:pPr>
        <w:pStyle w:val="TOC8"/>
        <w:rPr>
          <w:rFonts w:asciiTheme="minorHAnsi" w:eastAsiaTheme="minorEastAsia" w:hAnsiTheme="minorHAnsi" w:cstheme="minorBidi"/>
          <w:szCs w:val="22"/>
        </w:rPr>
      </w:pPr>
      <w:r>
        <w:t>64.</w:t>
      </w:r>
      <w:r>
        <w:tab/>
        <w:t>Delegation to Registrars</w:t>
      </w:r>
      <w:r>
        <w:tab/>
      </w:r>
      <w:r>
        <w:fldChar w:fldCharType="begin"/>
      </w:r>
      <w:r>
        <w:instrText xml:space="preserve"> PAGEREF _Toc11744498 \h </w:instrText>
      </w:r>
      <w:r>
        <w:fldChar w:fldCharType="separate"/>
      </w:r>
      <w:r>
        <w:t>52</w:t>
      </w:r>
      <w:r>
        <w:fldChar w:fldCharType="end"/>
      </w:r>
    </w:p>
    <w:p>
      <w:pPr>
        <w:pStyle w:val="TOC8"/>
        <w:rPr>
          <w:rFonts w:asciiTheme="minorHAnsi" w:eastAsiaTheme="minorEastAsia" w:hAnsiTheme="minorHAnsi" w:cstheme="minorBidi"/>
          <w:szCs w:val="22"/>
        </w:rPr>
      </w:pPr>
      <w:r>
        <w:t>65.</w:t>
      </w:r>
      <w:r>
        <w:tab/>
        <w:t>Time limits for review of decisions of Registrars</w:t>
      </w:r>
      <w:r>
        <w:tab/>
      </w:r>
      <w:r>
        <w:fldChar w:fldCharType="begin"/>
      </w:r>
      <w:r>
        <w:instrText xml:space="preserve"> PAGEREF _Toc11744499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7 — Organisations and industrial associations</w:t>
      </w:r>
    </w:p>
    <w:p>
      <w:pPr>
        <w:pStyle w:val="TOC8"/>
        <w:rPr>
          <w:rFonts w:asciiTheme="minorHAnsi" w:eastAsiaTheme="minorEastAsia" w:hAnsiTheme="minorHAnsi" w:cstheme="minorBidi"/>
          <w:szCs w:val="22"/>
        </w:rPr>
      </w:pPr>
      <w:r>
        <w:t>66.</w:t>
      </w:r>
      <w:r>
        <w:tab/>
      </w:r>
      <w:r>
        <w:rPr>
          <w:snapToGrid w:val="0"/>
        </w:rPr>
        <w:t>Registration of organisation</w:t>
      </w:r>
      <w:r>
        <w:tab/>
      </w:r>
      <w:r>
        <w:fldChar w:fldCharType="begin"/>
      </w:r>
      <w:r>
        <w:instrText xml:space="preserve"> PAGEREF _Toc11744501 \h </w:instrText>
      </w:r>
      <w:r>
        <w:fldChar w:fldCharType="separate"/>
      </w:r>
      <w:r>
        <w:t>53</w:t>
      </w:r>
      <w:r>
        <w:fldChar w:fldCharType="end"/>
      </w:r>
    </w:p>
    <w:p>
      <w:pPr>
        <w:pStyle w:val="TOC8"/>
        <w:rPr>
          <w:rFonts w:asciiTheme="minorHAnsi" w:eastAsiaTheme="minorEastAsia" w:hAnsiTheme="minorHAnsi" w:cstheme="minorBidi"/>
          <w:szCs w:val="22"/>
        </w:rPr>
      </w:pPr>
      <w:r>
        <w:t>67.</w:t>
      </w:r>
      <w:r>
        <w:tab/>
      </w:r>
      <w:r>
        <w:rPr>
          <w:snapToGrid w:val="0"/>
        </w:rPr>
        <w:t>Registration of council as industrial association</w:t>
      </w:r>
      <w:r>
        <w:tab/>
      </w:r>
      <w:r>
        <w:fldChar w:fldCharType="begin"/>
      </w:r>
      <w:r>
        <w:instrText xml:space="preserve"> PAGEREF _Toc11744502 \h </w:instrText>
      </w:r>
      <w:r>
        <w:fldChar w:fldCharType="separate"/>
      </w:r>
      <w:r>
        <w:t>53</w:t>
      </w:r>
      <w:r>
        <w:fldChar w:fldCharType="end"/>
      </w:r>
    </w:p>
    <w:p>
      <w:pPr>
        <w:pStyle w:val="TOC8"/>
        <w:rPr>
          <w:rFonts w:asciiTheme="minorHAnsi" w:eastAsiaTheme="minorEastAsia" w:hAnsiTheme="minorHAnsi" w:cstheme="minorBidi"/>
          <w:szCs w:val="22"/>
        </w:rPr>
      </w:pPr>
      <w:r>
        <w:t>68.</w:t>
      </w:r>
      <w:r>
        <w:tab/>
      </w:r>
      <w:r>
        <w:rPr>
          <w:snapToGrid w:val="0"/>
        </w:rPr>
        <w:t>Amalgamation of organisations</w:t>
      </w:r>
      <w:r>
        <w:tab/>
      </w:r>
      <w:r>
        <w:fldChar w:fldCharType="begin"/>
      </w:r>
      <w:r>
        <w:instrText xml:space="preserve"> PAGEREF _Toc11744503 \h </w:instrText>
      </w:r>
      <w:r>
        <w:fldChar w:fldCharType="separate"/>
      </w:r>
      <w:r>
        <w:t>54</w:t>
      </w:r>
      <w:r>
        <w:fldChar w:fldCharType="end"/>
      </w:r>
    </w:p>
    <w:p>
      <w:pPr>
        <w:pStyle w:val="TOC8"/>
        <w:rPr>
          <w:rFonts w:asciiTheme="minorHAnsi" w:eastAsiaTheme="minorEastAsia" w:hAnsiTheme="minorHAnsi" w:cstheme="minorBidi"/>
          <w:szCs w:val="22"/>
        </w:rPr>
      </w:pPr>
      <w:r>
        <w:t>69.</w:t>
      </w:r>
      <w:r>
        <w:tab/>
      </w:r>
      <w:r>
        <w:rPr>
          <w:snapToGrid w:val="0"/>
        </w:rPr>
        <w:t>Alteration of rules</w:t>
      </w:r>
      <w:r>
        <w:tab/>
      </w:r>
      <w:r>
        <w:fldChar w:fldCharType="begin"/>
      </w:r>
      <w:r>
        <w:instrText xml:space="preserve"> PAGEREF _Toc11744504 \h </w:instrText>
      </w:r>
      <w:r>
        <w:fldChar w:fldCharType="separate"/>
      </w:r>
      <w:r>
        <w:t>55</w:t>
      </w:r>
      <w:r>
        <w:fldChar w:fldCharType="end"/>
      </w:r>
    </w:p>
    <w:p>
      <w:pPr>
        <w:pStyle w:val="TOC8"/>
        <w:rPr>
          <w:rFonts w:asciiTheme="minorHAnsi" w:eastAsiaTheme="minorEastAsia" w:hAnsiTheme="minorHAnsi" w:cstheme="minorBidi"/>
          <w:szCs w:val="22"/>
        </w:rPr>
      </w:pPr>
      <w:r>
        <w:t>70.</w:t>
      </w:r>
      <w:r>
        <w:tab/>
      </w:r>
      <w:r>
        <w:rPr>
          <w:snapToGrid w:val="0"/>
        </w:rPr>
        <w:t>Substitution of new set of rules</w:t>
      </w:r>
      <w:r>
        <w:tab/>
      </w:r>
      <w:r>
        <w:fldChar w:fldCharType="begin"/>
      </w:r>
      <w:r>
        <w:instrText xml:space="preserve"> PAGEREF _Toc11744505 \h </w:instrText>
      </w:r>
      <w:r>
        <w:fldChar w:fldCharType="separate"/>
      </w:r>
      <w:r>
        <w:t>56</w:t>
      </w:r>
      <w:r>
        <w:fldChar w:fldCharType="end"/>
      </w:r>
    </w:p>
    <w:p>
      <w:pPr>
        <w:pStyle w:val="TOC8"/>
        <w:rPr>
          <w:rFonts w:asciiTheme="minorHAnsi" w:eastAsiaTheme="minorEastAsia" w:hAnsiTheme="minorHAnsi" w:cstheme="minorBidi"/>
          <w:szCs w:val="22"/>
        </w:rPr>
      </w:pPr>
      <w:r>
        <w:t>71.</w:t>
      </w:r>
      <w:r>
        <w:tab/>
      </w:r>
      <w:r>
        <w:rPr>
          <w:snapToGrid w:val="0"/>
        </w:rPr>
        <w:t>Change of name</w:t>
      </w:r>
      <w:r>
        <w:tab/>
      </w:r>
      <w:r>
        <w:fldChar w:fldCharType="begin"/>
      </w:r>
      <w:r>
        <w:instrText xml:space="preserve"> PAGEREF _Toc11744506 \h </w:instrText>
      </w:r>
      <w:r>
        <w:fldChar w:fldCharType="separate"/>
      </w:r>
      <w:r>
        <w:t>57</w:t>
      </w:r>
      <w:r>
        <w:fldChar w:fldCharType="end"/>
      </w:r>
    </w:p>
    <w:p>
      <w:pPr>
        <w:pStyle w:val="TOC8"/>
        <w:rPr>
          <w:rFonts w:asciiTheme="minorHAnsi" w:eastAsiaTheme="minorEastAsia" w:hAnsiTheme="minorHAnsi" w:cstheme="minorBidi"/>
          <w:szCs w:val="22"/>
        </w:rPr>
      </w:pPr>
      <w:r>
        <w:t>72.</w:t>
      </w:r>
      <w:r>
        <w:tab/>
      </w:r>
      <w:r>
        <w:rPr>
          <w:snapToGrid w:val="0"/>
        </w:rPr>
        <w:t>Counterpart certificates</w:t>
      </w:r>
      <w:r>
        <w:tab/>
      </w:r>
      <w:r>
        <w:fldChar w:fldCharType="begin"/>
      </w:r>
      <w:r>
        <w:instrText xml:space="preserve"> PAGEREF _Toc11744507 \h </w:instrText>
      </w:r>
      <w:r>
        <w:fldChar w:fldCharType="separate"/>
      </w:r>
      <w:r>
        <w:t>58</w:t>
      </w:r>
      <w:r>
        <w:fldChar w:fldCharType="end"/>
      </w:r>
    </w:p>
    <w:p>
      <w:pPr>
        <w:pStyle w:val="TOC8"/>
        <w:rPr>
          <w:rFonts w:asciiTheme="minorHAnsi" w:eastAsiaTheme="minorEastAsia" w:hAnsiTheme="minorHAnsi" w:cstheme="minorBidi"/>
          <w:szCs w:val="22"/>
        </w:rPr>
      </w:pPr>
      <w:r>
        <w:t>73.</w:t>
      </w:r>
      <w:r>
        <w:tab/>
      </w:r>
      <w:r>
        <w:rPr>
          <w:snapToGrid w:val="0"/>
        </w:rPr>
        <w:t>Order under section 72A</w:t>
      </w:r>
      <w:r>
        <w:tab/>
      </w:r>
      <w:r>
        <w:fldChar w:fldCharType="begin"/>
      </w:r>
      <w:r>
        <w:instrText xml:space="preserve"> PAGEREF _Toc11744508 \h </w:instrText>
      </w:r>
      <w:r>
        <w:fldChar w:fldCharType="separate"/>
      </w:r>
      <w:r>
        <w:t>58</w:t>
      </w:r>
      <w:r>
        <w:fldChar w:fldCharType="end"/>
      </w:r>
    </w:p>
    <w:p>
      <w:pPr>
        <w:pStyle w:val="TOC8"/>
        <w:rPr>
          <w:rFonts w:asciiTheme="minorHAnsi" w:eastAsiaTheme="minorEastAsia" w:hAnsiTheme="minorHAnsi" w:cstheme="minorBidi"/>
          <w:szCs w:val="22"/>
        </w:rPr>
      </w:pPr>
      <w:r>
        <w:t>74.</w:t>
      </w:r>
      <w:r>
        <w:tab/>
      </w:r>
      <w:r>
        <w:rPr>
          <w:snapToGrid w:val="0"/>
        </w:rPr>
        <w:t>Summons for cancellation of registration of organisation</w:t>
      </w:r>
      <w:r>
        <w:tab/>
      </w:r>
      <w:r>
        <w:fldChar w:fldCharType="begin"/>
      </w:r>
      <w:r>
        <w:instrText xml:space="preserve"> PAGEREF _Toc11744509 \h </w:instrText>
      </w:r>
      <w:r>
        <w:fldChar w:fldCharType="separate"/>
      </w:r>
      <w:r>
        <w:t>59</w:t>
      </w:r>
      <w:r>
        <w:fldChar w:fldCharType="end"/>
      </w:r>
    </w:p>
    <w:p>
      <w:pPr>
        <w:pStyle w:val="TOC8"/>
        <w:rPr>
          <w:rFonts w:asciiTheme="minorHAnsi" w:eastAsiaTheme="minorEastAsia" w:hAnsiTheme="minorHAnsi" w:cstheme="minorBidi"/>
          <w:szCs w:val="22"/>
        </w:rPr>
      </w:pPr>
      <w:r>
        <w:t>75.</w:t>
      </w:r>
      <w:r>
        <w:tab/>
      </w:r>
      <w:r>
        <w:rPr>
          <w:snapToGrid w:val="0"/>
        </w:rPr>
        <w:t>Request by organisation or association for cancellation of registration</w:t>
      </w:r>
      <w:r>
        <w:tab/>
      </w:r>
      <w:r>
        <w:fldChar w:fldCharType="begin"/>
      </w:r>
      <w:r>
        <w:instrText xml:space="preserve"> PAGEREF _Toc11744510 \h </w:instrText>
      </w:r>
      <w:r>
        <w:fldChar w:fldCharType="separate"/>
      </w:r>
      <w:r>
        <w:t>60</w:t>
      </w:r>
      <w:r>
        <w:fldChar w:fldCharType="end"/>
      </w:r>
    </w:p>
    <w:p>
      <w:pPr>
        <w:pStyle w:val="TOC8"/>
        <w:rPr>
          <w:rFonts w:asciiTheme="minorHAnsi" w:eastAsiaTheme="minorEastAsia" w:hAnsiTheme="minorHAnsi" w:cstheme="minorBidi"/>
          <w:szCs w:val="22"/>
        </w:rPr>
      </w:pPr>
      <w:r>
        <w:t>76.</w:t>
      </w:r>
      <w:r>
        <w:tab/>
      </w:r>
      <w:r>
        <w:rPr>
          <w:snapToGrid w:val="0"/>
        </w:rPr>
        <w:t>Application by Registrar for cancellation of registration</w:t>
      </w:r>
      <w:r>
        <w:tab/>
      </w:r>
      <w:r>
        <w:fldChar w:fldCharType="begin"/>
      </w:r>
      <w:r>
        <w:instrText xml:space="preserve"> PAGEREF _Toc11744511 \h </w:instrText>
      </w:r>
      <w:r>
        <w:fldChar w:fldCharType="separate"/>
      </w:r>
      <w:r>
        <w:t>60</w:t>
      </w:r>
      <w:r>
        <w:fldChar w:fldCharType="end"/>
      </w:r>
    </w:p>
    <w:p>
      <w:pPr>
        <w:pStyle w:val="TOC8"/>
        <w:rPr>
          <w:rFonts w:asciiTheme="minorHAnsi" w:eastAsiaTheme="minorEastAsia" w:hAnsiTheme="minorHAnsi" w:cstheme="minorBidi"/>
          <w:szCs w:val="22"/>
        </w:rPr>
      </w:pPr>
      <w:r>
        <w:t>77.</w:t>
      </w:r>
      <w:r>
        <w:tab/>
      </w:r>
      <w:r>
        <w:rPr>
          <w:snapToGrid w:val="0"/>
        </w:rPr>
        <w:t>Certificates of registration</w:t>
      </w:r>
      <w:r>
        <w:tab/>
      </w:r>
      <w:r>
        <w:fldChar w:fldCharType="begin"/>
      </w:r>
      <w:r>
        <w:instrText xml:space="preserve"> PAGEREF _Toc11744512 \h </w:instrText>
      </w:r>
      <w:r>
        <w:fldChar w:fldCharType="separate"/>
      </w:r>
      <w:r>
        <w:t>61</w:t>
      </w:r>
      <w:r>
        <w:fldChar w:fldCharType="end"/>
      </w:r>
    </w:p>
    <w:p>
      <w:pPr>
        <w:pStyle w:val="TOC8"/>
        <w:rPr>
          <w:rFonts w:asciiTheme="minorHAnsi" w:eastAsiaTheme="minorEastAsia" w:hAnsiTheme="minorHAnsi" w:cstheme="minorBidi"/>
          <w:szCs w:val="22"/>
        </w:rPr>
      </w:pPr>
      <w:r>
        <w:t>78.</w:t>
      </w:r>
      <w:r>
        <w:tab/>
      </w:r>
      <w:r>
        <w:rPr>
          <w:snapToGrid w:val="0"/>
        </w:rPr>
        <w:t>Filing of records of organisation or industrial association</w:t>
      </w:r>
      <w:r>
        <w:tab/>
      </w:r>
      <w:r>
        <w:fldChar w:fldCharType="begin"/>
      </w:r>
      <w:r>
        <w:instrText xml:space="preserve"> PAGEREF _Toc11744513 \h </w:instrText>
      </w:r>
      <w:r>
        <w:fldChar w:fldCharType="separate"/>
      </w:r>
      <w:r>
        <w:t>61</w:t>
      </w:r>
      <w:r>
        <w:fldChar w:fldCharType="end"/>
      </w:r>
    </w:p>
    <w:p>
      <w:pPr>
        <w:pStyle w:val="TOC8"/>
        <w:rPr>
          <w:rFonts w:asciiTheme="minorHAnsi" w:eastAsiaTheme="minorEastAsia" w:hAnsiTheme="minorHAnsi" w:cstheme="minorBidi"/>
          <w:szCs w:val="22"/>
        </w:rPr>
      </w:pPr>
      <w:r>
        <w:t>79.</w:t>
      </w:r>
      <w:r>
        <w:tab/>
      </w:r>
      <w:r>
        <w:rPr>
          <w:snapToGrid w:val="0"/>
        </w:rPr>
        <w:t>Balance sheet etc. of organisation</w:t>
      </w:r>
      <w:r>
        <w:tab/>
      </w:r>
      <w:r>
        <w:fldChar w:fldCharType="begin"/>
      </w:r>
      <w:r>
        <w:instrText xml:space="preserve"> PAGEREF _Toc11744514 \h </w:instrText>
      </w:r>
      <w:r>
        <w:fldChar w:fldCharType="separate"/>
      </w:r>
      <w:r>
        <w:t>62</w:t>
      </w:r>
      <w:r>
        <w:fldChar w:fldCharType="end"/>
      </w:r>
    </w:p>
    <w:p>
      <w:pPr>
        <w:pStyle w:val="TOC8"/>
        <w:rPr>
          <w:rFonts w:asciiTheme="minorHAnsi" w:eastAsiaTheme="minorEastAsia" w:hAnsiTheme="minorHAnsi" w:cstheme="minorBidi"/>
          <w:szCs w:val="22"/>
        </w:rPr>
      </w:pPr>
      <w:r>
        <w:t>80.</w:t>
      </w:r>
      <w:r>
        <w:tab/>
      </w:r>
      <w:r>
        <w:rPr>
          <w:snapToGrid w:val="0"/>
        </w:rPr>
        <w:t>Inspection of documents</w:t>
      </w:r>
      <w:r>
        <w:tab/>
      </w:r>
      <w:r>
        <w:fldChar w:fldCharType="begin"/>
      </w:r>
      <w:r>
        <w:instrText xml:space="preserve"> PAGEREF _Toc11744515 \h </w:instrText>
      </w:r>
      <w:r>
        <w:fldChar w:fldCharType="separate"/>
      </w:r>
      <w:r>
        <w:t>62</w:t>
      </w:r>
      <w:r>
        <w:fldChar w:fldCharType="end"/>
      </w:r>
    </w:p>
    <w:p>
      <w:pPr>
        <w:pStyle w:val="TOC8"/>
        <w:rPr>
          <w:rFonts w:asciiTheme="minorHAnsi" w:eastAsiaTheme="minorEastAsia" w:hAnsiTheme="minorHAnsi" w:cstheme="minorBidi"/>
          <w:szCs w:val="22"/>
        </w:rPr>
      </w:pPr>
      <w:r>
        <w:t>81.</w:t>
      </w:r>
      <w:r>
        <w:tab/>
      </w:r>
      <w:r>
        <w:rPr>
          <w:snapToGrid w:val="0"/>
        </w:rPr>
        <w:t>Notification of change of address</w:t>
      </w:r>
      <w:r>
        <w:tab/>
      </w:r>
      <w:r>
        <w:fldChar w:fldCharType="begin"/>
      </w:r>
      <w:r>
        <w:instrText xml:space="preserve"> PAGEREF _Toc11744516 \h </w:instrText>
      </w:r>
      <w:r>
        <w:fldChar w:fldCharType="separate"/>
      </w:r>
      <w:r>
        <w:t>62</w:t>
      </w:r>
      <w:r>
        <w:fldChar w:fldCharType="end"/>
      </w:r>
    </w:p>
    <w:p>
      <w:pPr>
        <w:pStyle w:val="TOC8"/>
        <w:rPr>
          <w:rFonts w:asciiTheme="minorHAnsi" w:eastAsiaTheme="minorEastAsia" w:hAnsiTheme="minorHAnsi" w:cstheme="minorBidi"/>
          <w:szCs w:val="22"/>
        </w:rPr>
      </w:pPr>
      <w:r>
        <w:t>82.</w:t>
      </w:r>
      <w:r>
        <w:tab/>
      </w:r>
      <w:r>
        <w:rPr>
          <w:snapToGrid w:val="0"/>
        </w:rPr>
        <w:t>Right of entry — authority for representatives</w:t>
      </w:r>
      <w:r>
        <w:tab/>
      </w:r>
      <w:r>
        <w:fldChar w:fldCharType="begin"/>
      </w:r>
      <w:r>
        <w:instrText xml:space="preserve"> PAGEREF _Toc11744517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8 — Applications and appeals under Part VID Division 9 of the Act</w:t>
      </w:r>
    </w:p>
    <w:p>
      <w:pPr>
        <w:pStyle w:val="TOC4"/>
        <w:tabs>
          <w:tab w:val="right" w:leader="dot" w:pos="7077"/>
        </w:tabs>
        <w:rPr>
          <w:rFonts w:asciiTheme="minorHAnsi" w:eastAsiaTheme="minorEastAsia" w:hAnsiTheme="minorHAnsi" w:cstheme="minorBidi"/>
          <w:b w:val="0"/>
          <w:szCs w:val="22"/>
        </w:rPr>
      </w:pPr>
      <w:r>
        <w:t>Division 1 — Applications</w:t>
      </w:r>
    </w:p>
    <w:p>
      <w:pPr>
        <w:pStyle w:val="TOC8"/>
        <w:rPr>
          <w:rFonts w:asciiTheme="minorHAnsi" w:eastAsiaTheme="minorEastAsia" w:hAnsiTheme="minorHAnsi" w:cstheme="minorBidi"/>
          <w:szCs w:val="22"/>
        </w:rPr>
      </w:pPr>
      <w:r>
        <w:t>83.</w:t>
      </w:r>
      <w:r>
        <w:tab/>
        <w:t>Establishing that proposed representative is qualified and consents to application under section 97WV or 97XM</w:t>
      </w:r>
      <w:r>
        <w:tab/>
      </w:r>
      <w:r>
        <w:fldChar w:fldCharType="begin"/>
      </w:r>
      <w:r>
        <w:instrText xml:space="preserve"> PAGEREF _Toc11744520 \h </w:instrText>
      </w:r>
      <w:r>
        <w:fldChar w:fldCharType="separate"/>
      </w:r>
      <w:r>
        <w:t>66</w:t>
      </w:r>
      <w:r>
        <w:fldChar w:fldCharType="end"/>
      </w:r>
    </w:p>
    <w:p>
      <w:pPr>
        <w:pStyle w:val="TOC8"/>
        <w:rPr>
          <w:rFonts w:asciiTheme="minorHAnsi" w:eastAsiaTheme="minorEastAsia" w:hAnsiTheme="minorHAnsi" w:cstheme="minorBidi"/>
          <w:szCs w:val="22"/>
        </w:rPr>
      </w:pPr>
      <w:r>
        <w:t>84.</w:t>
      </w:r>
      <w:r>
        <w:tab/>
        <w:t>Notice of application for approval to be given to employer</w:t>
      </w:r>
      <w:r>
        <w:tab/>
      </w:r>
      <w:r>
        <w:fldChar w:fldCharType="begin"/>
      </w:r>
      <w:r>
        <w:instrText xml:space="preserve"> PAGEREF _Toc11744521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Appeals under section 97XB or 97XQ of the Act</w:t>
      </w:r>
    </w:p>
    <w:p>
      <w:pPr>
        <w:pStyle w:val="TOC8"/>
        <w:rPr>
          <w:rFonts w:asciiTheme="minorHAnsi" w:eastAsiaTheme="minorEastAsia" w:hAnsiTheme="minorHAnsi" w:cstheme="minorBidi"/>
          <w:szCs w:val="22"/>
        </w:rPr>
      </w:pPr>
      <w:r>
        <w:t>85.</w:t>
      </w:r>
      <w:r>
        <w:tab/>
        <w:t>Appeal against refusal to give approval</w:t>
      </w:r>
      <w:r>
        <w:tab/>
      </w:r>
      <w:r>
        <w:fldChar w:fldCharType="begin"/>
      </w:r>
      <w:r>
        <w:instrText xml:space="preserve"> PAGEREF _Toc11744523 \h </w:instrText>
      </w:r>
      <w:r>
        <w:fldChar w:fldCharType="separate"/>
      </w:r>
      <w:r>
        <w:t>67</w:t>
      </w:r>
      <w:r>
        <w:fldChar w:fldCharType="end"/>
      </w:r>
    </w:p>
    <w:p>
      <w:pPr>
        <w:pStyle w:val="TOC8"/>
        <w:rPr>
          <w:rFonts w:asciiTheme="minorHAnsi" w:eastAsiaTheme="minorEastAsia" w:hAnsiTheme="minorHAnsi" w:cstheme="minorBidi"/>
          <w:szCs w:val="22"/>
        </w:rPr>
      </w:pPr>
      <w:r>
        <w:t>86.</w:t>
      </w:r>
      <w:r>
        <w:tab/>
      </w:r>
      <w:r>
        <w:rPr>
          <w:snapToGrid w:val="0"/>
        </w:rPr>
        <w:t>Service of appeal notice</w:t>
      </w:r>
      <w:r>
        <w:tab/>
      </w:r>
      <w:r>
        <w:fldChar w:fldCharType="begin"/>
      </w:r>
      <w:r>
        <w:instrText xml:space="preserve"> PAGEREF _Toc11744524 \h </w:instrText>
      </w:r>
      <w:r>
        <w:fldChar w:fldCharType="separate"/>
      </w:r>
      <w:r>
        <w:t>67</w:t>
      </w:r>
      <w:r>
        <w:fldChar w:fldCharType="end"/>
      </w:r>
    </w:p>
    <w:p>
      <w:pPr>
        <w:pStyle w:val="TOC8"/>
        <w:rPr>
          <w:rFonts w:asciiTheme="minorHAnsi" w:eastAsiaTheme="minorEastAsia" w:hAnsiTheme="minorHAnsi" w:cstheme="minorBidi"/>
          <w:szCs w:val="22"/>
        </w:rPr>
      </w:pPr>
      <w:r>
        <w:t>87.</w:t>
      </w:r>
      <w:r>
        <w:tab/>
      </w:r>
      <w:r>
        <w:rPr>
          <w:snapToGrid w:val="0"/>
        </w:rPr>
        <w:t>Person served entitled but not required to be heard</w:t>
      </w:r>
      <w:r>
        <w:tab/>
      </w:r>
      <w:r>
        <w:fldChar w:fldCharType="begin"/>
      </w:r>
      <w:r>
        <w:instrText xml:space="preserve"> PAGEREF _Toc11744525 \h </w:instrText>
      </w:r>
      <w:r>
        <w:fldChar w:fldCharType="separate"/>
      </w:r>
      <w:r>
        <w:t>67</w:t>
      </w:r>
      <w:r>
        <w:fldChar w:fldCharType="end"/>
      </w:r>
    </w:p>
    <w:p>
      <w:pPr>
        <w:pStyle w:val="TOC8"/>
        <w:rPr>
          <w:rFonts w:asciiTheme="minorHAnsi" w:eastAsiaTheme="minorEastAsia" w:hAnsiTheme="minorHAnsi" w:cstheme="minorBidi"/>
          <w:szCs w:val="22"/>
        </w:rPr>
      </w:pPr>
      <w:r>
        <w:t>88.</w:t>
      </w:r>
      <w:r>
        <w:tab/>
      </w:r>
      <w:r>
        <w:rPr>
          <w:snapToGrid w:val="0"/>
        </w:rPr>
        <w:t>Registrar to provide records to Commissioner</w:t>
      </w:r>
      <w:r>
        <w:tab/>
      </w:r>
      <w:r>
        <w:fldChar w:fldCharType="begin"/>
      </w:r>
      <w:r>
        <w:instrText xml:space="preserve"> PAGEREF _Toc11744526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9A — Appeals under </w:t>
      </w:r>
      <w:r>
        <w:rPr>
          <w:i/>
        </w:rPr>
        <w:t>Prisons Act 1981</w:t>
      </w:r>
      <w:r>
        <w:t xml:space="preserve"> section 106</w:t>
      </w:r>
    </w:p>
    <w:p>
      <w:pPr>
        <w:pStyle w:val="TOC8"/>
        <w:rPr>
          <w:rFonts w:asciiTheme="minorHAnsi" w:eastAsiaTheme="minorEastAsia" w:hAnsiTheme="minorHAnsi" w:cstheme="minorBidi"/>
          <w:szCs w:val="22"/>
        </w:rPr>
      </w:pPr>
      <w:r>
        <w:t>89A.</w:t>
      </w:r>
      <w:r>
        <w:tab/>
        <w:t>Terms used</w:t>
      </w:r>
      <w:r>
        <w:tab/>
      </w:r>
      <w:r>
        <w:fldChar w:fldCharType="begin"/>
      </w:r>
      <w:r>
        <w:instrText xml:space="preserve"> PAGEREF _Toc11744528 \h </w:instrText>
      </w:r>
      <w:r>
        <w:fldChar w:fldCharType="separate"/>
      </w:r>
      <w:r>
        <w:t>69</w:t>
      </w:r>
      <w:r>
        <w:fldChar w:fldCharType="end"/>
      </w:r>
    </w:p>
    <w:p>
      <w:pPr>
        <w:pStyle w:val="TOC8"/>
        <w:rPr>
          <w:rFonts w:asciiTheme="minorHAnsi" w:eastAsiaTheme="minorEastAsia" w:hAnsiTheme="minorHAnsi" w:cstheme="minorBidi"/>
          <w:szCs w:val="22"/>
        </w:rPr>
      </w:pPr>
      <w:r>
        <w:t>89B.</w:t>
      </w:r>
      <w:r>
        <w:tab/>
        <w:t>Notice of appeal against removal action</w:t>
      </w:r>
      <w:r>
        <w:tab/>
      </w:r>
      <w:r>
        <w:fldChar w:fldCharType="begin"/>
      </w:r>
      <w:r>
        <w:instrText xml:space="preserve"> PAGEREF _Toc11744529 \h </w:instrText>
      </w:r>
      <w:r>
        <w:fldChar w:fldCharType="separate"/>
      </w:r>
      <w:r>
        <w:t>69</w:t>
      </w:r>
      <w:r>
        <w:fldChar w:fldCharType="end"/>
      </w:r>
    </w:p>
    <w:p>
      <w:pPr>
        <w:pStyle w:val="TOC8"/>
        <w:rPr>
          <w:rFonts w:asciiTheme="minorHAnsi" w:eastAsiaTheme="minorEastAsia" w:hAnsiTheme="minorHAnsi" w:cstheme="minorBidi"/>
          <w:szCs w:val="22"/>
        </w:rPr>
      </w:pPr>
      <w:r>
        <w:t>89C.</w:t>
      </w:r>
      <w:r>
        <w:tab/>
        <w:t>Service of notice of appeal against removal action</w:t>
      </w:r>
      <w:r>
        <w:tab/>
      </w:r>
      <w:r>
        <w:fldChar w:fldCharType="begin"/>
      </w:r>
      <w:r>
        <w:instrText xml:space="preserve"> PAGEREF _Toc11744530 \h </w:instrText>
      </w:r>
      <w:r>
        <w:fldChar w:fldCharType="separate"/>
      </w:r>
      <w:r>
        <w:t>69</w:t>
      </w:r>
      <w:r>
        <w:fldChar w:fldCharType="end"/>
      </w:r>
    </w:p>
    <w:p>
      <w:pPr>
        <w:pStyle w:val="TOC8"/>
        <w:rPr>
          <w:rFonts w:asciiTheme="minorHAnsi" w:eastAsiaTheme="minorEastAsia" w:hAnsiTheme="minorHAnsi" w:cstheme="minorBidi"/>
          <w:szCs w:val="22"/>
        </w:rPr>
      </w:pPr>
      <w:r>
        <w:t>89D.</w:t>
      </w:r>
      <w:r>
        <w:tab/>
        <w:t>Response by chief executive officer</w:t>
      </w:r>
      <w:r>
        <w:tab/>
      </w:r>
      <w:r>
        <w:fldChar w:fldCharType="begin"/>
      </w:r>
      <w:r>
        <w:instrText xml:space="preserve"> PAGEREF _Toc11744531 \h </w:instrText>
      </w:r>
      <w:r>
        <w:fldChar w:fldCharType="separate"/>
      </w:r>
      <w:r>
        <w:t>70</w:t>
      </w:r>
      <w:r>
        <w:fldChar w:fldCharType="end"/>
      </w:r>
    </w:p>
    <w:p>
      <w:pPr>
        <w:pStyle w:val="TOC8"/>
        <w:rPr>
          <w:rFonts w:asciiTheme="minorHAnsi" w:eastAsiaTheme="minorEastAsia" w:hAnsiTheme="minorHAnsi" w:cstheme="minorBidi"/>
          <w:szCs w:val="22"/>
        </w:rPr>
      </w:pPr>
      <w:r>
        <w:t>89E.</w:t>
      </w:r>
      <w:r>
        <w:tab/>
        <w:t>Documents relied on to be filed and served</w:t>
      </w:r>
      <w:r>
        <w:tab/>
      </w:r>
      <w:r>
        <w:fldChar w:fldCharType="begin"/>
      </w:r>
      <w:r>
        <w:instrText xml:space="preserve"> PAGEREF _Toc11744532 \h </w:instrText>
      </w:r>
      <w:r>
        <w:fldChar w:fldCharType="separate"/>
      </w:r>
      <w:r>
        <w:t>70</w:t>
      </w:r>
      <w:r>
        <w:fldChar w:fldCharType="end"/>
      </w:r>
    </w:p>
    <w:p>
      <w:pPr>
        <w:pStyle w:val="TOC8"/>
        <w:rPr>
          <w:rFonts w:asciiTheme="minorHAnsi" w:eastAsiaTheme="minorEastAsia" w:hAnsiTheme="minorHAnsi" w:cstheme="minorBidi"/>
          <w:szCs w:val="22"/>
        </w:rPr>
      </w:pPr>
      <w:r>
        <w:t>89F.</w:t>
      </w:r>
      <w:r>
        <w:tab/>
        <w:t xml:space="preserve">Notice of reformulated reasons under </w:t>
      </w:r>
      <w:r>
        <w:rPr>
          <w:i/>
        </w:rPr>
        <w:t>Prisons Act 1981</w:t>
      </w:r>
      <w:r>
        <w:t xml:space="preserve"> s. 110A(4)</w:t>
      </w:r>
      <w:r>
        <w:tab/>
      </w:r>
      <w:r>
        <w:fldChar w:fldCharType="begin"/>
      </w:r>
      <w:r>
        <w:instrText xml:space="preserve"> PAGEREF _Toc11744533 \h </w:instrText>
      </w:r>
      <w:r>
        <w:fldChar w:fldCharType="separate"/>
      </w:r>
      <w:r>
        <w:t>71</w:t>
      </w:r>
      <w:r>
        <w:fldChar w:fldCharType="end"/>
      </w:r>
    </w:p>
    <w:p>
      <w:pPr>
        <w:pStyle w:val="TOC8"/>
        <w:rPr>
          <w:rFonts w:asciiTheme="minorHAnsi" w:eastAsiaTheme="minorEastAsia" w:hAnsiTheme="minorHAnsi" w:cstheme="minorBidi"/>
          <w:szCs w:val="22"/>
        </w:rPr>
      </w:pPr>
      <w:r>
        <w:t>89G.</w:t>
      </w:r>
      <w:r>
        <w:tab/>
        <w:t>Withdrawal or discontinuance of appeal against removal</w:t>
      </w:r>
      <w:r>
        <w:tab/>
      </w:r>
      <w:r>
        <w:fldChar w:fldCharType="begin"/>
      </w:r>
      <w:r>
        <w:instrText xml:space="preserve"> PAGEREF _Toc11744534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9B — Appeals under </w:t>
      </w:r>
      <w:r>
        <w:rPr>
          <w:i/>
        </w:rPr>
        <w:t>Young Offenders Act 1994</w:t>
      </w:r>
      <w:r>
        <w:t xml:space="preserve"> section 11CH</w:t>
      </w:r>
    </w:p>
    <w:p>
      <w:pPr>
        <w:pStyle w:val="TOC8"/>
        <w:rPr>
          <w:rFonts w:asciiTheme="minorHAnsi" w:eastAsiaTheme="minorEastAsia" w:hAnsiTheme="minorHAnsi" w:cstheme="minorBidi"/>
          <w:szCs w:val="22"/>
        </w:rPr>
      </w:pPr>
      <w:r>
        <w:t>89H.</w:t>
      </w:r>
      <w:r>
        <w:tab/>
        <w:t>Terms used</w:t>
      </w:r>
      <w:r>
        <w:tab/>
      </w:r>
      <w:r>
        <w:fldChar w:fldCharType="begin"/>
      </w:r>
      <w:r>
        <w:instrText xml:space="preserve"> PAGEREF _Toc11744536 \h </w:instrText>
      </w:r>
      <w:r>
        <w:fldChar w:fldCharType="separate"/>
      </w:r>
      <w:r>
        <w:t>73</w:t>
      </w:r>
      <w:r>
        <w:fldChar w:fldCharType="end"/>
      </w:r>
    </w:p>
    <w:p>
      <w:pPr>
        <w:pStyle w:val="TOC8"/>
        <w:rPr>
          <w:rFonts w:asciiTheme="minorHAnsi" w:eastAsiaTheme="minorEastAsia" w:hAnsiTheme="minorHAnsi" w:cstheme="minorBidi"/>
          <w:szCs w:val="22"/>
        </w:rPr>
      </w:pPr>
      <w:r>
        <w:t>89I.</w:t>
      </w:r>
      <w:r>
        <w:tab/>
        <w:t>Notice of appeal against removal action</w:t>
      </w:r>
      <w:r>
        <w:tab/>
      </w:r>
      <w:r>
        <w:fldChar w:fldCharType="begin"/>
      </w:r>
      <w:r>
        <w:instrText xml:space="preserve"> PAGEREF _Toc11744537 \h </w:instrText>
      </w:r>
      <w:r>
        <w:fldChar w:fldCharType="separate"/>
      </w:r>
      <w:r>
        <w:t>73</w:t>
      </w:r>
      <w:r>
        <w:fldChar w:fldCharType="end"/>
      </w:r>
    </w:p>
    <w:p>
      <w:pPr>
        <w:pStyle w:val="TOC8"/>
        <w:rPr>
          <w:rFonts w:asciiTheme="minorHAnsi" w:eastAsiaTheme="minorEastAsia" w:hAnsiTheme="minorHAnsi" w:cstheme="minorBidi"/>
          <w:szCs w:val="22"/>
        </w:rPr>
      </w:pPr>
      <w:r>
        <w:t>89J.</w:t>
      </w:r>
      <w:r>
        <w:tab/>
        <w:t>Service of notice of appeal against removal action</w:t>
      </w:r>
      <w:r>
        <w:tab/>
      </w:r>
      <w:r>
        <w:fldChar w:fldCharType="begin"/>
      </w:r>
      <w:r>
        <w:instrText xml:space="preserve"> PAGEREF _Toc11744538 \h </w:instrText>
      </w:r>
      <w:r>
        <w:fldChar w:fldCharType="separate"/>
      </w:r>
      <w:r>
        <w:t>74</w:t>
      </w:r>
      <w:r>
        <w:fldChar w:fldCharType="end"/>
      </w:r>
    </w:p>
    <w:p>
      <w:pPr>
        <w:pStyle w:val="TOC8"/>
        <w:rPr>
          <w:rFonts w:asciiTheme="minorHAnsi" w:eastAsiaTheme="minorEastAsia" w:hAnsiTheme="minorHAnsi" w:cstheme="minorBidi"/>
          <w:szCs w:val="22"/>
        </w:rPr>
      </w:pPr>
      <w:r>
        <w:t>89K.</w:t>
      </w:r>
      <w:r>
        <w:tab/>
        <w:t>Response by chief executive officer</w:t>
      </w:r>
      <w:r>
        <w:tab/>
      </w:r>
      <w:r>
        <w:fldChar w:fldCharType="begin"/>
      </w:r>
      <w:r>
        <w:instrText xml:space="preserve"> PAGEREF _Toc11744539 \h </w:instrText>
      </w:r>
      <w:r>
        <w:fldChar w:fldCharType="separate"/>
      </w:r>
      <w:r>
        <w:t>74</w:t>
      </w:r>
      <w:r>
        <w:fldChar w:fldCharType="end"/>
      </w:r>
    </w:p>
    <w:p>
      <w:pPr>
        <w:pStyle w:val="TOC8"/>
        <w:rPr>
          <w:rFonts w:asciiTheme="minorHAnsi" w:eastAsiaTheme="minorEastAsia" w:hAnsiTheme="minorHAnsi" w:cstheme="minorBidi"/>
          <w:szCs w:val="22"/>
        </w:rPr>
      </w:pPr>
      <w:r>
        <w:t>89L.</w:t>
      </w:r>
      <w:r>
        <w:tab/>
        <w:t>Documents relied on to be filed and served</w:t>
      </w:r>
      <w:r>
        <w:tab/>
      </w:r>
      <w:r>
        <w:fldChar w:fldCharType="begin"/>
      </w:r>
      <w:r>
        <w:instrText xml:space="preserve"> PAGEREF _Toc11744540 \h </w:instrText>
      </w:r>
      <w:r>
        <w:fldChar w:fldCharType="separate"/>
      </w:r>
      <w:r>
        <w:t>75</w:t>
      </w:r>
      <w:r>
        <w:fldChar w:fldCharType="end"/>
      </w:r>
    </w:p>
    <w:p>
      <w:pPr>
        <w:pStyle w:val="TOC8"/>
        <w:rPr>
          <w:rFonts w:asciiTheme="minorHAnsi" w:eastAsiaTheme="minorEastAsia" w:hAnsiTheme="minorHAnsi" w:cstheme="minorBidi"/>
          <w:szCs w:val="22"/>
        </w:rPr>
      </w:pPr>
      <w:r>
        <w:t>89M.</w:t>
      </w:r>
      <w:r>
        <w:tab/>
        <w:t xml:space="preserve">Notice of reformulated reasons under </w:t>
      </w:r>
      <w:r>
        <w:rPr>
          <w:i/>
        </w:rPr>
        <w:t>Young Offenders Act 1994</w:t>
      </w:r>
      <w:r>
        <w:t xml:space="preserve"> s. 11CL(4)</w:t>
      </w:r>
      <w:r>
        <w:tab/>
      </w:r>
      <w:r>
        <w:fldChar w:fldCharType="begin"/>
      </w:r>
      <w:r>
        <w:instrText xml:space="preserve"> PAGEREF _Toc11744541 \h </w:instrText>
      </w:r>
      <w:r>
        <w:fldChar w:fldCharType="separate"/>
      </w:r>
      <w:r>
        <w:t>75</w:t>
      </w:r>
      <w:r>
        <w:fldChar w:fldCharType="end"/>
      </w:r>
    </w:p>
    <w:p>
      <w:pPr>
        <w:pStyle w:val="TOC8"/>
        <w:rPr>
          <w:rFonts w:asciiTheme="minorHAnsi" w:eastAsiaTheme="minorEastAsia" w:hAnsiTheme="minorHAnsi" w:cstheme="minorBidi"/>
          <w:szCs w:val="22"/>
        </w:rPr>
      </w:pPr>
      <w:r>
        <w:t>89N.</w:t>
      </w:r>
      <w:r>
        <w:tab/>
        <w:t>Withdrawal or discontinuance of appeal against removal</w:t>
      </w:r>
      <w:r>
        <w:tab/>
      </w:r>
      <w:r>
        <w:fldChar w:fldCharType="begin"/>
      </w:r>
      <w:r>
        <w:instrText xml:space="preserve"> PAGEREF _Toc11744542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 — Appeals under the </w:t>
      </w:r>
      <w:r>
        <w:rPr>
          <w:i/>
          <w:iCs/>
        </w:rPr>
        <w:t>Police Act 1892</w:t>
      </w:r>
      <w:r>
        <w:t xml:space="preserve"> section 33P</w:t>
      </w:r>
    </w:p>
    <w:p>
      <w:pPr>
        <w:pStyle w:val="TOC8"/>
        <w:rPr>
          <w:rFonts w:asciiTheme="minorHAnsi" w:eastAsiaTheme="minorEastAsia" w:hAnsiTheme="minorHAnsi" w:cstheme="minorBidi"/>
          <w:szCs w:val="22"/>
        </w:rPr>
      </w:pPr>
      <w:r>
        <w:t>89.</w:t>
      </w:r>
      <w:r>
        <w:tab/>
        <w:t>Terms used</w:t>
      </w:r>
      <w:r>
        <w:tab/>
      </w:r>
      <w:r>
        <w:fldChar w:fldCharType="begin"/>
      </w:r>
      <w:r>
        <w:instrText xml:space="preserve"> PAGEREF _Toc11744544 \h </w:instrText>
      </w:r>
      <w:r>
        <w:fldChar w:fldCharType="separate"/>
      </w:r>
      <w:r>
        <w:t>77</w:t>
      </w:r>
      <w:r>
        <w:fldChar w:fldCharType="end"/>
      </w:r>
    </w:p>
    <w:p>
      <w:pPr>
        <w:pStyle w:val="TOC8"/>
        <w:rPr>
          <w:rFonts w:asciiTheme="minorHAnsi" w:eastAsiaTheme="minorEastAsia" w:hAnsiTheme="minorHAnsi" w:cstheme="minorBidi"/>
          <w:szCs w:val="22"/>
        </w:rPr>
      </w:pPr>
      <w:r>
        <w:t>90.</w:t>
      </w:r>
      <w:r>
        <w:tab/>
        <w:t>Notice of appeal against removal action</w:t>
      </w:r>
      <w:r>
        <w:tab/>
      </w:r>
      <w:r>
        <w:fldChar w:fldCharType="begin"/>
      </w:r>
      <w:r>
        <w:instrText xml:space="preserve"> PAGEREF _Toc11744545 \h </w:instrText>
      </w:r>
      <w:r>
        <w:fldChar w:fldCharType="separate"/>
      </w:r>
      <w:r>
        <w:t>77</w:t>
      </w:r>
      <w:r>
        <w:fldChar w:fldCharType="end"/>
      </w:r>
    </w:p>
    <w:p>
      <w:pPr>
        <w:pStyle w:val="TOC8"/>
        <w:rPr>
          <w:rFonts w:asciiTheme="minorHAnsi" w:eastAsiaTheme="minorEastAsia" w:hAnsiTheme="minorHAnsi" w:cstheme="minorBidi"/>
          <w:szCs w:val="22"/>
        </w:rPr>
      </w:pPr>
      <w:r>
        <w:t>91A.</w:t>
      </w:r>
      <w:r>
        <w:tab/>
        <w:t>Service of notice of appeal against removal action</w:t>
      </w:r>
      <w:r>
        <w:tab/>
      </w:r>
      <w:r>
        <w:fldChar w:fldCharType="begin"/>
      </w:r>
      <w:r>
        <w:instrText xml:space="preserve"> PAGEREF _Toc11744546 \h </w:instrText>
      </w:r>
      <w:r>
        <w:fldChar w:fldCharType="separate"/>
      </w:r>
      <w:r>
        <w:t>77</w:t>
      </w:r>
      <w:r>
        <w:fldChar w:fldCharType="end"/>
      </w:r>
    </w:p>
    <w:p>
      <w:pPr>
        <w:pStyle w:val="TOC8"/>
        <w:rPr>
          <w:rFonts w:asciiTheme="minorHAnsi" w:eastAsiaTheme="minorEastAsia" w:hAnsiTheme="minorHAnsi" w:cstheme="minorBidi"/>
          <w:szCs w:val="22"/>
        </w:rPr>
      </w:pPr>
      <w:r>
        <w:t>91.</w:t>
      </w:r>
      <w:r>
        <w:tab/>
        <w:t>Response by Commissioner of Police</w:t>
      </w:r>
      <w:r>
        <w:tab/>
      </w:r>
      <w:r>
        <w:fldChar w:fldCharType="begin"/>
      </w:r>
      <w:r>
        <w:instrText xml:space="preserve"> PAGEREF _Toc11744547 \h </w:instrText>
      </w:r>
      <w:r>
        <w:fldChar w:fldCharType="separate"/>
      </w:r>
      <w:r>
        <w:t>78</w:t>
      </w:r>
      <w:r>
        <w:fldChar w:fldCharType="end"/>
      </w:r>
    </w:p>
    <w:p>
      <w:pPr>
        <w:pStyle w:val="TOC8"/>
        <w:rPr>
          <w:rFonts w:asciiTheme="minorHAnsi" w:eastAsiaTheme="minorEastAsia" w:hAnsiTheme="minorHAnsi" w:cstheme="minorBidi"/>
          <w:szCs w:val="22"/>
        </w:rPr>
      </w:pPr>
      <w:r>
        <w:t>92.</w:t>
      </w:r>
      <w:r>
        <w:tab/>
        <w:t>Documents relied on to be filed and served</w:t>
      </w:r>
      <w:r>
        <w:tab/>
      </w:r>
      <w:r>
        <w:fldChar w:fldCharType="begin"/>
      </w:r>
      <w:r>
        <w:instrText xml:space="preserve"> PAGEREF _Toc11744548 \h </w:instrText>
      </w:r>
      <w:r>
        <w:fldChar w:fldCharType="separate"/>
      </w:r>
      <w:r>
        <w:t>78</w:t>
      </w:r>
      <w:r>
        <w:fldChar w:fldCharType="end"/>
      </w:r>
    </w:p>
    <w:p>
      <w:pPr>
        <w:pStyle w:val="TOC8"/>
        <w:rPr>
          <w:rFonts w:asciiTheme="minorHAnsi" w:eastAsiaTheme="minorEastAsia" w:hAnsiTheme="minorHAnsi" w:cstheme="minorBidi"/>
          <w:szCs w:val="22"/>
        </w:rPr>
      </w:pPr>
      <w:r>
        <w:t>93.</w:t>
      </w:r>
      <w:r>
        <w:tab/>
        <w:t xml:space="preserve">Notice of reformulated reasons under </w:t>
      </w:r>
      <w:r>
        <w:rPr>
          <w:i/>
          <w:iCs/>
        </w:rPr>
        <w:t>Police Act 1892</w:t>
      </w:r>
      <w:r>
        <w:rPr>
          <w:i/>
        </w:rPr>
        <w:t xml:space="preserve"> </w:t>
      </w:r>
      <w:r>
        <w:t>s. 33R(10)</w:t>
      </w:r>
      <w:r>
        <w:tab/>
      </w:r>
      <w:r>
        <w:fldChar w:fldCharType="begin"/>
      </w:r>
      <w:r>
        <w:instrText xml:space="preserve"> PAGEREF _Toc11744549 \h </w:instrText>
      </w:r>
      <w:r>
        <w:fldChar w:fldCharType="separate"/>
      </w:r>
      <w:r>
        <w:t>79</w:t>
      </w:r>
      <w:r>
        <w:fldChar w:fldCharType="end"/>
      </w:r>
    </w:p>
    <w:p>
      <w:pPr>
        <w:pStyle w:val="TOC8"/>
        <w:rPr>
          <w:rFonts w:asciiTheme="minorHAnsi" w:eastAsiaTheme="minorEastAsia" w:hAnsiTheme="minorHAnsi" w:cstheme="minorBidi"/>
          <w:szCs w:val="22"/>
        </w:rPr>
      </w:pPr>
      <w:r>
        <w:t>94.</w:t>
      </w:r>
      <w:r>
        <w:tab/>
        <w:t>Withdrawal or discontinuance of appeal against removal</w:t>
      </w:r>
      <w:r>
        <w:tab/>
      </w:r>
      <w:r>
        <w:fldChar w:fldCharType="begin"/>
      </w:r>
      <w:r>
        <w:instrText xml:space="preserve"> PAGEREF _Toc11744550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10 — Occupational Safety and Health Tribunal</w:t>
      </w:r>
    </w:p>
    <w:p>
      <w:pPr>
        <w:pStyle w:val="TOC8"/>
        <w:rPr>
          <w:rFonts w:asciiTheme="minorHAnsi" w:eastAsiaTheme="minorEastAsia" w:hAnsiTheme="minorHAnsi" w:cstheme="minorBidi"/>
          <w:szCs w:val="22"/>
        </w:rPr>
      </w:pPr>
      <w:r>
        <w:t>95.</w:t>
      </w:r>
      <w:r>
        <w:tab/>
        <w:t>Referral of matter and term used: Tribunal</w:t>
      </w:r>
      <w:r>
        <w:tab/>
      </w:r>
      <w:r>
        <w:fldChar w:fldCharType="begin"/>
      </w:r>
      <w:r>
        <w:instrText xml:space="preserve"> PAGEREF _Toc11744552 \h </w:instrText>
      </w:r>
      <w:r>
        <w:fldChar w:fldCharType="separate"/>
      </w:r>
      <w:r>
        <w:t>81</w:t>
      </w:r>
      <w:r>
        <w:fldChar w:fldCharType="end"/>
      </w:r>
    </w:p>
    <w:p>
      <w:pPr>
        <w:pStyle w:val="TOC8"/>
        <w:rPr>
          <w:rFonts w:asciiTheme="minorHAnsi" w:eastAsiaTheme="minorEastAsia" w:hAnsiTheme="minorHAnsi" w:cstheme="minorBidi"/>
          <w:szCs w:val="22"/>
        </w:rPr>
      </w:pPr>
      <w:r>
        <w:t>96.</w:t>
      </w:r>
      <w:r>
        <w:tab/>
        <w:t>Referrals to Tribunal</w:t>
      </w:r>
      <w:r>
        <w:tab/>
      </w:r>
      <w:r>
        <w:fldChar w:fldCharType="begin"/>
      </w:r>
      <w:r>
        <w:instrText xml:space="preserve"> PAGEREF _Toc11744553 \h </w:instrText>
      </w:r>
      <w:r>
        <w:fldChar w:fldCharType="separate"/>
      </w:r>
      <w:r>
        <w:t>81</w:t>
      </w:r>
      <w:r>
        <w:fldChar w:fldCharType="end"/>
      </w:r>
    </w:p>
    <w:p>
      <w:pPr>
        <w:pStyle w:val="TOC8"/>
        <w:rPr>
          <w:rFonts w:asciiTheme="minorHAnsi" w:eastAsiaTheme="minorEastAsia" w:hAnsiTheme="minorHAnsi" w:cstheme="minorBidi"/>
          <w:szCs w:val="22"/>
        </w:rPr>
      </w:pPr>
      <w:r>
        <w:t>97.</w:t>
      </w:r>
      <w:r>
        <w:tab/>
        <w:t>Application of certain regulations</w:t>
      </w:r>
      <w:r>
        <w:tab/>
      </w:r>
      <w:r>
        <w:fldChar w:fldCharType="begin"/>
      </w:r>
      <w:r>
        <w:instrText xml:space="preserve"> PAGEREF _Toc11744554 \h </w:instrText>
      </w:r>
      <w:r>
        <w:fldChar w:fldCharType="separate"/>
      </w:r>
      <w:r>
        <w:t>82</w:t>
      </w:r>
      <w:r>
        <w:fldChar w:fldCharType="end"/>
      </w:r>
    </w:p>
    <w:p>
      <w:pPr>
        <w:pStyle w:val="TOC8"/>
        <w:rPr>
          <w:rFonts w:asciiTheme="minorHAnsi" w:eastAsiaTheme="minorEastAsia" w:hAnsiTheme="minorHAnsi" w:cstheme="minorBidi"/>
          <w:szCs w:val="22"/>
        </w:rPr>
      </w:pPr>
      <w:r>
        <w:t>98.</w:t>
      </w:r>
      <w:r>
        <w:tab/>
        <w:t>Procedures specific to Tribunal proceedings</w:t>
      </w:r>
      <w:r>
        <w:tab/>
      </w:r>
      <w:r>
        <w:fldChar w:fldCharType="begin"/>
      </w:r>
      <w:r>
        <w:instrText xml:space="preserve"> PAGEREF _Toc11744555 \h </w:instrText>
      </w:r>
      <w:r>
        <w:fldChar w:fldCharType="separate"/>
      </w:r>
      <w:r>
        <w:t>82</w:t>
      </w:r>
      <w:r>
        <w:fldChar w:fldCharType="end"/>
      </w:r>
    </w:p>
    <w:p>
      <w:pPr>
        <w:pStyle w:val="TOC8"/>
        <w:rPr>
          <w:rFonts w:asciiTheme="minorHAnsi" w:eastAsiaTheme="minorEastAsia" w:hAnsiTheme="minorHAnsi" w:cstheme="minorBidi"/>
          <w:szCs w:val="22"/>
        </w:rPr>
      </w:pPr>
      <w:r>
        <w:t>99.</w:t>
      </w:r>
      <w:r>
        <w:tab/>
        <w:t>Chief Commissioner may approve modified form of summons</w:t>
      </w:r>
      <w:r>
        <w:tab/>
      </w:r>
      <w:r>
        <w:fldChar w:fldCharType="begin"/>
      </w:r>
      <w:r>
        <w:instrText xml:space="preserve"> PAGEREF _Toc11744556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10A — Road Freight Transport Industry Tribunal</w:t>
      </w:r>
    </w:p>
    <w:p>
      <w:pPr>
        <w:pStyle w:val="TOC8"/>
        <w:rPr>
          <w:rFonts w:asciiTheme="minorHAnsi" w:eastAsiaTheme="minorEastAsia" w:hAnsiTheme="minorHAnsi" w:cstheme="minorBidi"/>
          <w:szCs w:val="22"/>
        </w:rPr>
      </w:pPr>
      <w:r>
        <w:t>99A.</w:t>
      </w:r>
      <w:r>
        <w:tab/>
        <w:t>Terms used</w:t>
      </w:r>
      <w:r>
        <w:tab/>
      </w:r>
      <w:r>
        <w:fldChar w:fldCharType="begin"/>
      </w:r>
      <w:r>
        <w:instrText xml:space="preserve"> PAGEREF _Toc11744558 \h </w:instrText>
      </w:r>
      <w:r>
        <w:fldChar w:fldCharType="separate"/>
      </w:r>
      <w:r>
        <w:t>84</w:t>
      </w:r>
      <w:r>
        <w:fldChar w:fldCharType="end"/>
      </w:r>
    </w:p>
    <w:p>
      <w:pPr>
        <w:pStyle w:val="TOC8"/>
        <w:rPr>
          <w:rFonts w:asciiTheme="minorHAnsi" w:eastAsiaTheme="minorEastAsia" w:hAnsiTheme="minorHAnsi" w:cstheme="minorBidi"/>
          <w:szCs w:val="22"/>
        </w:rPr>
      </w:pPr>
      <w:r>
        <w:t>99B.</w:t>
      </w:r>
      <w:r>
        <w:tab/>
        <w:t>Referrals to Tribunal</w:t>
      </w:r>
      <w:r>
        <w:tab/>
      </w:r>
      <w:r>
        <w:fldChar w:fldCharType="begin"/>
      </w:r>
      <w:r>
        <w:instrText xml:space="preserve"> PAGEREF _Toc11744559 \h </w:instrText>
      </w:r>
      <w:r>
        <w:fldChar w:fldCharType="separate"/>
      </w:r>
      <w:r>
        <w:t>84</w:t>
      </w:r>
      <w:r>
        <w:fldChar w:fldCharType="end"/>
      </w:r>
    </w:p>
    <w:p>
      <w:pPr>
        <w:pStyle w:val="TOC8"/>
        <w:rPr>
          <w:rFonts w:asciiTheme="minorHAnsi" w:eastAsiaTheme="minorEastAsia" w:hAnsiTheme="minorHAnsi" w:cstheme="minorBidi"/>
          <w:szCs w:val="22"/>
        </w:rPr>
      </w:pPr>
      <w:r>
        <w:t>99C.</w:t>
      </w:r>
      <w:r>
        <w:tab/>
        <w:t>Application of certain regulations</w:t>
      </w:r>
      <w:r>
        <w:tab/>
      </w:r>
      <w:r>
        <w:fldChar w:fldCharType="begin"/>
      </w:r>
      <w:r>
        <w:instrText xml:space="preserve"> PAGEREF _Toc11744560 \h </w:instrText>
      </w:r>
      <w:r>
        <w:fldChar w:fldCharType="separate"/>
      </w:r>
      <w:r>
        <w:t>84</w:t>
      </w:r>
      <w:r>
        <w:fldChar w:fldCharType="end"/>
      </w:r>
    </w:p>
    <w:p>
      <w:pPr>
        <w:pStyle w:val="TOC8"/>
        <w:rPr>
          <w:rFonts w:asciiTheme="minorHAnsi" w:eastAsiaTheme="minorEastAsia" w:hAnsiTheme="minorHAnsi" w:cstheme="minorBidi"/>
          <w:szCs w:val="22"/>
        </w:rPr>
      </w:pPr>
      <w:r>
        <w:t>99D.</w:t>
      </w:r>
      <w:r>
        <w:tab/>
        <w:t>Procedures specific to Tribunal proceedings</w:t>
      </w:r>
      <w:r>
        <w:tab/>
      </w:r>
      <w:r>
        <w:fldChar w:fldCharType="begin"/>
      </w:r>
      <w:r>
        <w:instrText xml:space="preserve"> PAGEREF _Toc11744561 \h </w:instrText>
      </w:r>
      <w:r>
        <w:fldChar w:fldCharType="separate"/>
      </w:r>
      <w:r>
        <w:t>85</w:t>
      </w:r>
      <w:r>
        <w:fldChar w:fldCharType="end"/>
      </w:r>
    </w:p>
    <w:p>
      <w:pPr>
        <w:pStyle w:val="TOC8"/>
        <w:rPr>
          <w:rFonts w:asciiTheme="minorHAnsi" w:eastAsiaTheme="minorEastAsia" w:hAnsiTheme="minorHAnsi" w:cstheme="minorBidi"/>
          <w:szCs w:val="22"/>
        </w:rPr>
      </w:pPr>
      <w:r>
        <w:t>99E.</w:t>
      </w:r>
      <w:r>
        <w:tab/>
        <w:t>Chief Commissioner may approve modified form of summons</w:t>
      </w:r>
      <w:r>
        <w:tab/>
      </w:r>
      <w:r>
        <w:fldChar w:fldCharType="begin"/>
      </w:r>
      <w:r>
        <w:instrText xml:space="preserve"> PAGEREF _Toc11744562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11 — Appeals generally</w:t>
      </w:r>
    </w:p>
    <w:p>
      <w:pPr>
        <w:pStyle w:val="TOC4"/>
        <w:tabs>
          <w:tab w:val="right" w:leader="dot" w:pos="7077"/>
        </w:tabs>
        <w:rPr>
          <w:rFonts w:asciiTheme="minorHAnsi" w:eastAsiaTheme="minorEastAsia" w:hAnsiTheme="minorHAnsi" w:cstheme="minorBidi"/>
          <w:b w:val="0"/>
          <w:szCs w:val="22"/>
        </w:rPr>
      </w:pPr>
      <w:r>
        <w:t>Division 1 — Appeals to Commission</w:t>
      </w:r>
    </w:p>
    <w:p>
      <w:pPr>
        <w:pStyle w:val="TOC8"/>
        <w:rPr>
          <w:rFonts w:asciiTheme="minorHAnsi" w:eastAsiaTheme="minorEastAsia" w:hAnsiTheme="minorHAnsi" w:cstheme="minorBidi"/>
          <w:szCs w:val="22"/>
        </w:rPr>
      </w:pPr>
      <w:r>
        <w:t>100.</w:t>
      </w:r>
      <w:r>
        <w:tab/>
        <w:t>Appeals under section 97VM</w:t>
      </w:r>
      <w:r>
        <w:tab/>
      </w:r>
      <w:r>
        <w:fldChar w:fldCharType="begin"/>
      </w:r>
      <w:r>
        <w:instrText xml:space="preserve"> PAGEREF _Toc11744565 \h </w:instrText>
      </w:r>
      <w:r>
        <w:fldChar w:fldCharType="separate"/>
      </w:r>
      <w:r>
        <w:t>87</w:t>
      </w:r>
      <w:r>
        <w:fldChar w:fldCharType="end"/>
      </w:r>
    </w:p>
    <w:p>
      <w:pPr>
        <w:pStyle w:val="TOC8"/>
        <w:rPr>
          <w:rFonts w:asciiTheme="minorHAnsi" w:eastAsiaTheme="minorEastAsia" w:hAnsiTheme="minorHAnsi" w:cstheme="minorBidi"/>
          <w:szCs w:val="22"/>
        </w:rPr>
      </w:pPr>
      <w:r>
        <w:t>101.</w:t>
      </w:r>
      <w:r>
        <w:tab/>
        <w:t xml:space="preserve">Appeal under </w:t>
      </w:r>
      <w:r>
        <w:rPr>
          <w:i/>
        </w:rPr>
        <w:t>Vocational Education and Training Act 1996</w:t>
      </w:r>
      <w:r>
        <w:tab/>
      </w:r>
      <w:r>
        <w:fldChar w:fldCharType="begin"/>
      </w:r>
      <w:r>
        <w:instrText xml:space="preserve"> PAGEREF _Toc11744566 \h </w:instrText>
      </w:r>
      <w:r>
        <w:fldChar w:fldCharType="separate"/>
      </w:r>
      <w:r>
        <w:t>87</w:t>
      </w:r>
      <w:r>
        <w:fldChar w:fldCharType="end"/>
      </w:r>
    </w:p>
    <w:p>
      <w:pPr>
        <w:pStyle w:val="TOC8"/>
        <w:rPr>
          <w:rFonts w:asciiTheme="minorHAnsi" w:eastAsiaTheme="minorEastAsia" w:hAnsiTheme="minorHAnsi" w:cstheme="minorBidi"/>
          <w:szCs w:val="22"/>
        </w:rPr>
      </w:pPr>
      <w:r>
        <w:t>102A.</w:t>
      </w:r>
      <w:r>
        <w:tab/>
        <w:t>Review of decisions of Construction Industry Long Service Leave Payments Board</w:t>
      </w:r>
      <w:r>
        <w:tab/>
      </w:r>
      <w:r>
        <w:fldChar w:fldCharType="begin"/>
      </w:r>
      <w:r>
        <w:instrText xml:space="preserve"> PAGEREF _Toc11744567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 — Appeals to Full Bench</w:t>
      </w:r>
    </w:p>
    <w:p>
      <w:pPr>
        <w:pStyle w:val="TOC8"/>
        <w:rPr>
          <w:rFonts w:asciiTheme="minorHAnsi" w:eastAsiaTheme="minorEastAsia" w:hAnsiTheme="minorHAnsi" w:cstheme="minorBidi"/>
          <w:szCs w:val="22"/>
        </w:rPr>
      </w:pPr>
      <w:r>
        <w:t>102.</w:t>
      </w:r>
      <w:r>
        <w:tab/>
      </w:r>
      <w:r>
        <w:rPr>
          <w:snapToGrid w:val="0"/>
        </w:rPr>
        <w:t>Appeals to Full Bench</w:t>
      </w:r>
      <w:r>
        <w:tab/>
      </w:r>
      <w:r>
        <w:fldChar w:fldCharType="begin"/>
      </w:r>
      <w:r>
        <w:instrText xml:space="preserve"> PAGEREF _Toc11744569 \h </w:instrText>
      </w:r>
      <w:r>
        <w:fldChar w:fldCharType="separate"/>
      </w:r>
      <w:r>
        <w:t>89</w:t>
      </w:r>
      <w:r>
        <w:fldChar w:fldCharType="end"/>
      </w:r>
    </w:p>
    <w:p>
      <w:pPr>
        <w:pStyle w:val="TOC8"/>
        <w:rPr>
          <w:rFonts w:asciiTheme="minorHAnsi" w:eastAsiaTheme="minorEastAsia" w:hAnsiTheme="minorHAnsi" w:cstheme="minorBidi"/>
          <w:szCs w:val="22"/>
        </w:rPr>
      </w:pPr>
      <w:r>
        <w:t>103.</w:t>
      </w:r>
      <w:r>
        <w:tab/>
      </w:r>
      <w:r>
        <w:rPr>
          <w:snapToGrid w:val="0"/>
        </w:rPr>
        <w:t>Procedure for listing matters before Full Bench</w:t>
      </w:r>
      <w:r>
        <w:tab/>
      </w:r>
      <w:r>
        <w:fldChar w:fldCharType="begin"/>
      </w:r>
      <w:r>
        <w:instrText xml:space="preserve"> PAGEREF _Toc11744570 \h </w:instrText>
      </w:r>
      <w:r>
        <w:fldChar w:fldCharType="separate"/>
      </w:r>
      <w:r>
        <w:t>92</w:t>
      </w:r>
      <w:r>
        <w:fldChar w:fldCharType="end"/>
      </w:r>
    </w:p>
    <w:p>
      <w:pPr>
        <w:pStyle w:val="TOC8"/>
        <w:rPr>
          <w:rFonts w:asciiTheme="minorHAnsi" w:eastAsiaTheme="minorEastAsia" w:hAnsiTheme="minorHAnsi" w:cstheme="minorBidi"/>
          <w:szCs w:val="22"/>
        </w:rPr>
      </w:pPr>
      <w:r>
        <w:t>103A.</w:t>
      </w:r>
      <w:r>
        <w:tab/>
        <w:t>Discontinuance of appeal to Full Bench</w:t>
      </w:r>
      <w:r>
        <w:tab/>
      </w:r>
      <w:r>
        <w:fldChar w:fldCharType="begin"/>
      </w:r>
      <w:r>
        <w:instrText xml:space="preserve"> PAGEREF _Toc11744571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12 — Public service arbitration</w:t>
      </w:r>
    </w:p>
    <w:p>
      <w:pPr>
        <w:pStyle w:val="TOC8"/>
        <w:rPr>
          <w:rFonts w:asciiTheme="minorHAnsi" w:eastAsiaTheme="minorEastAsia" w:hAnsiTheme="minorHAnsi" w:cstheme="minorBidi"/>
          <w:szCs w:val="22"/>
        </w:rPr>
      </w:pPr>
      <w:r>
        <w:t>105.</w:t>
      </w:r>
      <w:r>
        <w:tab/>
      </w:r>
      <w:r>
        <w:rPr>
          <w:snapToGrid w:val="0"/>
        </w:rPr>
        <w:t>Terms used</w:t>
      </w:r>
      <w:r>
        <w:tab/>
      </w:r>
      <w:r>
        <w:fldChar w:fldCharType="begin"/>
      </w:r>
      <w:r>
        <w:instrText xml:space="preserve"> PAGEREF _Toc11744573 \h </w:instrText>
      </w:r>
      <w:r>
        <w:fldChar w:fldCharType="separate"/>
      </w:r>
      <w:r>
        <w:t>94</w:t>
      </w:r>
      <w:r>
        <w:fldChar w:fldCharType="end"/>
      </w:r>
    </w:p>
    <w:p>
      <w:pPr>
        <w:pStyle w:val="TOC8"/>
        <w:rPr>
          <w:rFonts w:asciiTheme="minorHAnsi" w:eastAsiaTheme="minorEastAsia" w:hAnsiTheme="minorHAnsi" w:cstheme="minorBidi"/>
          <w:szCs w:val="22"/>
        </w:rPr>
      </w:pPr>
      <w:r>
        <w:t>106.</w:t>
      </w:r>
      <w:r>
        <w:tab/>
        <w:t>Reclassification applications</w:t>
      </w:r>
      <w:r>
        <w:tab/>
      </w:r>
      <w:r>
        <w:fldChar w:fldCharType="begin"/>
      </w:r>
      <w:r>
        <w:instrText xml:space="preserve"> PAGEREF _Toc11744574 \h </w:instrText>
      </w:r>
      <w:r>
        <w:fldChar w:fldCharType="separate"/>
      </w:r>
      <w:r>
        <w:t>94</w:t>
      </w:r>
      <w:r>
        <w:fldChar w:fldCharType="end"/>
      </w:r>
    </w:p>
    <w:p>
      <w:pPr>
        <w:pStyle w:val="TOC8"/>
        <w:rPr>
          <w:rFonts w:asciiTheme="minorHAnsi" w:eastAsiaTheme="minorEastAsia" w:hAnsiTheme="minorHAnsi" w:cstheme="minorBidi"/>
          <w:szCs w:val="22"/>
        </w:rPr>
      </w:pPr>
      <w:r>
        <w:t>107.</w:t>
      </w:r>
      <w:r>
        <w:tab/>
      </w:r>
      <w:r>
        <w:rPr>
          <w:snapToGrid w:val="0"/>
        </w:rPr>
        <w:t>Public Service Appeal Board</w:t>
      </w:r>
      <w:r>
        <w:tab/>
      </w:r>
      <w:r>
        <w:fldChar w:fldCharType="begin"/>
      </w:r>
      <w:r>
        <w:instrText xml:space="preserve"> PAGEREF _Toc11744575 \h </w:instrText>
      </w:r>
      <w:r>
        <w:fldChar w:fldCharType="separate"/>
      </w:r>
      <w:r>
        <w:t>94</w:t>
      </w:r>
      <w:r>
        <w:fldChar w:fldCharType="end"/>
      </w:r>
    </w:p>
    <w:p>
      <w:pPr>
        <w:pStyle w:val="TOC8"/>
        <w:rPr>
          <w:rFonts w:asciiTheme="minorHAnsi" w:eastAsiaTheme="minorEastAsia" w:hAnsiTheme="minorHAnsi" w:cstheme="minorBidi"/>
          <w:szCs w:val="22"/>
        </w:rPr>
      </w:pPr>
      <w:r>
        <w:t>108.</w:t>
      </w:r>
      <w:r>
        <w:tab/>
        <w:t>Nomination of agent for claim under s. 80E(2)</w:t>
      </w:r>
      <w:r>
        <w:tab/>
      </w:r>
      <w:r>
        <w:fldChar w:fldCharType="begin"/>
      </w:r>
      <w:r>
        <w:instrText xml:space="preserve"> PAGEREF _Toc11744576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13 — Railways Classification Board</w:t>
      </w:r>
    </w:p>
    <w:p>
      <w:pPr>
        <w:pStyle w:val="TOC8"/>
        <w:rPr>
          <w:rFonts w:asciiTheme="minorHAnsi" w:eastAsiaTheme="minorEastAsia" w:hAnsiTheme="minorHAnsi" w:cstheme="minorBidi"/>
          <w:szCs w:val="22"/>
        </w:rPr>
      </w:pPr>
      <w:r>
        <w:t>109.</w:t>
      </w:r>
      <w:r>
        <w:tab/>
      </w:r>
      <w:r>
        <w:rPr>
          <w:snapToGrid w:val="0"/>
        </w:rPr>
        <w:t>Terms used</w:t>
      </w:r>
      <w:r>
        <w:tab/>
      </w:r>
      <w:r>
        <w:fldChar w:fldCharType="begin"/>
      </w:r>
      <w:r>
        <w:instrText xml:space="preserve"> PAGEREF _Toc11744578 \h </w:instrText>
      </w:r>
      <w:r>
        <w:fldChar w:fldCharType="separate"/>
      </w:r>
      <w:r>
        <w:t>97</w:t>
      </w:r>
      <w:r>
        <w:fldChar w:fldCharType="end"/>
      </w:r>
    </w:p>
    <w:p>
      <w:pPr>
        <w:pStyle w:val="TOC8"/>
        <w:rPr>
          <w:rFonts w:asciiTheme="minorHAnsi" w:eastAsiaTheme="minorEastAsia" w:hAnsiTheme="minorHAnsi" w:cstheme="minorBidi"/>
          <w:szCs w:val="22"/>
        </w:rPr>
      </w:pPr>
      <w:r>
        <w:t>110.</w:t>
      </w:r>
      <w:r>
        <w:tab/>
      </w:r>
      <w:r>
        <w:rPr>
          <w:snapToGrid w:val="0"/>
        </w:rPr>
        <w:t>Number of copies of documents for Board</w:t>
      </w:r>
      <w:r>
        <w:tab/>
      </w:r>
      <w:r>
        <w:fldChar w:fldCharType="begin"/>
      </w:r>
      <w:r>
        <w:instrText xml:space="preserve"> PAGEREF _Toc11744579 \h </w:instrText>
      </w:r>
      <w:r>
        <w:fldChar w:fldCharType="separate"/>
      </w:r>
      <w:r>
        <w:t>97</w:t>
      </w:r>
      <w:r>
        <w:fldChar w:fldCharType="end"/>
      </w:r>
    </w:p>
    <w:p>
      <w:pPr>
        <w:pStyle w:val="TOC8"/>
        <w:rPr>
          <w:rFonts w:asciiTheme="minorHAnsi" w:eastAsiaTheme="minorEastAsia" w:hAnsiTheme="minorHAnsi" w:cstheme="minorBidi"/>
          <w:szCs w:val="22"/>
        </w:rPr>
      </w:pPr>
      <w:r>
        <w:t>111.</w:t>
      </w:r>
      <w:r>
        <w:tab/>
      </w:r>
      <w:r>
        <w:rPr>
          <w:snapToGrid w:val="0"/>
        </w:rPr>
        <w:t>Classification appeals</w:t>
      </w:r>
      <w:r>
        <w:tab/>
      </w:r>
      <w:r>
        <w:fldChar w:fldCharType="begin"/>
      </w:r>
      <w:r>
        <w:instrText xml:space="preserve"> PAGEREF _Toc11744580 \h </w:instrText>
      </w:r>
      <w:r>
        <w:fldChar w:fldCharType="separate"/>
      </w:r>
      <w:r>
        <w:t>97</w:t>
      </w:r>
      <w:r>
        <w:fldChar w:fldCharType="end"/>
      </w:r>
    </w:p>
    <w:p>
      <w:pPr>
        <w:pStyle w:val="TOC8"/>
        <w:rPr>
          <w:rFonts w:asciiTheme="minorHAnsi" w:eastAsiaTheme="minorEastAsia" w:hAnsiTheme="minorHAnsi" w:cstheme="minorBidi"/>
          <w:szCs w:val="22"/>
        </w:rPr>
      </w:pPr>
      <w:r>
        <w:t>112.</w:t>
      </w:r>
      <w:r>
        <w:tab/>
      </w:r>
      <w:r>
        <w:rPr>
          <w:snapToGrid w:val="0"/>
        </w:rPr>
        <w:t>Nomination of agent for appeal of claim under section 80R(2)</w:t>
      </w:r>
      <w:r>
        <w:tab/>
      </w:r>
      <w:r>
        <w:fldChar w:fldCharType="begin"/>
      </w:r>
      <w:r>
        <w:instrText xml:space="preserve"> PAGEREF _Toc11744581 \h </w:instrText>
      </w:r>
      <w:r>
        <w:fldChar w:fldCharType="separate"/>
      </w:r>
      <w:r>
        <w:t>98</w:t>
      </w:r>
      <w:r>
        <w:fldChar w:fldCharType="end"/>
      </w:r>
    </w:p>
    <w:p>
      <w:pPr>
        <w:pStyle w:val="TOC8"/>
        <w:rPr>
          <w:rFonts w:asciiTheme="minorHAnsi" w:eastAsiaTheme="minorEastAsia" w:hAnsiTheme="minorHAnsi" w:cstheme="minorBidi"/>
          <w:szCs w:val="22"/>
        </w:rPr>
      </w:pPr>
      <w:r>
        <w:t>113.</w:t>
      </w:r>
      <w:r>
        <w:tab/>
      </w:r>
      <w:r>
        <w:rPr>
          <w:snapToGrid w:val="0"/>
        </w:rPr>
        <w:t>Conferences</w:t>
      </w:r>
      <w:r>
        <w:tab/>
      </w:r>
      <w:r>
        <w:fldChar w:fldCharType="begin"/>
      </w:r>
      <w:r>
        <w:instrText xml:space="preserve"> PAGEREF _Toc11744582 \h </w:instrText>
      </w:r>
      <w:r>
        <w:fldChar w:fldCharType="separate"/>
      </w:r>
      <w:r>
        <w:t>98</w:t>
      </w:r>
      <w:r>
        <w:fldChar w:fldCharType="end"/>
      </w:r>
    </w:p>
    <w:p>
      <w:pPr>
        <w:pStyle w:val="TOC8"/>
        <w:rPr>
          <w:rFonts w:asciiTheme="minorHAnsi" w:eastAsiaTheme="minorEastAsia" w:hAnsiTheme="minorHAnsi" w:cstheme="minorBidi"/>
          <w:szCs w:val="22"/>
        </w:rPr>
      </w:pPr>
      <w:r>
        <w:t>114.</w:t>
      </w:r>
      <w:r>
        <w:tab/>
      </w:r>
      <w:r>
        <w:rPr>
          <w:snapToGrid w:val="0"/>
        </w:rPr>
        <w:t>Chambers</w:t>
      </w:r>
      <w:r>
        <w:tab/>
      </w:r>
      <w:r>
        <w:fldChar w:fldCharType="begin"/>
      </w:r>
      <w:r>
        <w:instrText xml:space="preserve"> PAGEREF _Toc11744583 \h </w:instrText>
      </w:r>
      <w:r>
        <w:fldChar w:fldCharType="separate"/>
      </w:r>
      <w:r>
        <w:t>98</w:t>
      </w:r>
      <w:r>
        <w:fldChar w:fldCharType="end"/>
      </w:r>
    </w:p>
    <w:p>
      <w:pPr>
        <w:pStyle w:val="TOC8"/>
        <w:rPr>
          <w:rFonts w:asciiTheme="minorHAnsi" w:eastAsiaTheme="minorEastAsia" w:hAnsiTheme="minorHAnsi" w:cstheme="minorBidi"/>
          <w:szCs w:val="22"/>
        </w:rPr>
      </w:pPr>
      <w:r>
        <w:t>115.</w:t>
      </w:r>
      <w:r>
        <w:tab/>
      </w:r>
      <w:r>
        <w:rPr>
          <w:snapToGrid w:val="0"/>
        </w:rPr>
        <w:t>Service on Public Transport Authority</w:t>
      </w:r>
      <w:r>
        <w:tab/>
      </w:r>
      <w:r>
        <w:fldChar w:fldCharType="begin"/>
      </w:r>
      <w:r>
        <w:instrText xml:space="preserve"> PAGEREF _Toc11744584 \h </w:instrText>
      </w:r>
      <w:r>
        <w:fldChar w:fldCharType="separate"/>
      </w:r>
      <w:r>
        <w:t>98</w:t>
      </w:r>
      <w:r>
        <w:fldChar w:fldCharType="end"/>
      </w:r>
    </w:p>
    <w:p>
      <w:pPr>
        <w:pStyle w:val="TOC8"/>
        <w:rPr>
          <w:rFonts w:asciiTheme="minorHAnsi" w:eastAsiaTheme="minorEastAsia" w:hAnsiTheme="minorHAnsi" w:cstheme="minorBidi"/>
          <w:szCs w:val="22"/>
        </w:rPr>
      </w:pPr>
      <w:r>
        <w:t>116.</w:t>
      </w:r>
      <w:r>
        <w:tab/>
      </w:r>
      <w:r>
        <w:rPr>
          <w:snapToGrid w:val="0"/>
        </w:rPr>
        <w:t>Directions</w:t>
      </w:r>
      <w:r>
        <w:tab/>
      </w:r>
      <w:r>
        <w:fldChar w:fldCharType="begin"/>
      </w:r>
      <w:r>
        <w:instrText xml:space="preserve"> PAGEREF _Toc11744585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14 — Miscellaneous</w:t>
      </w:r>
    </w:p>
    <w:p>
      <w:pPr>
        <w:pStyle w:val="TOC8"/>
        <w:rPr>
          <w:rFonts w:asciiTheme="minorHAnsi" w:eastAsiaTheme="minorEastAsia" w:hAnsiTheme="minorHAnsi" w:cstheme="minorBidi"/>
          <w:szCs w:val="22"/>
        </w:rPr>
      </w:pPr>
      <w:r>
        <w:t>117.</w:t>
      </w:r>
      <w:r>
        <w:tab/>
      </w:r>
      <w:r>
        <w:rPr>
          <w:snapToGrid w:val="0"/>
        </w:rPr>
        <w:t>Nomination of employees’ representative</w:t>
      </w:r>
      <w:r>
        <w:tab/>
      </w:r>
      <w:r>
        <w:fldChar w:fldCharType="begin"/>
      </w:r>
      <w:r>
        <w:instrText xml:space="preserve"> PAGEREF _Toc11744587 \h </w:instrText>
      </w:r>
      <w:r>
        <w:fldChar w:fldCharType="separate"/>
      </w:r>
      <w:r>
        <w:t>99</w:t>
      </w:r>
      <w:r>
        <w:fldChar w:fldCharType="end"/>
      </w:r>
    </w:p>
    <w:p>
      <w:pPr>
        <w:pStyle w:val="TOC8"/>
        <w:rPr>
          <w:rFonts w:asciiTheme="minorHAnsi" w:eastAsiaTheme="minorEastAsia" w:hAnsiTheme="minorHAnsi" w:cstheme="minorBidi"/>
          <w:szCs w:val="22"/>
        </w:rPr>
      </w:pPr>
      <w:r>
        <w:t>118.</w:t>
      </w:r>
      <w:r>
        <w:tab/>
      </w:r>
      <w:r>
        <w:rPr>
          <w:snapToGrid w:val="0"/>
        </w:rPr>
        <w:t>Appeals from Boards of Reference</w:t>
      </w:r>
      <w:r>
        <w:tab/>
      </w:r>
      <w:r>
        <w:fldChar w:fldCharType="begin"/>
      </w:r>
      <w:r>
        <w:instrText xml:space="preserve"> PAGEREF _Toc11744588 \h </w:instrText>
      </w:r>
      <w:r>
        <w:fldChar w:fldCharType="separate"/>
      </w:r>
      <w:r>
        <w:t>99</w:t>
      </w:r>
      <w:r>
        <w:fldChar w:fldCharType="end"/>
      </w:r>
    </w:p>
    <w:p>
      <w:pPr>
        <w:pStyle w:val="TOC8"/>
        <w:rPr>
          <w:rFonts w:asciiTheme="minorHAnsi" w:eastAsiaTheme="minorEastAsia" w:hAnsiTheme="minorHAnsi" w:cstheme="minorBidi"/>
          <w:szCs w:val="22"/>
        </w:rPr>
      </w:pPr>
      <w:r>
        <w:t>119.</w:t>
      </w:r>
      <w:r>
        <w:tab/>
      </w:r>
      <w:r>
        <w:rPr>
          <w:snapToGrid w:val="0"/>
        </w:rPr>
        <w:t>Notice of certain orders</w:t>
      </w:r>
      <w:r>
        <w:tab/>
      </w:r>
      <w:r>
        <w:fldChar w:fldCharType="begin"/>
      </w:r>
      <w:r>
        <w:instrText xml:space="preserve"> PAGEREF _Toc11744589 \h </w:instrText>
      </w:r>
      <w:r>
        <w:fldChar w:fldCharType="separate"/>
      </w:r>
      <w:r>
        <w:t>100</w:t>
      </w:r>
      <w:r>
        <w:fldChar w:fldCharType="end"/>
      </w:r>
    </w:p>
    <w:p>
      <w:pPr>
        <w:pStyle w:val="TOC8"/>
        <w:rPr>
          <w:rFonts w:asciiTheme="minorHAnsi" w:eastAsiaTheme="minorEastAsia" w:hAnsiTheme="minorHAnsi" w:cstheme="minorBidi"/>
          <w:szCs w:val="22"/>
        </w:rPr>
      </w:pPr>
      <w:r>
        <w:t>120.</w:t>
      </w:r>
      <w:r>
        <w:tab/>
      </w:r>
      <w:r>
        <w:rPr>
          <w:snapToGrid w:val="0"/>
        </w:rPr>
        <w:t>Remuneration and reimbursement of expenses for members of constituent authorities</w:t>
      </w:r>
      <w:r>
        <w:tab/>
      </w:r>
      <w:r>
        <w:fldChar w:fldCharType="begin"/>
      </w:r>
      <w:r>
        <w:instrText xml:space="preserve"> PAGEREF _Toc11744590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4"/>
        <w:tabs>
          <w:tab w:val="right" w:leader="dot" w:pos="7077"/>
        </w:tabs>
        <w:rPr>
          <w:rFonts w:asciiTheme="minorHAnsi" w:eastAsiaTheme="minorEastAsia" w:hAnsiTheme="minorHAnsi" w:cstheme="minorBidi"/>
          <w:b w:val="0"/>
          <w:szCs w:val="22"/>
        </w:rPr>
      </w:pPr>
      <w:r>
        <w:t>Division 1</w:t>
      </w:r>
      <w:r>
        <w:rPr>
          <w:b w:val="0"/>
        </w:rPr>
        <w:t> — </w:t>
      </w:r>
      <w:r>
        <w:t>Summons</w:t>
      </w:r>
    </w:p>
    <w:p>
      <w:pPr>
        <w:pStyle w:val="TOC4"/>
        <w:tabs>
          <w:tab w:val="right" w:leader="dot" w:pos="7077"/>
        </w:tabs>
        <w:rPr>
          <w:rFonts w:asciiTheme="minorHAnsi" w:eastAsiaTheme="minorEastAsia" w:hAnsiTheme="minorHAnsi" w:cstheme="minorBidi"/>
          <w:b w:val="0"/>
          <w:szCs w:val="22"/>
        </w:rPr>
      </w:pPr>
      <w:r>
        <w:t>Division 2</w:t>
      </w:r>
      <w:r>
        <w:rPr>
          <w:b w:val="0"/>
        </w:rPr>
        <w:t> — </w:t>
      </w:r>
      <w:r>
        <w:t>Notice of intention to retire from industrial agreement</w:t>
      </w:r>
    </w:p>
    <w:p>
      <w:pPr>
        <w:pStyle w:val="TOC4"/>
        <w:tabs>
          <w:tab w:val="right" w:leader="dot" w:pos="7077"/>
        </w:tabs>
        <w:rPr>
          <w:rFonts w:asciiTheme="minorHAnsi" w:eastAsiaTheme="minorEastAsia" w:hAnsiTheme="minorHAnsi" w:cstheme="minorBidi"/>
          <w:b w:val="0"/>
          <w:szCs w:val="22"/>
        </w:rPr>
      </w:pPr>
      <w:r>
        <w:t>Division 3</w:t>
      </w:r>
      <w:r>
        <w:rPr>
          <w:b w:val="0"/>
        </w:rPr>
        <w:t> — </w:t>
      </w:r>
      <w:r>
        <w:t>Application to register organisation or association</w:t>
      </w:r>
    </w:p>
    <w:p>
      <w:pPr>
        <w:pStyle w:val="TOC4"/>
        <w:tabs>
          <w:tab w:val="right" w:leader="dot" w:pos="7077"/>
        </w:tabs>
        <w:rPr>
          <w:rFonts w:asciiTheme="minorHAnsi" w:eastAsiaTheme="minorEastAsia" w:hAnsiTheme="minorHAnsi" w:cstheme="minorBidi"/>
          <w:b w:val="0"/>
          <w:szCs w:val="22"/>
        </w:rPr>
      </w:pPr>
      <w:r>
        <w:t>Division 4</w:t>
      </w:r>
      <w:r>
        <w:rPr>
          <w:b w:val="0"/>
        </w:rPr>
        <w:t> — </w:t>
      </w:r>
      <w:r>
        <w:t>Certificate of registration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_Toc11744597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Industrial Relations Act 1979</w:t>
      </w:r>
    </w:p>
    <w:p>
      <w:pPr>
        <w:pStyle w:val="NameofActReg"/>
        <w:spacing w:before="720" w:after="840"/>
      </w:pPr>
      <w:r>
        <w:t>Industrial Relations Commission Regulations 2005</w:t>
      </w:r>
    </w:p>
    <w:p>
      <w:pPr>
        <w:pStyle w:val="Heading2"/>
        <w:pageBreakBefore w:val="0"/>
        <w:spacing w:before="240"/>
      </w:pPr>
      <w:bookmarkStart w:id="3" w:name="_Toc5352902"/>
      <w:bookmarkStart w:id="4" w:name="_Toc5353531"/>
      <w:bookmarkStart w:id="5" w:name="_Toc8742596"/>
      <w:bookmarkStart w:id="6" w:name="_Toc11053332"/>
      <w:bookmarkStart w:id="7" w:name="_Toc1174441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11744419"/>
      <w:r>
        <w:rPr>
          <w:rStyle w:val="CharSectno"/>
        </w:rPr>
        <w:t>1</w:t>
      </w:r>
      <w:r>
        <w:t>.</w:t>
      </w:r>
      <w:r>
        <w:tab/>
        <w:t>Citation</w:t>
      </w:r>
      <w:bookmarkEnd w:id="8"/>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rPr>
          <w:iCs/>
          <w:vertAlign w:val="superscript"/>
        </w:rPr>
        <w:t> 1</w:t>
      </w:r>
      <w:r>
        <w:t>.</w:t>
      </w:r>
    </w:p>
    <w:p>
      <w:pPr>
        <w:pStyle w:val="Heading5"/>
        <w:rPr>
          <w:spacing w:val="-2"/>
        </w:rPr>
      </w:pPr>
      <w:bookmarkStart w:id="9" w:name="_Toc11744420"/>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10" w:name="_Toc11744421"/>
      <w:r>
        <w:rPr>
          <w:rStyle w:val="CharSectno"/>
        </w:rPr>
        <w:t>3</w:t>
      </w:r>
      <w:r>
        <w:t>.</w:t>
      </w:r>
      <w:r>
        <w:tab/>
      </w:r>
      <w:r>
        <w:rPr>
          <w:snapToGrid w:val="0"/>
        </w:rPr>
        <w:t>Terms used</w:t>
      </w:r>
      <w:bookmarkEnd w:id="10"/>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approved form</w:t>
      </w:r>
      <w:r>
        <w:t xml:space="preserve"> means a form approved by the Chief Commissioner and published on the Commission’s website;</w:t>
      </w:r>
    </w:p>
    <w:p>
      <w:pPr>
        <w:pStyle w:val="Defstart"/>
      </w:pPr>
      <w:r>
        <w:rPr>
          <w:b/>
        </w:rPr>
        <w:tab/>
      </w:r>
      <w:r>
        <w:rPr>
          <w:rStyle w:val="CharDefText"/>
        </w:rPr>
        <w:t>Commission</w:t>
      </w:r>
      <w:r>
        <w:rPr>
          <w:bCs/>
        </w:rPr>
        <w:t>,</w:t>
      </w:r>
      <w:r>
        <w:t xml:space="preserve"> in relation to proceedings, means the Commission as defined in the Act however constituted for the purpose of those proceedings;</w:t>
      </w:r>
    </w:p>
    <w:p>
      <w:pPr>
        <w:pStyle w:val="Defstart"/>
      </w:pPr>
      <w:r>
        <w:rPr>
          <w:b/>
        </w:rPr>
        <w:tab/>
      </w:r>
      <w:r>
        <w:rPr>
          <w:rStyle w:val="CharDefText"/>
        </w:rPr>
        <w:t>electronic document</w:t>
      </w:r>
      <w:r>
        <w:t xml:space="preserve"> means a document that exists in a digital form and is capable of transmission, storage and duplication by electronic means;</w:t>
      </w:r>
    </w:p>
    <w:p>
      <w:pPr>
        <w:pStyle w:val="Defstart"/>
      </w:pPr>
      <w:r>
        <w:rPr>
          <w:b/>
        </w:rPr>
        <w:tab/>
      </w:r>
      <w:r>
        <w:rPr>
          <w:rStyle w:val="CharDefText"/>
        </w:rPr>
        <w:t>Form</w:t>
      </w:r>
      <w:r>
        <w:t xml:space="preserve"> means a form in Schedule 1 and, if followed by a designation, means a form in that Schedule having that designation;</w:t>
      </w:r>
    </w:p>
    <w:p>
      <w:pPr>
        <w:pStyle w:val="Defstart"/>
      </w:pPr>
      <w:r>
        <w:tab/>
      </w:r>
      <w:r>
        <w:rPr>
          <w:rStyle w:val="CharDefText"/>
        </w:rPr>
        <w:t>lodged electronically</w:t>
      </w:r>
      <w:r>
        <w:t>, in relation to a document, means the document is lodged under regulation 5(1) or received at the office of the Registrar by email;</w:t>
      </w:r>
    </w:p>
    <w:p>
      <w:pPr>
        <w:pStyle w:val="Defstart"/>
      </w:pPr>
      <w:r>
        <w:rPr>
          <w:b/>
        </w:rPr>
        <w:tab/>
      </w:r>
      <w:r>
        <w:rPr>
          <w:rStyle w:val="CharDefText"/>
        </w:rPr>
        <w:t>Registrar</w:t>
      </w:r>
      <w:r>
        <w:t xml:space="preserve"> includes a deputy registrar;</w:t>
      </w:r>
    </w:p>
    <w:p>
      <w:pPr>
        <w:pStyle w:val="Defstart"/>
      </w:pPr>
      <w:r>
        <w:rPr>
          <w:b/>
        </w:rPr>
        <w:tab/>
      </w:r>
      <w:r>
        <w:rPr>
          <w:rStyle w:val="CharDefText"/>
        </w:rPr>
        <w:t>writing</w:t>
      </w:r>
      <w:r>
        <w:t xml:space="preserve"> includes an electronic document.</w:t>
      </w:r>
    </w:p>
    <w:p>
      <w:pPr>
        <w:pStyle w:val="Footnotesection"/>
      </w:pPr>
      <w:r>
        <w:tab/>
        <w:t>[Regulation 3 amended: Gazette 5 Mar 2019 p. 585</w:t>
      </w:r>
      <w:r>
        <w:noBreakHyphen/>
        <w:t>6.]</w:t>
      </w:r>
    </w:p>
    <w:p>
      <w:pPr>
        <w:pStyle w:val="Heading2"/>
      </w:pPr>
      <w:bookmarkStart w:id="11" w:name="_Toc5352906"/>
      <w:bookmarkStart w:id="12" w:name="_Toc5353535"/>
      <w:bookmarkStart w:id="13" w:name="_Toc8742600"/>
      <w:bookmarkStart w:id="14" w:name="_Toc11053336"/>
      <w:bookmarkStart w:id="15" w:name="_Toc11744422"/>
      <w:r>
        <w:rPr>
          <w:rStyle w:val="CharPartNo"/>
        </w:rPr>
        <w:t>Part 2</w:t>
      </w:r>
      <w:r>
        <w:rPr>
          <w:rStyle w:val="CharDivNo"/>
        </w:rPr>
        <w:t> </w:t>
      </w:r>
      <w:r>
        <w:t>—</w:t>
      </w:r>
      <w:r>
        <w:rPr>
          <w:rStyle w:val="CharDivText"/>
        </w:rPr>
        <w:t> </w:t>
      </w:r>
      <w:r>
        <w:rPr>
          <w:rStyle w:val="CharPartText"/>
        </w:rPr>
        <w:t>The office of the Registrar</w:t>
      </w:r>
      <w:bookmarkEnd w:id="11"/>
      <w:bookmarkEnd w:id="12"/>
      <w:bookmarkEnd w:id="13"/>
      <w:bookmarkEnd w:id="14"/>
      <w:bookmarkEnd w:id="15"/>
    </w:p>
    <w:p>
      <w:pPr>
        <w:pStyle w:val="Heading5"/>
        <w:rPr>
          <w:snapToGrid w:val="0"/>
        </w:rPr>
      </w:pPr>
      <w:bookmarkStart w:id="16" w:name="_Toc11744423"/>
      <w:r>
        <w:rPr>
          <w:rStyle w:val="CharSectno"/>
        </w:rPr>
        <w:t>4</w:t>
      </w:r>
      <w:r>
        <w:t>.</w:t>
      </w:r>
      <w:r>
        <w:tab/>
      </w:r>
      <w:r>
        <w:rPr>
          <w:snapToGrid w:val="0"/>
        </w:rPr>
        <w:t>Lodging documents</w:t>
      </w:r>
      <w:bookmarkEnd w:id="16"/>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regulations 5 and 6, documents</w:t>
      </w:r>
      <w:r>
        <w:rPr>
          <w:snapToGrid w:val="0"/>
        </w:rPr>
        <w:t xml:space="preserve"> required to be filed or lodged under the Act or these regulations must, unless in a particular case the Commission otherwise expressly approves, be </w:t>
      </w:r>
      <w:r>
        <w:t xml:space="preserve">lodged </w:t>
      </w:r>
      <w:r>
        <w:rPr>
          <w:snapToGrid w:val="0"/>
        </w:rPr>
        <w:t>at a time when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after being informed under subregulation (8), the Registrar is to forward the application with a memorandum to that effect to the Chief Commissioner.</w:t>
      </w:r>
    </w:p>
    <w:p>
      <w:pPr>
        <w:pStyle w:val="Footnotesection"/>
      </w:pPr>
      <w:r>
        <w:tab/>
        <w:t>[Regulation 4 amended: Gazette 28 Apr 2006 p. 1651; 12 Oct 2010 p. 5153; 19 Dec 2018 p. 4837; 5 Mar 2019 p. 586.]</w:t>
      </w:r>
    </w:p>
    <w:p>
      <w:pPr>
        <w:pStyle w:val="Heading5"/>
      </w:pPr>
      <w:bookmarkStart w:id="17" w:name="_Toc11744424"/>
      <w:r>
        <w:rPr>
          <w:rStyle w:val="CharSectno"/>
        </w:rPr>
        <w:t>5</w:t>
      </w:r>
      <w:r>
        <w:t>.</w:t>
      </w:r>
      <w:r>
        <w:tab/>
        <w:t>Lodging and filing documents electronically</w:t>
      </w:r>
      <w:bookmarkEnd w:id="17"/>
    </w:p>
    <w:p>
      <w:pPr>
        <w:pStyle w:val="Subsection"/>
      </w:pPr>
      <w:r>
        <w:tab/>
        <w:t>(1)</w:t>
      </w:r>
      <w:r>
        <w:tab/>
        <w:t xml:space="preserve">Subject to the requirements of the Commission’s website and this regulation a party may lodge a Form electronically by completing the Form on the Commission’s website at </w:t>
      </w:r>
      <w:hyperlink r:id="rId22" w:history="1">
        <w:r>
          <w:rPr>
            <w:rStyle w:val="Hyperlink"/>
          </w:rPr>
          <w:t>http://www.wairc.wa.gov.au</w:t>
        </w:r>
      </w:hyperlink>
      <w:r>
        <w:t>.</w:t>
      </w:r>
    </w:p>
    <w:p>
      <w:pPr>
        <w:pStyle w:val="Subsection"/>
      </w:pPr>
      <w:r>
        <w:tab/>
        <w:t>(2A)</w:t>
      </w:r>
      <w:r>
        <w:tab/>
        <w:t>Any requirement in these regulations for a signature does not apply if a Form is lodged under subregulation (1).</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 and</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the sender’s name, postal address and telephone number; and</w:t>
      </w:r>
    </w:p>
    <w:p>
      <w:pPr>
        <w:pStyle w:val="Indenti"/>
      </w:pPr>
      <w:r>
        <w:tab/>
        <w:t>(ii)</w:t>
      </w:r>
      <w:r>
        <w:tab/>
        <w:t>if applicable, the sender’s document exchange number and email address; and</w:t>
      </w:r>
    </w:p>
    <w:p>
      <w:pPr>
        <w:pStyle w:val="Indenti"/>
      </w:pPr>
      <w:r>
        <w:tab/>
        <w:t>(iii)</w:t>
      </w:r>
      <w:r>
        <w:tab/>
        <w:t>what the sender requests the Registrar do with the document.</w:t>
      </w:r>
    </w:p>
    <w:p>
      <w:pPr>
        <w:pStyle w:val="Ednotesubsection"/>
      </w:pPr>
      <w:r>
        <w:tab/>
        <w:t>[(3)</w:t>
      </w:r>
      <w:r>
        <w:noBreakHyphen/>
        <w:t>(5)</w:t>
      </w:r>
      <w:r>
        <w:tab/>
        <w:t>deleted]</w:t>
      </w:r>
    </w:p>
    <w:p>
      <w:pPr>
        <w:pStyle w:val="Subsection"/>
        <w:keepNext/>
      </w:pPr>
      <w:r>
        <w:tab/>
      </w:r>
      <w:r>
        <w:rPr>
          <w:snapToGrid w:val="0"/>
        </w:rPr>
        <w:t>(6)</w:t>
      </w:r>
      <w:r>
        <w:tab/>
        <w:t>If a document is sent by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(9A)</w:t>
      </w:r>
      <w:r>
        <w:tab/>
        <w:t>Any requirement in these regulations for 2 or more copies of a document to be filed or lodged in the office of the Registrar is taken to have been satisfied if the document is lodged electronically in accordance with these regulations.</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Gazette 28 Apr 2006 p. 1651; 12 Oct 2010 p. 5153; 21 Aug 2015 p. 3337; 5 Mar 2019 p. 586.]</w:t>
      </w:r>
    </w:p>
    <w:p>
      <w:pPr>
        <w:pStyle w:val="Heading5"/>
        <w:rPr>
          <w:snapToGrid w:val="0"/>
        </w:rPr>
      </w:pPr>
      <w:bookmarkStart w:id="18" w:name="_Toc11744425"/>
      <w:r>
        <w:rPr>
          <w:rStyle w:val="CharSectno"/>
        </w:rPr>
        <w:t>6</w:t>
      </w:r>
      <w:r>
        <w:t>.</w:t>
      </w:r>
      <w:r>
        <w:tab/>
      </w:r>
      <w:r>
        <w:rPr>
          <w:snapToGrid w:val="0"/>
        </w:rPr>
        <w:t>Office of Registrar opening hours</w:t>
      </w:r>
      <w:bookmarkEnd w:id="18"/>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 xml:space="preserve">of business </w:t>
      </w:r>
      <w:r>
        <w:t xml:space="preserve">on the days and at the times determined by the Registrar, after consultation with the Chief Commissioner, </w:t>
      </w:r>
      <w:r>
        <w:rPr>
          <w:snapToGrid w:val="0"/>
        </w:rPr>
        <w:t>except on public holidays and on any other days on which public offices are closed.</w:t>
      </w:r>
    </w:p>
    <w:p>
      <w:pPr>
        <w:pStyle w:val="Subsection"/>
        <w:rPr>
          <w:snapToGrid w:val="0"/>
        </w:rPr>
      </w:pPr>
      <w:r>
        <w:rPr>
          <w:snapToGrid w:val="0"/>
        </w:rPr>
        <w:tab/>
        <w:t>(2)</w:t>
      </w:r>
      <w:r>
        <w:rPr>
          <w:snapToGrid w:val="0"/>
        </w:rPr>
        <w:tab/>
        <w:t xml:space="preserve">A </w:t>
      </w:r>
      <w:r>
        <w:t>commissioner</w:t>
      </w:r>
      <w:r>
        <w:rPr>
          <w:snapToGrid w:val="0"/>
        </w:rPr>
        <w:t xml:space="preserve"> or the Registrar may, in special circumstances, direct that the office of the Registrar be open at times outside those </w:t>
      </w:r>
      <w:r>
        <w:t>determined under</w:t>
      </w:r>
      <w:r>
        <w:rPr>
          <w:snapToGrid w:val="0"/>
        </w:rPr>
        <w:t xml:space="preserve"> subregulation (1).</w:t>
      </w:r>
    </w:p>
    <w:p>
      <w:pPr>
        <w:pStyle w:val="Subsection"/>
      </w:pPr>
      <w:r>
        <w:tab/>
        <w:t>(3)</w:t>
      </w:r>
      <w:r>
        <w:tab/>
        <w:t>Subject to subregulation (3A), a document is taken to have been received on a particular day in the office of the Registrar if it is lodged electronically at any time on that day up to and including midnight.</w:t>
      </w:r>
    </w:p>
    <w:p>
      <w:pPr>
        <w:pStyle w:val="Subsection"/>
      </w:pPr>
      <w:r>
        <w:tab/>
        <w:t>(3A)</w:t>
      </w:r>
      <w:r>
        <w:tab/>
        <w:t>If, in accordance with subregulation (3), a document lodged electronically would be received in the office of the Registrar on a Saturday, Sunday or public holiday, the document is taken to have been received in the office of the Registrar on the next day when the office of the Registrar opens to the public for the transaction of business.</w:t>
      </w:r>
    </w:p>
    <w:p>
      <w:pPr>
        <w:pStyle w:val="Subsection"/>
        <w:keepNext/>
      </w:pPr>
      <w:r>
        <w:tab/>
        <w:t>(4)</w:t>
      </w:r>
      <w:r>
        <w:tab/>
        <w:t xml:space="preserve">Opening hours determined under subregulation (1) are to be published on the Commission’s website at </w:t>
      </w:r>
      <w:hyperlink r:id="rId23" w:history="1">
        <w:r>
          <w:rPr>
            <w:rStyle w:val="Hyperlink"/>
          </w:rPr>
          <w:t>http://www.wairc.wa.gov.au</w:t>
        </w:r>
      </w:hyperlink>
      <w:r>
        <w:t>.</w:t>
      </w:r>
    </w:p>
    <w:p>
      <w:pPr>
        <w:pStyle w:val="Footnotesection"/>
      </w:pPr>
      <w:r>
        <w:tab/>
        <w:t>[Regulation 6 amended: Gazette 28 Apr 2006 p. 1651; 12 Oct 2010 p. 5154; 19 Dec 2018 p. 4838; 5 Mar 2019 p. 587.]</w:t>
      </w:r>
    </w:p>
    <w:p>
      <w:pPr>
        <w:pStyle w:val="Heading5"/>
        <w:rPr>
          <w:snapToGrid w:val="0"/>
        </w:rPr>
      </w:pPr>
      <w:bookmarkStart w:id="19" w:name="_Toc11744426"/>
      <w:r>
        <w:rPr>
          <w:rStyle w:val="CharSectno"/>
        </w:rPr>
        <w:t>7</w:t>
      </w:r>
      <w:r>
        <w:t>.</w:t>
      </w:r>
      <w:r>
        <w:tab/>
      </w:r>
      <w:r>
        <w:rPr>
          <w:snapToGrid w:val="0"/>
        </w:rPr>
        <w:t>Procedure by Registrar</w:t>
      </w:r>
      <w:bookmarkEnd w:id="19"/>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pageBreakBefore/>
        <w:spacing w:before="0"/>
        <w:rPr>
          <w:snapToGrid w:val="0"/>
        </w:rPr>
      </w:pPr>
      <w:bookmarkStart w:id="20" w:name="_Toc11744427"/>
      <w:r>
        <w:rPr>
          <w:rStyle w:val="CharSectno"/>
        </w:rPr>
        <w:t>8</w:t>
      </w:r>
      <w:r>
        <w:t>.</w:t>
      </w:r>
      <w:r>
        <w:tab/>
      </w:r>
      <w:r>
        <w:rPr>
          <w:snapToGrid w:val="0"/>
        </w:rPr>
        <w:t>Duties of Registrar in respect of applications</w:t>
      </w:r>
      <w:bookmarkEnd w:id="20"/>
    </w:p>
    <w:p>
      <w:pPr>
        <w:pStyle w:val="Subsection"/>
      </w:pPr>
      <w:r>
        <w:tab/>
        <w:t>(1)</w:t>
      </w:r>
      <w:r>
        <w:tab/>
        <w:t>The Registrar is to take such action in respect of applications to the Commission as the Chief Commissioner,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 xml:space="preserve">Unless in any particular case the Chief </w:t>
      </w:r>
      <w:r>
        <w:t>Commissioner</w:t>
      </w:r>
      <w:r>
        <w:rPr>
          <w:snapToGrid w:val="0"/>
        </w:rPr>
        <w:t xml:space="preserve">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Footnotesection"/>
      </w:pPr>
      <w:r>
        <w:tab/>
        <w:t>[Regulation 8 amended: Gazette 19 Dec 2018 p. 4838.]</w:t>
      </w:r>
    </w:p>
    <w:p>
      <w:pPr>
        <w:pStyle w:val="Heading5"/>
        <w:rPr>
          <w:snapToGrid w:val="0"/>
        </w:rPr>
      </w:pPr>
      <w:bookmarkStart w:id="21" w:name="_Toc11744428"/>
      <w:r>
        <w:rPr>
          <w:rStyle w:val="CharSectno"/>
        </w:rPr>
        <w:t>9</w:t>
      </w:r>
      <w:r>
        <w:t>.</w:t>
      </w:r>
      <w:r>
        <w:tab/>
      </w:r>
      <w:r>
        <w:rPr>
          <w:snapToGrid w:val="0"/>
        </w:rPr>
        <w:t>Direction to Registrar to investigate and report</w:t>
      </w:r>
      <w:bookmarkEnd w:id="21"/>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22" w:name="_Toc11744429"/>
      <w:r>
        <w:rPr>
          <w:rStyle w:val="CharSectno"/>
        </w:rPr>
        <w:t>10</w:t>
      </w:r>
      <w:r>
        <w:t>.</w:t>
      </w:r>
      <w:r>
        <w:tab/>
      </w:r>
      <w:r>
        <w:rPr>
          <w:snapToGrid w:val="0"/>
        </w:rPr>
        <w:t>Stamp of Commission</w:t>
      </w:r>
      <w:bookmarkEnd w:id="22"/>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23" w:name="_Toc11744430"/>
      <w:r>
        <w:rPr>
          <w:rStyle w:val="CharSectno"/>
        </w:rPr>
        <w:t>11</w:t>
      </w:r>
      <w:r>
        <w:t>.</w:t>
      </w:r>
      <w:r>
        <w:tab/>
      </w:r>
      <w:r>
        <w:rPr>
          <w:snapToGrid w:val="0"/>
        </w:rPr>
        <w:t>Seal of Commission</w:t>
      </w:r>
      <w:bookmarkEnd w:id="23"/>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24" w:name="_Toc11744431"/>
      <w:r>
        <w:rPr>
          <w:rStyle w:val="CharSectno"/>
        </w:rPr>
        <w:t>12</w:t>
      </w:r>
      <w:r>
        <w:t>.</w:t>
      </w:r>
      <w:r>
        <w:tab/>
      </w:r>
      <w:r>
        <w:rPr>
          <w:snapToGrid w:val="0"/>
        </w:rPr>
        <w:t>Publication of information and notices</w:t>
      </w:r>
      <w:bookmarkEnd w:id="24"/>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w:t>
      </w:r>
      <w:r>
        <w:t>commissioner.</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Footnotesection"/>
      </w:pPr>
      <w:r>
        <w:tab/>
        <w:t>[Regulation 12 amended: Gazette 19 Dec 2018 p. 4838.]</w:t>
      </w:r>
    </w:p>
    <w:p>
      <w:pPr>
        <w:pStyle w:val="Heading2"/>
      </w:pPr>
      <w:bookmarkStart w:id="25" w:name="_Toc5352916"/>
      <w:bookmarkStart w:id="26" w:name="_Toc5353545"/>
      <w:bookmarkStart w:id="27" w:name="_Toc8742610"/>
      <w:bookmarkStart w:id="28" w:name="_Toc11053346"/>
      <w:bookmarkStart w:id="29" w:name="_Toc11744432"/>
      <w:r>
        <w:rPr>
          <w:rStyle w:val="CharPartNo"/>
        </w:rPr>
        <w:t>Part 3</w:t>
      </w:r>
      <w:r>
        <w:t> — </w:t>
      </w:r>
      <w:r>
        <w:rPr>
          <w:rStyle w:val="CharPartText"/>
        </w:rPr>
        <w:t>Conduct of proceedings</w:t>
      </w:r>
      <w:bookmarkEnd w:id="25"/>
      <w:bookmarkEnd w:id="26"/>
      <w:bookmarkEnd w:id="27"/>
      <w:bookmarkEnd w:id="28"/>
      <w:bookmarkEnd w:id="29"/>
    </w:p>
    <w:p>
      <w:pPr>
        <w:pStyle w:val="Heading3"/>
      </w:pPr>
      <w:bookmarkStart w:id="30" w:name="_Toc5352917"/>
      <w:bookmarkStart w:id="31" w:name="_Toc5353546"/>
      <w:bookmarkStart w:id="32" w:name="_Toc8742611"/>
      <w:bookmarkStart w:id="33" w:name="_Toc11053347"/>
      <w:bookmarkStart w:id="34" w:name="_Toc11744433"/>
      <w:r>
        <w:rPr>
          <w:rStyle w:val="CharDivNo"/>
        </w:rPr>
        <w:t>Division 1</w:t>
      </w:r>
      <w:r>
        <w:t> — </w:t>
      </w:r>
      <w:r>
        <w:rPr>
          <w:rStyle w:val="CharDivText"/>
        </w:rPr>
        <w:t>Notice of application, response and parties</w:t>
      </w:r>
      <w:bookmarkEnd w:id="30"/>
      <w:bookmarkEnd w:id="31"/>
      <w:bookmarkEnd w:id="32"/>
      <w:bookmarkEnd w:id="33"/>
      <w:bookmarkEnd w:id="34"/>
    </w:p>
    <w:p>
      <w:pPr>
        <w:pStyle w:val="Footnoteheading"/>
      </w:pPr>
      <w:r>
        <w:tab/>
        <w:t>[Heading amended: Gazette 5 Mar 2019 p. 619.]</w:t>
      </w:r>
    </w:p>
    <w:p>
      <w:pPr>
        <w:pStyle w:val="Heading5"/>
        <w:rPr>
          <w:snapToGrid w:val="0"/>
        </w:rPr>
      </w:pPr>
      <w:bookmarkStart w:id="35" w:name="_Toc11744434"/>
      <w:r>
        <w:rPr>
          <w:rStyle w:val="CharSectno"/>
        </w:rPr>
        <w:t>13</w:t>
      </w:r>
      <w:r>
        <w:t>.</w:t>
      </w:r>
      <w:r>
        <w:tab/>
      </w:r>
      <w:r>
        <w:rPr>
          <w:snapToGrid w:val="0"/>
        </w:rPr>
        <w:t>Applications to Commission</w:t>
      </w:r>
      <w:bookmarkEnd w:id="35"/>
    </w:p>
    <w:p>
      <w:pPr>
        <w:pStyle w:val="Subsection"/>
        <w:rPr>
          <w:snapToGrid w:val="0"/>
        </w:rPr>
      </w:pPr>
      <w:r>
        <w:rPr>
          <w:snapToGrid w:val="0"/>
        </w:rPr>
        <w:tab/>
        <w:t>(1)</w:t>
      </w:r>
      <w:r>
        <w:rPr>
          <w:snapToGrid w:val="0"/>
        </w:rPr>
        <w:tab/>
      </w:r>
      <w:r>
        <w:t xml:space="preserve">Except </w:t>
      </w:r>
      <w:r>
        <w:rPr>
          <w:snapToGrid w:val="0"/>
        </w:rPr>
        <w:t xml:space="preserve">as otherwise provided by the Act or by these regulations proceedings before the Commission however constituted may be commenced by notice of application in the </w:t>
      </w:r>
      <w:r>
        <w:t>approved form</w:t>
      </w:r>
      <w:r>
        <w:rPr>
          <w:snapToGrid w:val="0"/>
        </w:rPr>
        <w:t xml:space="preserve">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deleted]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 and</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 xml:space="preserve">Subject to subregulation (5), on receiving an application the Registrar is to endorse on the notice of application whether </w:t>
      </w:r>
      <w:r>
        <w:t>a response</w:t>
      </w:r>
      <w:r>
        <w:rPr>
          <w:snapToGrid w:val="0"/>
        </w:rPr>
        <w:t xml:space="preserve"> under regulation 14 is required within the time required by subregulation (6).</w:t>
      </w:r>
    </w:p>
    <w:p>
      <w:pPr>
        <w:pStyle w:val="Subsection"/>
        <w:rPr>
          <w:snapToGrid w:val="0"/>
        </w:rPr>
      </w:pPr>
      <w:r>
        <w:rPr>
          <w:snapToGrid w:val="0"/>
        </w:rPr>
        <w:tab/>
        <w:t>(5)</w:t>
      </w:r>
      <w:r>
        <w:rPr>
          <w:snapToGrid w:val="0"/>
        </w:rPr>
        <w:tab/>
        <w:t xml:space="preserve">The applicant may make an application to the Commission for a shortened time for </w:t>
      </w:r>
      <w:r>
        <w:t>responses</w:t>
      </w:r>
      <w:r>
        <w:rPr>
          <w:snapToGrid w:val="0"/>
        </w:rPr>
        <w:t xml:space="preserve"> in which case the copies of the application required to be lodged by these regulations are not to be returned to the applicant until the application for shortened time for </w:t>
      </w:r>
      <w:r>
        <w:t>responses</w:t>
      </w:r>
      <w:r>
        <w:rPr>
          <w:snapToGrid w:val="0"/>
        </w:rPr>
        <w:t xml:space="preserve"> has been determined by the Commission.</w:t>
      </w:r>
    </w:p>
    <w:p>
      <w:pPr>
        <w:pStyle w:val="Subsection"/>
        <w:rPr>
          <w:snapToGrid w:val="0"/>
        </w:rPr>
      </w:pPr>
      <w:r>
        <w:rPr>
          <w:snapToGrid w:val="0"/>
        </w:rPr>
        <w:tab/>
        <w:t>(6)</w:t>
      </w:r>
      <w:r>
        <w:rPr>
          <w:snapToGrid w:val="0"/>
        </w:rPr>
        <w:tab/>
        <w:t xml:space="preserve">Subject to these regulations or the direction of the Commission otherwise, the time required for filing any </w:t>
      </w:r>
      <w:r>
        <w:t>response</w:t>
      </w:r>
      <w:r>
        <w:rPr>
          <w:snapToGrid w:val="0"/>
        </w:rPr>
        <w:t xml:space="preserve"> under regulation 14 is 21 days from the date of being served with the notice of application.</w:t>
      </w:r>
    </w:p>
    <w:p>
      <w:pPr>
        <w:pStyle w:val="Subsection"/>
        <w:rPr>
          <w:snapToGrid w:val="0"/>
        </w:rPr>
      </w:pPr>
      <w:r>
        <w:rPr>
          <w:snapToGrid w:val="0"/>
        </w:rPr>
        <w:tab/>
        <w:t>(7)</w:t>
      </w:r>
      <w:r>
        <w:rPr>
          <w:snapToGrid w:val="0"/>
        </w:rPr>
        <w:tab/>
        <w:t xml:space="preserve">An application to shorten the time for filing </w:t>
      </w:r>
      <w:r>
        <w:t>a response</w:t>
      </w:r>
      <w:r>
        <w:rPr>
          <w:snapToGrid w:val="0"/>
        </w:rPr>
        <w:t xml:space="preserve"> need not be served on the respondent and is to be determined by the Commission after making such inquiries as it considers appropriate in the circumstances of the case.</w:t>
      </w:r>
    </w:p>
    <w:p>
      <w:pPr>
        <w:pStyle w:val="Footnotesection"/>
      </w:pPr>
      <w:r>
        <w:tab/>
        <w:t>[Regulation 13 amended: Gazette 28 Apr 2006 p. 1651; 5 Mar 2019 p. 619 and 622.]</w:t>
      </w:r>
    </w:p>
    <w:p>
      <w:pPr>
        <w:pStyle w:val="Heading5"/>
        <w:rPr>
          <w:snapToGrid w:val="0"/>
        </w:rPr>
      </w:pPr>
      <w:bookmarkStart w:id="36" w:name="_Toc11744435"/>
      <w:r>
        <w:rPr>
          <w:rStyle w:val="CharSectno"/>
        </w:rPr>
        <w:t>14</w:t>
      </w:r>
      <w:r>
        <w:t>.</w:t>
      </w:r>
      <w:r>
        <w:tab/>
        <w:t>Response</w:t>
      </w:r>
      <w:bookmarkEnd w:id="36"/>
    </w:p>
    <w:p>
      <w:pPr>
        <w:pStyle w:val="Subsection"/>
        <w:rPr>
          <w:snapToGrid w:val="0"/>
        </w:rPr>
      </w:pPr>
      <w:r>
        <w:tab/>
      </w:r>
      <w:r>
        <w:tab/>
      </w:r>
      <w:r>
        <w:rPr>
          <w:snapToGrid w:val="0"/>
        </w:rPr>
        <w:t xml:space="preserve">A </w:t>
      </w:r>
      <w:r>
        <w:t>response</w:t>
      </w:r>
      <w:r>
        <w:rPr>
          <w:snapToGrid w:val="0"/>
        </w:rPr>
        <w:t xml:space="preserve"> must be in the </w:t>
      </w:r>
      <w:r>
        <w:t>approved form</w:t>
      </w:r>
      <w:r>
        <w:rPr>
          <w:snapToGrid w:val="0"/>
        </w:rPr>
        <w:t xml:space="preserve"> and must specify with particularity </w:t>
      </w:r>
      <w:r>
        <w:t>the response</w:t>
      </w:r>
      <w:r>
        <w:rPr>
          <w:snapToGrid w:val="0"/>
        </w:rPr>
        <w:t xml:space="preserve"> and the basis on which it is given.</w:t>
      </w:r>
    </w:p>
    <w:p>
      <w:pPr>
        <w:pStyle w:val="Footnotesection"/>
      </w:pPr>
      <w:r>
        <w:tab/>
        <w:t>[Regulation 14 inserted: Gazette 4 Jul 2014 p. 2389; amended: Gazette 5 Mar 2019 p. 619</w:t>
      </w:r>
      <w:r>
        <w:noBreakHyphen/>
        <w:t>20 and 622.]</w:t>
      </w:r>
    </w:p>
    <w:p>
      <w:pPr>
        <w:pStyle w:val="Heading5"/>
        <w:rPr>
          <w:snapToGrid w:val="0"/>
        </w:rPr>
      </w:pPr>
      <w:bookmarkStart w:id="37" w:name="_Toc11744436"/>
      <w:r>
        <w:rPr>
          <w:rStyle w:val="CharSectno"/>
        </w:rPr>
        <w:t>15</w:t>
      </w:r>
      <w:r>
        <w:t>.</w:t>
      </w:r>
      <w:r>
        <w:tab/>
      </w:r>
      <w:r>
        <w:rPr>
          <w:snapToGrid w:val="0"/>
        </w:rPr>
        <w:t>General form of objection</w:t>
      </w:r>
      <w:bookmarkEnd w:id="37"/>
    </w:p>
    <w:p>
      <w:pPr>
        <w:pStyle w:val="Subsection"/>
        <w:rPr>
          <w:snapToGrid w:val="0"/>
        </w:rPr>
      </w:pPr>
      <w:r>
        <w:rPr>
          <w:snapToGrid w:val="0"/>
        </w:rPr>
        <w:tab/>
        <w:t>(1)</w:t>
      </w:r>
      <w:r>
        <w:rPr>
          <w:snapToGrid w:val="0"/>
        </w:rPr>
        <w:tab/>
        <w:t xml:space="preserve">Except as otherwise provided in the Act or these regulations, a person who is entitled to be heard in objection to any application and who desires to be so heard must file a notice of objection in the </w:t>
      </w:r>
      <w:r>
        <w:t>approved form</w:t>
      </w:r>
      <w:r>
        <w:rPr>
          <w:snapToGrid w:val="0"/>
        </w:rPr>
        <w:t xml:space="preserve">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Footnotesection"/>
      </w:pPr>
      <w:r>
        <w:tab/>
        <w:t>[Regulation 15 amended: Gazette 5 Mar 2019 p. 622.]</w:t>
      </w:r>
    </w:p>
    <w:p>
      <w:pPr>
        <w:pStyle w:val="Heading5"/>
        <w:pageBreakBefore/>
        <w:spacing w:before="0"/>
        <w:rPr>
          <w:snapToGrid w:val="0"/>
        </w:rPr>
      </w:pPr>
      <w:bookmarkStart w:id="38" w:name="_Toc11744437"/>
      <w:r>
        <w:rPr>
          <w:rStyle w:val="CharSectno"/>
        </w:rPr>
        <w:t>16</w:t>
      </w:r>
      <w:r>
        <w:t>.</w:t>
      </w:r>
      <w:r>
        <w:tab/>
        <w:t>Withdrawal or d</w:t>
      </w:r>
      <w:r>
        <w:rPr>
          <w:snapToGrid w:val="0"/>
        </w:rPr>
        <w:t>iscontinuance of application</w:t>
      </w:r>
      <w:bookmarkEnd w:id="38"/>
    </w:p>
    <w:p>
      <w:pPr>
        <w:pStyle w:val="Subsection"/>
        <w:rPr>
          <w:snapToGrid w:val="0"/>
        </w:rPr>
      </w:pPr>
      <w:r>
        <w:rPr>
          <w:snapToGrid w:val="0"/>
        </w:rPr>
        <w:tab/>
        <w:t>(1)</w:t>
      </w:r>
      <w:r>
        <w:rPr>
          <w:snapToGrid w:val="0"/>
        </w:rPr>
        <w:tab/>
        <w:t xml:space="preserve">Subject to subregulation (4) an applicant may withdraw or wholly discontinue an application against any respondent or withdraw any part of the claim contained in the application at any time before it has been set down for hearing by filing a notice in the </w:t>
      </w:r>
      <w:r>
        <w:t>approved form</w:t>
      </w:r>
      <w:r>
        <w:rPr>
          <w:snapToGrid w:val="0"/>
        </w:rPr>
        <w:t xml:space="preserve">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 xml:space="preserve">Where a counter-proposal has been filed in </w:t>
      </w:r>
      <w:r>
        <w:t xml:space="preserve">response </w:t>
      </w:r>
      <w:r>
        <w:rPr>
          <w:snapToGrid w:val="0"/>
        </w:rPr>
        <w:t xml:space="preserve">to an application the application may only be withdrawn under subregulation (1) with the consent of the respondent making the counter-proposal in the </w:t>
      </w:r>
      <w:r>
        <w:t>approved form.</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Gazette 28 Apr 2006 p. 1651; 5 Mar 2019 p. 619 and 622.]</w:t>
      </w:r>
    </w:p>
    <w:p>
      <w:pPr>
        <w:pStyle w:val="Heading5"/>
      </w:pPr>
      <w:bookmarkStart w:id="39" w:name="_Toc11744438"/>
      <w:r>
        <w:rPr>
          <w:rStyle w:val="CharSectno"/>
        </w:rPr>
        <w:t>17</w:t>
      </w:r>
      <w:r>
        <w:t>.</w:t>
      </w:r>
      <w:r>
        <w:tab/>
        <w:t>Application to amend</w:t>
      </w:r>
      <w:bookmarkEnd w:id="39"/>
    </w:p>
    <w:p>
      <w:pPr>
        <w:pStyle w:val="Subsection"/>
      </w:pPr>
      <w:r>
        <w:tab/>
        <w:t>(1)</w:t>
      </w:r>
      <w:r>
        <w:tab/>
        <w:t>A party to proceedings may apply to amend any document filed.</w:t>
      </w:r>
    </w:p>
    <w:p>
      <w:pPr>
        <w:pStyle w:val="Subsection"/>
        <w:keepNext/>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 and</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Registrar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It is not necessary for a party served with an application to file a response to the application.</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Footnotesection"/>
      </w:pPr>
      <w:r>
        <w:tab/>
        <w:t>[Regulation 17 amended: Gazette 5 Mar 2019 p. 587 and 621.]</w:t>
      </w:r>
    </w:p>
    <w:p>
      <w:pPr>
        <w:pStyle w:val="Heading5"/>
      </w:pPr>
      <w:bookmarkStart w:id="40" w:name="_Toc11744439"/>
      <w:r>
        <w:rPr>
          <w:rStyle w:val="CharSectno"/>
        </w:rPr>
        <w:t>18</w:t>
      </w:r>
      <w:r>
        <w:t>.</w:t>
      </w:r>
      <w:r>
        <w:tab/>
        <w:t>Joinder of parties</w:t>
      </w:r>
      <w:bookmarkEnd w:id="40"/>
    </w:p>
    <w:p>
      <w:pPr>
        <w:pStyle w:val="Subsection"/>
      </w:pPr>
      <w:r>
        <w:tab/>
        <w:t>(1)</w:t>
      </w:r>
      <w:r>
        <w:tab/>
        <w:t xml:space="preserve">An application to join any person as a party to proceedings before the Commission (the </w:t>
      </w:r>
      <w:r>
        <w:rPr>
          <w:rStyle w:val="CharDefText"/>
        </w:rPr>
        <w:t>substantive proceedings</w:t>
      </w:r>
      <w:r>
        <w:t xml:space="preserve">) must — </w:t>
      </w:r>
    </w:p>
    <w:p>
      <w:pPr>
        <w:pStyle w:val="Indenta"/>
      </w:pPr>
      <w:r>
        <w:tab/>
        <w:t>(a)</w:t>
      </w:r>
      <w:r>
        <w:tab/>
        <w:t xml:space="preserve">be made in the approved form; and </w:t>
      </w:r>
    </w:p>
    <w:p>
      <w:pPr>
        <w:pStyle w:val="Indenta"/>
      </w:pPr>
      <w:r>
        <w:tab/>
        <w:t>(b)</w:t>
      </w:r>
      <w:r>
        <w:tab/>
        <w:t xml:space="preserve">name the person the applicant seeks to be joined as a party to the substantive proceedings (the </w:t>
      </w:r>
      <w:r>
        <w:rPr>
          <w:rStyle w:val="CharDefText"/>
        </w:rPr>
        <w:t>person to be joined</w:t>
      </w:r>
      <w:r>
        <w:t>); and</w:t>
      </w:r>
    </w:p>
    <w:p>
      <w:pPr>
        <w:pStyle w:val="Indenta"/>
      </w:pPr>
      <w:r>
        <w:tab/>
        <w:t>(c)</w:t>
      </w:r>
      <w:r>
        <w:tab/>
        <w:t>have attached a written statement of the grounds on which the application is made and the facts to show that the applicant is entitled to make the application.</w:t>
      </w:r>
    </w:p>
    <w:p>
      <w:pPr>
        <w:pStyle w:val="Subsection"/>
      </w:pPr>
      <w:r>
        <w:tab/>
        <w:t>(2)</w:t>
      </w:r>
      <w:r>
        <w:tab/>
        <w:t>The Registrar is to give an application made under subregulation (1) the same distinguishing number as the substantive proceedings to which it relates.</w:t>
      </w:r>
    </w:p>
    <w:p>
      <w:pPr>
        <w:pStyle w:val="Subsection"/>
      </w:pPr>
      <w:r>
        <w:tab/>
        <w:t>(3)</w:t>
      </w:r>
      <w:r>
        <w:tab/>
        <w:t xml:space="preserve">The Registrar must serve a copy of the application and the attachments on — </w:t>
      </w:r>
    </w:p>
    <w:p>
      <w:pPr>
        <w:pStyle w:val="Indenta"/>
      </w:pPr>
      <w:r>
        <w:tab/>
        <w:t>(a)</w:t>
      </w:r>
      <w:r>
        <w:tab/>
        <w:t>the person to be joined; and</w:t>
      </w:r>
    </w:p>
    <w:p>
      <w:pPr>
        <w:pStyle w:val="Indenta"/>
      </w:pPr>
      <w:r>
        <w:tab/>
        <w:t>(b)</w:t>
      </w:r>
      <w:r>
        <w:tab/>
        <w:t>each other party to the substantive proceedings.</w:t>
      </w:r>
    </w:p>
    <w:p>
      <w:pPr>
        <w:pStyle w:val="Subsection"/>
        <w:keepNext/>
      </w:pPr>
      <w:r>
        <w:tab/>
        <w:t>(4)</w:t>
      </w:r>
      <w:r>
        <w:tab/>
        <w:t xml:space="preserve">The application is not to be listed for hearing unless — </w:t>
      </w:r>
    </w:p>
    <w:p>
      <w:pPr>
        <w:pStyle w:val="Indenta"/>
      </w:pPr>
      <w:r>
        <w:tab/>
        <w:t>(a)</w:t>
      </w:r>
      <w:r>
        <w:tab/>
        <w:t>a response has been received from the person to be joined; or</w:t>
      </w:r>
    </w:p>
    <w:p>
      <w:pPr>
        <w:pStyle w:val="Indenta"/>
      </w:pPr>
      <w:r>
        <w:tab/>
        <w:t>(b)</w:t>
      </w:r>
      <w:r>
        <w:tab/>
        <w:t>the time for filing a response has expired; or</w:t>
      </w:r>
    </w:p>
    <w:p>
      <w:pPr>
        <w:pStyle w:val="Indenta"/>
      </w:pPr>
      <w:r>
        <w:tab/>
        <w:t>(c)</w:t>
      </w:r>
      <w:r>
        <w:tab/>
        <w:t>the Commission otherwise directs.</w:t>
      </w:r>
    </w:p>
    <w:p>
      <w:pPr>
        <w:pStyle w:val="Footnotesection"/>
      </w:pPr>
      <w:r>
        <w:tab/>
        <w:t>[Regulation 18 inserted: Gazette 9 Jan 2015 p. 211-12; amended: Gazette 5 Mar 2019 p. 619, 621 and 622.]</w:t>
      </w:r>
    </w:p>
    <w:p>
      <w:pPr>
        <w:pStyle w:val="Heading5"/>
        <w:spacing w:before="180"/>
        <w:rPr>
          <w:snapToGrid w:val="0"/>
        </w:rPr>
      </w:pPr>
      <w:bookmarkStart w:id="41" w:name="_Toc11744440"/>
      <w:r>
        <w:rPr>
          <w:rStyle w:val="CharSectno"/>
        </w:rPr>
        <w:t>19</w:t>
      </w:r>
      <w:r>
        <w:t>.</w:t>
      </w:r>
      <w:r>
        <w:tab/>
      </w:r>
      <w:r>
        <w:rPr>
          <w:snapToGrid w:val="0"/>
        </w:rPr>
        <w:t>Intervention</w:t>
      </w:r>
      <w:bookmarkEnd w:id="41"/>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 and</w:t>
      </w:r>
    </w:p>
    <w:p>
      <w:pPr>
        <w:pStyle w:val="Indenta"/>
      </w:pPr>
      <w:r>
        <w:tab/>
        <w:t>(b)</w:t>
      </w:r>
      <w:r>
        <w:tab/>
        <w:t>must be given not less than 5 days (or as the Commission may otherwise direct in a particular case)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Footnotesection"/>
      </w:pPr>
      <w:r>
        <w:tab/>
        <w:t>[Regulation 19 amended: Gazette 5 Mar 2019 p. 587.]</w:t>
      </w:r>
    </w:p>
    <w:p>
      <w:pPr>
        <w:pStyle w:val="Heading3"/>
        <w:pageBreakBefore/>
        <w:spacing w:before="0"/>
      </w:pPr>
      <w:bookmarkStart w:id="42" w:name="_Toc5352925"/>
      <w:bookmarkStart w:id="43" w:name="_Toc5353554"/>
      <w:bookmarkStart w:id="44" w:name="_Toc8742619"/>
      <w:bookmarkStart w:id="45" w:name="_Toc11053355"/>
      <w:bookmarkStart w:id="46" w:name="_Toc11744441"/>
      <w:r>
        <w:rPr>
          <w:rStyle w:val="CharDivNo"/>
        </w:rPr>
        <w:t>Division 2</w:t>
      </w:r>
      <w:r>
        <w:t> — </w:t>
      </w:r>
      <w:r>
        <w:rPr>
          <w:rStyle w:val="CharDivText"/>
        </w:rPr>
        <w:t>Interlocutory proceedings</w:t>
      </w:r>
      <w:bookmarkEnd w:id="42"/>
      <w:bookmarkEnd w:id="43"/>
      <w:bookmarkEnd w:id="44"/>
      <w:bookmarkEnd w:id="45"/>
      <w:bookmarkEnd w:id="46"/>
    </w:p>
    <w:p>
      <w:pPr>
        <w:pStyle w:val="Heading5"/>
        <w:spacing w:before="240"/>
        <w:rPr>
          <w:snapToGrid w:val="0"/>
        </w:rPr>
      </w:pPr>
      <w:bookmarkStart w:id="47" w:name="_Toc11744442"/>
      <w:r>
        <w:rPr>
          <w:rStyle w:val="CharSectno"/>
        </w:rPr>
        <w:t>20</w:t>
      </w:r>
      <w:r>
        <w:t>.</w:t>
      </w:r>
      <w:r>
        <w:tab/>
      </w:r>
      <w:r>
        <w:rPr>
          <w:snapToGrid w:val="0"/>
        </w:rPr>
        <w:t>Discovery, production and inspection of documents</w:t>
      </w:r>
      <w:bookmarkEnd w:id="47"/>
    </w:p>
    <w:p>
      <w:pPr>
        <w:pStyle w:val="Subsection"/>
      </w:pPr>
      <w:r>
        <w:tab/>
        <w:t>(1)</w:t>
      </w:r>
      <w:r>
        <w:tab/>
        <w:t>For the purposes of this regulation —</w:t>
      </w:r>
    </w:p>
    <w:p>
      <w:pPr>
        <w:pStyle w:val="Defstart"/>
      </w:pPr>
      <w:r>
        <w:rPr>
          <w:b/>
        </w:rPr>
        <w:tab/>
      </w:r>
      <w:r>
        <w:rPr>
          <w:rStyle w:val="CharDefText"/>
        </w:rPr>
        <w:t>discovery</w:t>
      </w:r>
      <w:r>
        <w:t xml:space="preserve"> means disclosure to the other party of the existence of all documents in the party’s possession, custody or power that relate to a matter in question in the substantive application before the Commission;</w:t>
      </w:r>
    </w:p>
    <w:p>
      <w:pPr>
        <w:pStyle w:val="Defstart"/>
      </w:pPr>
      <w:r>
        <w:rPr>
          <w:b/>
        </w:rPr>
        <w:tab/>
      </w:r>
      <w:r>
        <w:rPr>
          <w:rStyle w:val="CharDefText"/>
        </w:rPr>
        <w:t>document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r>
      <w:r>
        <w:rPr>
          <w:rStyle w:val="CharDefText"/>
        </w:rPr>
        <w:t>inspection</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Subsection"/>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 and</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 xml:space="preserve">As soon as practicable after the application is filed the </w:t>
      </w:r>
      <w:r>
        <w:t>Registrar</w:t>
      </w:r>
      <w:r>
        <w:rPr>
          <w:snapToGrid w:val="0"/>
        </w:rPr>
        <w:t xml:space="preserve"> must serve a copy of the application on the respondent.</w:t>
      </w:r>
    </w:p>
    <w:p>
      <w:pPr>
        <w:pStyle w:val="Subsection"/>
      </w:pPr>
      <w:r>
        <w:tab/>
        <w:t>(5)</w:t>
      </w:r>
      <w:r>
        <w:tab/>
        <w:t>It is not necessary for the respondent to file a response to the application.</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Footnotesection"/>
      </w:pPr>
      <w:r>
        <w:tab/>
        <w:t>[Regulation 20 amended: Gazette 5 Mar 2019 p. 588 and 621.]</w:t>
      </w:r>
    </w:p>
    <w:p>
      <w:pPr>
        <w:pStyle w:val="Heading5"/>
        <w:spacing w:before="180"/>
      </w:pPr>
      <w:bookmarkStart w:id="48" w:name="_Toc11744443"/>
      <w:r>
        <w:rPr>
          <w:rStyle w:val="CharSectno"/>
        </w:rPr>
        <w:t>21</w:t>
      </w:r>
      <w:r>
        <w:t>.</w:t>
      </w:r>
      <w:r>
        <w:tab/>
        <w:t>Order for production to Commission</w:t>
      </w:r>
      <w:bookmarkEnd w:id="48"/>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spacing w:before="180"/>
        <w:rPr>
          <w:snapToGrid w:val="0"/>
        </w:rPr>
      </w:pPr>
      <w:bookmarkStart w:id="49" w:name="_Toc11744444"/>
      <w:r>
        <w:rPr>
          <w:rStyle w:val="CharSectno"/>
        </w:rPr>
        <w:t>22</w:t>
      </w:r>
      <w:r>
        <w:t>.</w:t>
      </w:r>
      <w:r>
        <w:tab/>
      </w:r>
      <w:r>
        <w:rPr>
          <w:snapToGrid w:val="0"/>
        </w:rPr>
        <w:t>Further particulars</w:t>
      </w:r>
      <w:bookmarkEnd w:id="49"/>
    </w:p>
    <w:p>
      <w:pPr>
        <w:pStyle w:val="Subsection"/>
        <w:rPr>
          <w:snapToGrid w:val="0"/>
        </w:rPr>
      </w:pPr>
      <w:r>
        <w:rPr>
          <w:snapToGrid w:val="0"/>
        </w:rPr>
        <w:tab/>
        <w:t>(1)</w:t>
      </w:r>
      <w:r>
        <w:rPr>
          <w:snapToGrid w:val="0"/>
        </w:rPr>
        <w:tab/>
        <w:t xml:space="preserve">A party to any matter before the Commission, or a person who has applied to become a party to the matter, may apply to the Commission in Chambers for an order that any other party to the matter furnish further and better particulars of any claim, </w:t>
      </w:r>
      <w:r>
        <w:t xml:space="preserve">response, </w:t>
      </w:r>
      <w:r>
        <w:rPr>
          <w:snapToGrid w:val="0"/>
        </w:rPr>
        <w:t>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rPr>
          <w:snapToGrid w:val="0"/>
        </w:rPr>
      </w:pPr>
      <w:r>
        <w:rPr>
          <w:snapToGrid w:val="0"/>
        </w:rPr>
        <w:tab/>
        <w:t>(3)</w:t>
      </w:r>
      <w:r>
        <w:rPr>
          <w:snapToGrid w:val="0"/>
        </w:rPr>
        <w:tab/>
        <w:t>The application must detail the nature of the particulars sought.</w:t>
      </w:r>
    </w:p>
    <w:p>
      <w:pPr>
        <w:pStyle w:val="Subsection"/>
        <w:rPr>
          <w:snapToGrid w:val="0"/>
        </w:rPr>
      </w:pPr>
      <w:r>
        <w:rPr>
          <w:snapToGrid w:val="0"/>
        </w:rPr>
        <w:tab/>
        <w:t>(4)</w:t>
      </w:r>
      <w:r>
        <w:rPr>
          <w:snapToGrid w:val="0"/>
        </w:rPr>
        <w:tab/>
        <w:t xml:space="preserve">As soon as practicable after the application is filed the </w:t>
      </w:r>
      <w:r>
        <w:t>Registrar</w:t>
      </w:r>
      <w:r>
        <w:rPr>
          <w:snapToGrid w:val="0"/>
        </w:rPr>
        <w:t xml:space="preserve"> must serve a copy of the application on the respondent.</w:t>
      </w:r>
    </w:p>
    <w:p>
      <w:pPr>
        <w:pStyle w:val="Subsection"/>
      </w:pPr>
      <w:r>
        <w:tab/>
        <w:t>(5)</w:t>
      </w:r>
      <w:r>
        <w:tab/>
        <w:t>It is not necessary to file a response to the application.</w:t>
      </w:r>
    </w:p>
    <w:p>
      <w:pPr>
        <w:pStyle w:val="Subsection"/>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Footnotesection"/>
      </w:pPr>
      <w:r>
        <w:tab/>
        <w:t>[Regulation 22 amended: Gazette 5 Mar 2019 p. 588, 619 and 621.]</w:t>
      </w:r>
    </w:p>
    <w:p>
      <w:pPr>
        <w:pStyle w:val="Heading5"/>
        <w:rPr>
          <w:snapToGrid w:val="0"/>
        </w:rPr>
      </w:pPr>
      <w:bookmarkStart w:id="50" w:name="_Toc11744445"/>
      <w:r>
        <w:rPr>
          <w:rStyle w:val="CharSectno"/>
        </w:rPr>
        <w:t>23</w:t>
      </w:r>
      <w:r>
        <w:t>.</w:t>
      </w:r>
      <w:r>
        <w:tab/>
      </w:r>
      <w:r>
        <w:rPr>
          <w:snapToGrid w:val="0"/>
        </w:rPr>
        <w:t>Notice to admit</w:t>
      </w:r>
      <w:bookmarkEnd w:id="50"/>
    </w:p>
    <w:p>
      <w:pPr>
        <w:pStyle w:val="Subsection"/>
        <w:rPr>
          <w:snapToGrid w:val="0"/>
        </w:rPr>
      </w:pPr>
      <w:r>
        <w:rPr>
          <w:snapToGrid w:val="0"/>
        </w:rPr>
        <w:tab/>
        <w:t>(1)</w:t>
      </w:r>
      <w:r>
        <w:rPr>
          <w:snapToGrid w:val="0"/>
        </w:rPr>
        <w:tab/>
        <w:t xml:space="preserve">In relation to any matter before the Commission any party to a matter before the Commission may, at least 10 days (or such other time as may be fixed by the Commission) before the date fixed for the hearing of the matter, </w:t>
      </w:r>
      <w:r>
        <w:t xml:space="preserve">file a notice in the approved form (a </w:t>
      </w:r>
      <w:r>
        <w:rPr>
          <w:rStyle w:val="CharDefText"/>
        </w:rPr>
        <w:t>notice to admit</w:t>
      </w:r>
      <w:r>
        <w:t>) requiring any other</w:t>
      </w:r>
      <w:r>
        <w:rPr>
          <w:snapToGrid w:val="0"/>
        </w:rPr>
        <w:t xml:space="preserve"> party to admit any fact relative to the issue.</w:t>
      </w:r>
    </w:p>
    <w:p>
      <w:pPr>
        <w:pStyle w:val="Subsection"/>
      </w:pPr>
      <w:r>
        <w:tab/>
        <w:t>(1A)</w:t>
      </w:r>
      <w:r>
        <w:tab/>
        <w:t>The Registrar must serve the notice to admit on the other party.</w:t>
      </w:r>
    </w:p>
    <w:p>
      <w:pPr>
        <w:pStyle w:val="Subsection"/>
        <w:rPr>
          <w:snapToGrid w:val="0"/>
        </w:rPr>
      </w:pPr>
      <w:r>
        <w:rPr>
          <w:snapToGrid w:val="0"/>
        </w:rPr>
        <w:tab/>
        <w:t>(2)</w:t>
      </w:r>
      <w:r>
        <w:rPr>
          <w:snapToGrid w:val="0"/>
        </w:rPr>
        <w:tab/>
        <w:t xml:space="preserve">A party on whom a notice to admit has been served shall, within 7 days or such other time as the Commission, on the application of that party, may direct, </w:t>
      </w:r>
      <w:r>
        <w:t>file</w:t>
      </w:r>
      <w:r>
        <w:rPr>
          <w:snapToGrid w:val="0"/>
        </w:rPr>
        <w:t xml:space="preserve"> a reply in writing admitting or denying the fact with or without qualification, as the case may be.</w:t>
      </w:r>
    </w:p>
    <w:p>
      <w:pPr>
        <w:pStyle w:val="Subsection"/>
      </w:pPr>
      <w:r>
        <w:tab/>
        <w:t>(3)</w:t>
      </w:r>
      <w:r>
        <w:tab/>
        <w:t>The Registrar must serve the reply on the party who filed the notice to admit.</w:t>
      </w:r>
    </w:p>
    <w:p>
      <w:pPr>
        <w:pStyle w:val="Subsection"/>
        <w:spacing w:after="200"/>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Footnotesection"/>
      </w:pPr>
      <w:r>
        <w:tab/>
        <w:t>[Regulation 23 amended: Gazette 5 Mar 2019 p. 588</w:t>
      </w:r>
      <w:r>
        <w:noBreakHyphen/>
        <w:t>9.]</w:t>
      </w:r>
    </w:p>
    <w:p>
      <w:pPr>
        <w:pStyle w:val="Heading3"/>
        <w:pageBreakBefore/>
        <w:spacing w:before="0"/>
      </w:pPr>
      <w:bookmarkStart w:id="51" w:name="_Toc5352930"/>
      <w:bookmarkStart w:id="52" w:name="_Toc5353559"/>
      <w:bookmarkStart w:id="53" w:name="_Toc8742624"/>
      <w:bookmarkStart w:id="54" w:name="_Toc11053360"/>
      <w:bookmarkStart w:id="55" w:name="_Toc11744446"/>
      <w:r>
        <w:rPr>
          <w:rStyle w:val="CharDivNo"/>
        </w:rPr>
        <w:t>Division 3</w:t>
      </w:r>
      <w:r>
        <w:t> — </w:t>
      </w:r>
      <w:r>
        <w:rPr>
          <w:rStyle w:val="CharDivText"/>
        </w:rPr>
        <w:t>Service</w:t>
      </w:r>
      <w:bookmarkEnd w:id="51"/>
      <w:bookmarkEnd w:id="52"/>
      <w:bookmarkEnd w:id="53"/>
      <w:bookmarkEnd w:id="54"/>
      <w:bookmarkEnd w:id="55"/>
    </w:p>
    <w:p>
      <w:pPr>
        <w:pStyle w:val="Heading5"/>
        <w:rPr>
          <w:snapToGrid w:val="0"/>
        </w:rPr>
      </w:pPr>
      <w:bookmarkStart w:id="56" w:name="_Toc11744447"/>
      <w:r>
        <w:rPr>
          <w:rStyle w:val="CharSectno"/>
        </w:rPr>
        <w:t>24</w:t>
      </w:r>
      <w:r>
        <w:t>.</w:t>
      </w:r>
      <w:r>
        <w:tab/>
      </w:r>
      <w:r>
        <w:rPr>
          <w:snapToGrid w:val="0"/>
        </w:rPr>
        <w:t>Service</w:t>
      </w:r>
      <w:bookmarkEnd w:id="56"/>
    </w:p>
    <w:p>
      <w:pPr>
        <w:pStyle w:val="Subsection"/>
      </w:pPr>
      <w:r>
        <w:tab/>
        <w:t>(1)</w:t>
      </w:r>
      <w:r>
        <w:tab/>
        <w:t>Except as otherwise provided in these regulations or as the Commission otherwise directs in a particular case, as soon as practicable after any notice or document is filed or issued in proceedings before the Commission, the Registrar must serve a copy of the notice or document on each party entitled to be served.</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 or</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 or</w:t>
      </w:r>
    </w:p>
    <w:p>
      <w:pPr>
        <w:pStyle w:val="Indenta"/>
      </w:pPr>
      <w:r>
        <w:tab/>
        <w:t>(c)</w:t>
      </w:r>
      <w:r>
        <w:tab/>
        <w:t>in the case of a partnership, firm or unincorporated company or body, by leaving it at, or sending it by pre</w:t>
      </w:r>
      <w:r>
        <w:noBreakHyphen/>
        <w:t>paid post to its principal place of business in Western Australia; or</w:t>
      </w:r>
    </w:p>
    <w:p>
      <w:pPr>
        <w:pStyle w:val="Indenta"/>
      </w:pPr>
      <w:r>
        <w:tab/>
        <w:t>(ca)</w:t>
      </w:r>
      <w:r>
        <w:tab/>
        <w:t xml:space="preserve">in the case of a public sector body, as defined in the </w:t>
      </w:r>
      <w:r>
        <w:rPr>
          <w:i/>
        </w:rPr>
        <w:t>Public Sector Management Act 1994</w:t>
      </w:r>
      <w:r>
        <w:t xml:space="preserve"> section 3(1) — </w:t>
      </w:r>
    </w:p>
    <w:p>
      <w:pPr>
        <w:pStyle w:val="Indenti"/>
      </w:pPr>
      <w:r>
        <w:tab/>
        <w:t>(i)</w:t>
      </w:r>
      <w:r>
        <w:tab/>
        <w:t>by serving it in a manner described in paragraph (c) on the public sector body; or</w:t>
      </w:r>
    </w:p>
    <w:p>
      <w:pPr>
        <w:pStyle w:val="Indenti"/>
      </w:pPr>
      <w:r>
        <w:tab/>
        <w:t>(ii)</w:t>
      </w:r>
      <w:r>
        <w:tab/>
        <w:t>by serving it in a manner described in paragraph (d) on an agent appointed by the public sector body under regulation 63;</w:t>
      </w:r>
    </w:p>
    <w:p>
      <w:pPr>
        <w:pStyle w:val="Indenta"/>
      </w:pPr>
      <w:r>
        <w:tab/>
      </w:r>
      <w:r>
        <w:tab/>
        <w:t>or</w:t>
      </w:r>
    </w:p>
    <w:p>
      <w:pPr>
        <w:pStyle w:val="Indenta"/>
      </w:pPr>
      <w:r>
        <w:tab/>
        <w:t>(d)</w:t>
      </w:r>
      <w:r>
        <w:tab/>
        <w:t>in the case of any other person —</w:t>
      </w:r>
    </w:p>
    <w:p>
      <w:pPr>
        <w:pStyle w:val="Indenti"/>
      </w:pPr>
      <w:r>
        <w:tab/>
        <w:t>(i)</w:t>
      </w:r>
      <w:r>
        <w:tab/>
        <w:t>by delivering it to the person personally; or</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t>
      </w:r>
      <w:smartTag w:uri="urn:schemas-microsoft-com:office:smarttags" w:element="place">
        <w:smartTag w:uri="urn:schemas-microsoft-com:office:smarttags" w:element="State">
          <w:r>
            <w:t>Western Australia</w:t>
          </w:r>
        </w:smartTag>
      </w:smartTag>
      <w:r>
        <w:t xml:space="preserve"> </w:t>
      </w:r>
      <w:r>
        <w:rPr>
          <w:snapToGrid w:val="0"/>
        </w:rPr>
        <w:t>must</w:t>
      </w:r>
      <w:r>
        <w:t xml:space="preserve"> be in accordance with the </w:t>
      </w:r>
      <w:r>
        <w:rPr>
          <w:i/>
        </w:rPr>
        <w:t>Service and Execution of Process Act 1992</w:t>
      </w:r>
      <w:r>
        <w:t xml:space="preserve"> of the Commonwealth section 51.</w:t>
      </w:r>
    </w:p>
    <w:p>
      <w:pPr>
        <w:pStyle w:val="Footnotesection"/>
      </w:pPr>
      <w:r>
        <w:tab/>
        <w:t>[Regulation 24 amended: Gazette 5 Mar 2019 p. 589.]</w:t>
      </w:r>
    </w:p>
    <w:p>
      <w:pPr>
        <w:pStyle w:val="Heading5"/>
      </w:pPr>
      <w:bookmarkStart w:id="57" w:name="_Toc11744448"/>
      <w:r>
        <w:rPr>
          <w:rStyle w:val="CharSectno"/>
        </w:rPr>
        <w:t>25</w:t>
      </w:r>
      <w:r>
        <w:t>.</w:t>
      </w:r>
      <w:r>
        <w:tab/>
        <w:t>Electronic address for service</w:t>
      </w:r>
      <w:bookmarkEnd w:id="57"/>
    </w:p>
    <w:p>
      <w:pPr>
        <w:pStyle w:val="Ednotesubsection"/>
      </w:pPr>
      <w:r>
        <w:tab/>
        <w:t>[(1)</w:t>
      </w:r>
      <w:r>
        <w:tab/>
        <w:t>deleted]</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is to be taken to have consented to being served with documents as an attachment to an email sent to that email address.</w:t>
      </w:r>
    </w:p>
    <w:p>
      <w:pPr>
        <w:pStyle w:val="Subsection"/>
      </w:pPr>
      <w:r>
        <w:tab/>
        <w:t>(4)</w:t>
      </w:r>
      <w:r>
        <w:tab/>
        <w:t>If a party’s email address provided under this regulation changes, the party must lodge and serve a notice of change of address as soon as practicable after the change occurs.</w:t>
      </w:r>
    </w:p>
    <w:p>
      <w:pPr>
        <w:pStyle w:val="Footnotesection"/>
      </w:pPr>
      <w:r>
        <w:tab/>
        <w:t>[Regulation 25 amended: Gazette 5 Mar 2019 p. 589</w:t>
      </w:r>
      <w:r>
        <w:noBreakHyphen/>
        <w:t>90.]</w:t>
      </w:r>
    </w:p>
    <w:p>
      <w:pPr>
        <w:pStyle w:val="Heading5"/>
      </w:pPr>
      <w:bookmarkStart w:id="58" w:name="_Toc11744449"/>
      <w:r>
        <w:rPr>
          <w:rStyle w:val="CharSectno"/>
        </w:rPr>
        <w:t>26</w:t>
      </w:r>
      <w:r>
        <w:t>.</w:t>
      </w:r>
      <w:r>
        <w:tab/>
        <w:t>Service electronically</w:t>
      </w:r>
      <w:bookmarkEnd w:id="58"/>
    </w:p>
    <w:p>
      <w:pPr>
        <w:pStyle w:val="Subsection"/>
      </w:pPr>
      <w:r>
        <w:tab/>
        <w:t>(1)</w:t>
      </w:r>
      <w:r>
        <w:tab/>
        <w:t xml:space="preserve">If — </w:t>
      </w:r>
    </w:p>
    <w:p>
      <w:pPr>
        <w:pStyle w:val="Indenta"/>
      </w:pPr>
      <w:r>
        <w:tab/>
        <w:t>(a)</w:t>
      </w:r>
      <w:r>
        <w:tab/>
        <w:t>these regulations require a document to be served; and</w:t>
      </w:r>
    </w:p>
    <w:p>
      <w:pPr>
        <w:pStyle w:val="Indenta"/>
        <w:keepNext/>
      </w:pPr>
      <w:r>
        <w:tab/>
        <w:t>(b)</w:t>
      </w:r>
      <w:r>
        <w:tab/>
        <w:t>the party to be served has provided an email address under regulation 25(2),</w:t>
      </w:r>
    </w:p>
    <w:p>
      <w:pPr>
        <w:pStyle w:val="Subsection"/>
      </w:pPr>
      <w:r>
        <w:tab/>
      </w:r>
      <w:r>
        <w:tab/>
        <w:t>then, unless the contrary intention appears, the document may be served as an attachment to an email sent to that address.</w:t>
      </w:r>
    </w:p>
    <w:p>
      <w:pPr>
        <w:pStyle w:val="Subsection"/>
      </w:pPr>
      <w:r>
        <w:tab/>
        <w:t>(2)</w:t>
      </w:r>
      <w:r>
        <w:tab/>
        <w:t>A document cannot be served by email under this regulation if it cannot be lodged electronically.</w:t>
      </w:r>
    </w:p>
    <w:p>
      <w:pPr>
        <w:pStyle w:val="Ednotesubsection"/>
      </w:pPr>
      <w:r>
        <w:tab/>
        <w:t>[(3)</w:t>
      </w:r>
      <w:r>
        <w:tab/>
        <w:t>deleted]</w:t>
      </w:r>
    </w:p>
    <w:p>
      <w:pPr>
        <w:pStyle w:val="Subsection"/>
      </w:pPr>
      <w:r>
        <w:tab/>
        <w:t>(4)</w:t>
      </w:r>
      <w:r>
        <w:tab/>
        <w:t xml:space="preserve">A document that is served by email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Footnotesection"/>
      </w:pPr>
      <w:r>
        <w:tab/>
        <w:t>[Regulation 26 amended: Gazette 5 Mar 2019 p. 590.]</w:t>
      </w:r>
    </w:p>
    <w:p>
      <w:pPr>
        <w:pStyle w:val="Heading5"/>
        <w:rPr>
          <w:snapToGrid w:val="0"/>
        </w:rPr>
      </w:pPr>
      <w:bookmarkStart w:id="59" w:name="_Toc11744450"/>
      <w:r>
        <w:rPr>
          <w:rStyle w:val="CharSectno"/>
        </w:rPr>
        <w:t>27</w:t>
      </w:r>
      <w:r>
        <w:t>.</w:t>
      </w:r>
      <w:r>
        <w:tab/>
      </w:r>
      <w:r>
        <w:rPr>
          <w:snapToGrid w:val="0"/>
        </w:rPr>
        <w:t>Substituted service</w:t>
      </w:r>
      <w:bookmarkEnd w:id="59"/>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 xml:space="preserve">Any application for substituted service must be in the form of a notice of application in </w:t>
      </w:r>
      <w:r>
        <w:t>the approved form</w:t>
      </w:r>
      <w:r>
        <w:rPr>
          <w:snapToGrid w:val="0"/>
        </w:rPr>
        <w:t xml:space="preserve"> </w:t>
      </w:r>
      <w:r>
        <w:t xml:space="preserve">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Commission directs in a particular case.</w:t>
      </w:r>
    </w:p>
    <w:p>
      <w:pPr>
        <w:pStyle w:val="Footnotesection"/>
      </w:pPr>
      <w:r>
        <w:tab/>
        <w:t>[Regulation 27 amended: Gazette 15 May 2015 p. 1722; 5 Mar 2019 p. 622.]</w:t>
      </w:r>
    </w:p>
    <w:p>
      <w:pPr>
        <w:pStyle w:val="Ednotesection"/>
      </w:pPr>
      <w:r>
        <w:t>[</w:t>
      </w:r>
      <w:r>
        <w:rPr>
          <w:b/>
        </w:rPr>
        <w:t>28.</w:t>
      </w:r>
      <w:r>
        <w:tab/>
        <w:t>Deleted: Gazette 5 Mar 2019 p. 590.]</w:t>
      </w:r>
    </w:p>
    <w:p>
      <w:pPr>
        <w:pStyle w:val="Heading3"/>
      </w:pPr>
      <w:bookmarkStart w:id="60" w:name="_Toc5352935"/>
      <w:bookmarkStart w:id="61" w:name="_Toc5353564"/>
      <w:bookmarkStart w:id="62" w:name="_Toc8742629"/>
      <w:bookmarkStart w:id="63" w:name="_Toc11053365"/>
      <w:bookmarkStart w:id="64" w:name="_Toc11744451"/>
      <w:r>
        <w:rPr>
          <w:rStyle w:val="CharDivNo"/>
        </w:rPr>
        <w:t>Division 4</w:t>
      </w:r>
      <w:r>
        <w:t> — </w:t>
      </w:r>
      <w:r>
        <w:rPr>
          <w:rStyle w:val="CharDivText"/>
        </w:rPr>
        <w:t>Conferences</w:t>
      </w:r>
      <w:bookmarkEnd w:id="60"/>
      <w:bookmarkEnd w:id="61"/>
      <w:bookmarkEnd w:id="62"/>
      <w:bookmarkEnd w:id="63"/>
      <w:bookmarkEnd w:id="64"/>
    </w:p>
    <w:p>
      <w:pPr>
        <w:pStyle w:val="Heading5"/>
        <w:rPr>
          <w:snapToGrid w:val="0"/>
        </w:rPr>
      </w:pPr>
      <w:bookmarkStart w:id="65" w:name="_Toc11744452"/>
      <w:r>
        <w:rPr>
          <w:rStyle w:val="CharSectno"/>
        </w:rPr>
        <w:t>29</w:t>
      </w:r>
      <w:r>
        <w:t>.</w:t>
      </w:r>
      <w:r>
        <w:tab/>
      </w:r>
      <w:r>
        <w:rPr>
          <w:snapToGrid w:val="0"/>
        </w:rPr>
        <w:t>Orders under sections 32 and 44</w:t>
      </w:r>
      <w:bookmarkEnd w:id="65"/>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66" w:name="_Toc11744453"/>
      <w:r>
        <w:rPr>
          <w:rStyle w:val="CharSectno"/>
        </w:rPr>
        <w:t>30</w:t>
      </w:r>
      <w:r>
        <w:t>.</w:t>
      </w:r>
      <w:r>
        <w:tab/>
      </w:r>
      <w:r>
        <w:rPr>
          <w:snapToGrid w:val="0"/>
        </w:rPr>
        <w:t>Compulsory conference</w:t>
      </w:r>
      <w:bookmarkEnd w:id="66"/>
    </w:p>
    <w:p>
      <w:pPr>
        <w:pStyle w:val="Subsection"/>
        <w:rPr>
          <w:snapToGrid w:val="0"/>
        </w:rPr>
      </w:pPr>
      <w:r>
        <w:rPr>
          <w:snapToGrid w:val="0"/>
        </w:rPr>
        <w:tab/>
        <w:t>(1)</w:t>
      </w:r>
      <w:r>
        <w:rPr>
          <w:snapToGrid w:val="0"/>
        </w:rPr>
        <w:tab/>
        <w:t xml:space="preserve">An application for a conference under section 44 of the Act must </w:t>
      </w:r>
      <w:r>
        <w:t>be made in the approved form and must</w:t>
      </w:r>
      <w:r>
        <w:rPr>
          <w:snapToGrid w:val="0"/>
        </w:rPr>
        <w:t xml:space="preserve"> set out the reasons for which the conference is sought.</w:t>
      </w:r>
    </w:p>
    <w:p>
      <w:pPr>
        <w:pStyle w:val="Subsection"/>
        <w:rPr>
          <w:snapToGrid w:val="0"/>
        </w:rPr>
      </w:pPr>
      <w:r>
        <w:rPr>
          <w:snapToGrid w:val="0"/>
        </w:rPr>
        <w:tab/>
        <w:t>(2)</w:t>
      </w:r>
      <w:r>
        <w:rPr>
          <w:snapToGrid w:val="0"/>
        </w:rPr>
        <w:tab/>
        <w:t xml:space="preserve">No </w:t>
      </w:r>
      <w:r>
        <w:t>response</w:t>
      </w:r>
      <w:r>
        <w:rPr>
          <w:snapToGrid w:val="0"/>
        </w:rPr>
        <w:t xml:space="preserve">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email</w:t>
      </w:r>
      <w:r>
        <w:rPr>
          <w:snapToGrid w:val="0"/>
        </w:rPr>
        <w:t>.</w:t>
      </w:r>
    </w:p>
    <w:p>
      <w:pPr>
        <w:pStyle w:val="Footnotesection"/>
      </w:pPr>
      <w:r>
        <w:tab/>
        <w:t>[Regulation 30 amended: Gazette 5 Mar 2019 p. 590</w:t>
      </w:r>
      <w:r>
        <w:noBreakHyphen/>
        <w:t>1 and 619.]</w:t>
      </w:r>
    </w:p>
    <w:p>
      <w:pPr>
        <w:pStyle w:val="Heading5"/>
        <w:rPr>
          <w:snapToGrid w:val="0"/>
        </w:rPr>
      </w:pPr>
      <w:bookmarkStart w:id="67" w:name="_Toc11744454"/>
      <w:r>
        <w:rPr>
          <w:rStyle w:val="CharSectno"/>
        </w:rPr>
        <w:t>31</w:t>
      </w:r>
      <w:r>
        <w:t>.</w:t>
      </w:r>
      <w:r>
        <w:tab/>
      </w:r>
      <w:r>
        <w:rPr>
          <w:snapToGrid w:val="0"/>
        </w:rPr>
        <w:t>Memorandum following compulsory conference</w:t>
      </w:r>
      <w:bookmarkEnd w:id="67"/>
    </w:p>
    <w:p>
      <w:pPr>
        <w:pStyle w:val="Subsection"/>
        <w:rPr>
          <w:snapToGrid w:val="0"/>
        </w:rPr>
      </w:pPr>
      <w:r>
        <w:rPr>
          <w:snapToGrid w:val="0"/>
        </w:rPr>
        <w:tab/>
      </w:r>
      <w:r>
        <w:rPr>
          <w:snapToGrid w:val="0"/>
        </w:rPr>
        <w:tab/>
        <w:t xml:space="preserve">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w:t>
      </w:r>
      <w:r>
        <w:t xml:space="preserve">responses, </w:t>
      </w:r>
      <w:r>
        <w:rPr>
          <w:snapToGrid w:val="0"/>
        </w:rPr>
        <w:t>counter-proposals and replies in such manner and within such time as the Commission sees fit.</w:t>
      </w:r>
    </w:p>
    <w:p>
      <w:pPr>
        <w:pStyle w:val="Footnotesection"/>
      </w:pPr>
      <w:r>
        <w:tab/>
        <w:t>[Regulation 31 amended: Gazette 5 Mar 2019 p. 619</w:t>
      </w:r>
      <w:r>
        <w:noBreakHyphen/>
        <w:t>20.]</w:t>
      </w:r>
    </w:p>
    <w:p>
      <w:pPr>
        <w:pStyle w:val="Heading3"/>
      </w:pPr>
      <w:bookmarkStart w:id="68" w:name="_Toc5352939"/>
      <w:bookmarkStart w:id="69" w:name="_Toc5353568"/>
      <w:bookmarkStart w:id="70" w:name="_Toc8742633"/>
      <w:bookmarkStart w:id="71" w:name="_Toc11053369"/>
      <w:bookmarkStart w:id="72" w:name="_Toc11744455"/>
      <w:r>
        <w:rPr>
          <w:rStyle w:val="CharDivNo"/>
        </w:rPr>
        <w:t>Division 5</w:t>
      </w:r>
      <w:r>
        <w:t> — </w:t>
      </w:r>
      <w:r>
        <w:rPr>
          <w:rStyle w:val="CharDivText"/>
        </w:rPr>
        <w:t>Conduct of hearings</w:t>
      </w:r>
      <w:bookmarkEnd w:id="68"/>
      <w:bookmarkEnd w:id="69"/>
      <w:bookmarkEnd w:id="70"/>
      <w:bookmarkEnd w:id="71"/>
      <w:bookmarkEnd w:id="72"/>
    </w:p>
    <w:p>
      <w:pPr>
        <w:pStyle w:val="Heading5"/>
        <w:rPr>
          <w:snapToGrid w:val="0"/>
        </w:rPr>
      </w:pPr>
      <w:bookmarkStart w:id="73" w:name="_Toc11744456"/>
      <w:r>
        <w:rPr>
          <w:rStyle w:val="CharSectno"/>
        </w:rPr>
        <w:t>32</w:t>
      </w:r>
      <w:r>
        <w:t>.</w:t>
      </w:r>
      <w:r>
        <w:tab/>
      </w:r>
      <w:r>
        <w:rPr>
          <w:snapToGrid w:val="0"/>
        </w:rPr>
        <w:t>Application for and notice of hearing</w:t>
      </w:r>
      <w:bookmarkEnd w:id="73"/>
    </w:p>
    <w:p>
      <w:pPr>
        <w:pStyle w:val="Subsection"/>
      </w:pPr>
      <w:r>
        <w:tab/>
        <w:t>(1)</w:t>
      </w:r>
      <w:r>
        <w:tab/>
        <w:t>Any party to an application may request the Registrar to fix a date and place for the hearing of the application.</w:t>
      </w:r>
    </w:p>
    <w:p>
      <w:pPr>
        <w:pStyle w:val="Subsection"/>
        <w:rPr>
          <w:snapToGrid w:val="0"/>
        </w:rPr>
      </w:pPr>
      <w:r>
        <w:rPr>
          <w:snapToGrid w:val="0"/>
        </w:rPr>
        <w:tab/>
        <w:t>(2)</w:t>
      </w:r>
      <w:r>
        <w:rPr>
          <w:snapToGrid w:val="0"/>
        </w:rPr>
        <w:tab/>
        <w:t xml:space="preserve">Except where otherwise provided in the Act or in these regulations, each party to any proceedings is to be given at least 7 days’ notice (or such shorter notice as the Commission may, in a particular case, direct) in the </w:t>
      </w:r>
      <w:r>
        <w:t>approved form</w:t>
      </w:r>
      <w:r>
        <w:rPr>
          <w:snapToGrid w:val="0"/>
        </w:rPr>
        <w:t xml:space="preserve"> of the time and place fixed for hearing.</w:t>
      </w:r>
    </w:p>
    <w:p>
      <w:pPr>
        <w:pStyle w:val="Subsection"/>
        <w:rPr>
          <w:snapToGrid w:val="0"/>
        </w:rPr>
      </w:pPr>
      <w:r>
        <w:rPr>
          <w:snapToGrid w:val="0"/>
        </w:rPr>
        <w:tab/>
        <w:t>(3)</w:t>
      </w:r>
      <w:r>
        <w:rPr>
          <w:snapToGrid w:val="0"/>
        </w:rPr>
        <w:tab/>
      </w:r>
      <w:r>
        <w:t>A</w:t>
      </w:r>
      <w:r>
        <w:rPr>
          <w:snapToGrid w:val="0"/>
        </w:rPr>
        <w:t xml:space="preserve"> matter may be listed for hearing by the Commission without a request from any party where the Commission considers it appropriate in the circumstances of the case to do so.</w:t>
      </w:r>
    </w:p>
    <w:p>
      <w:pPr>
        <w:pStyle w:val="Footnotesection"/>
      </w:pPr>
      <w:r>
        <w:tab/>
        <w:t>[Regulation 32 amended: Gazette 5 Mar 2019 p. 591 and 622.]</w:t>
      </w:r>
    </w:p>
    <w:p>
      <w:pPr>
        <w:pStyle w:val="Heading5"/>
      </w:pPr>
      <w:bookmarkStart w:id="74" w:name="_Toc11744457"/>
      <w:r>
        <w:rPr>
          <w:rStyle w:val="CharSectno"/>
        </w:rPr>
        <w:t>32A</w:t>
      </w:r>
      <w:r>
        <w:t>.</w:t>
      </w:r>
      <w:r>
        <w:tab/>
        <w:t>Proceedings may be determined on the papers</w:t>
      </w:r>
      <w:bookmarkEnd w:id="74"/>
    </w:p>
    <w:p>
      <w:pPr>
        <w:pStyle w:val="Subsection"/>
      </w:pPr>
      <w:r>
        <w:tab/>
        <w:t>(1)</w:t>
      </w:r>
      <w:r>
        <w:tab/>
        <w:t xml:space="preserve">Subregulation (2) applies in relation to any proceedings before the Commission unless — </w:t>
      </w:r>
    </w:p>
    <w:p>
      <w:pPr>
        <w:pStyle w:val="Indenta"/>
      </w:pPr>
      <w:r>
        <w:tab/>
        <w:t>(a)</w:t>
      </w:r>
      <w:r>
        <w:tab/>
        <w:t>the proceedings require oral evidence to be given; or</w:t>
      </w:r>
    </w:p>
    <w:p>
      <w:pPr>
        <w:pStyle w:val="Indenta"/>
      </w:pPr>
      <w:r>
        <w:tab/>
        <w:t>(b)</w:t>
      </w:r>
      <w:r>
        <w:tab/>
        <w:t>a party to the proceedings has objected under subregulation (4)(b) to having the proceedings determined on the papers; or</w:t>
      </w:r>
    </w:p>
    <w:p>
      <w:pPr>
        <w:pStyle w:val="Indenta"/>
      </w:pPr>
      <w:r>
        <w:tab/>
        <w:t>(c)</w:t>
      </w:r>
      <w:r>
        <w:tab/>
        <w:t>the Commission decides in a particular case that it is not appropriate for the proceedings to be determined on the papers.</w:t>
      </w:r>
    </w:p>
    <w:p>
      <w:pPr>
        <w:pStyle w:val="Subsection"/>
      </w:pPr>
      <w:r>
        <w:tab/>
        <w:t>(2)</w:t>
      </w:r>
      <w:r>
        <w:tab/>
        <w:t>The Commission may determine any proceedings by conducting a hearing on the papers.</w:t>
      </w:r>
    </w:p>
    <w:p>
      <w:pPr>
        <w:pStyle w:val="Subsection"/>
      </w:pPr>
      <w:r>
        <w:tab/>
        <w:t>(3)</w:t>
      </w:r>
      <w:r>
        <w:tab/>
        <w:t>At a hearing on the papers, the Commission may make a determination on the basis of the documents filed or lodged by the parties.</w:t>
      </w:r>
    </w:p>
    <w:p>
      <w:pPr>
        <w:pStyle w:val="Subsection"/>
      </w:pPr>
      <w:r>
        <w:tab/>
        <w:t>(4)</w:t>
      </w:r>
      <w:r>
        <w:tab/>
        <w:t xml:space="preserve">If the Commission proposes to determine any proceedings by conducting a hearing on the papers, each party must be given — </w:t>
      </w:r>
    </w:p>
    <w:p>
      <w:pPr>
        <w:pStyle w:val="Indenta"/>
      </w:pPr>
      <w:r>
        <w:tab/>
        <w:t>(a)</w:t>
      </w:r>
      <w:r>
        <w:tab/>
        <w:t>notice of the proposal; and</w:t>
      </w:r>
    </w:p>
    <w:p>
      <w:pPr>
        <w:pStyle w:val="Indenta"/>
      </w:pPr>
      <w:r>
        <w:tab/>
        <w:t>(b)</w:t>
      </w:r>
      <w:r>
        <w:tab/>
        <w:t>a reasonable opportunity to object to having the proceedings determined on the papers.</w:t>
      </w:r>
    </w:p>
    <w:p>
      <w:pPr>
        <w:pStyle w:val="Footnotesection"/>
      </w:pPr>
      <w:r>
        <w:tab/>
        <w:t>[Regulation 32A inserted: Gazette 5 Mar 2019 p. 591</w:t>
      </w:r>
      <w:r>
        <w:noBreakHyphen/>
        <w:t>2.]</w:t>
      </w:r>
    </w:p>
    <w:p>
      <w:pPr>
        <w:pStyle w:val="Heading5"/>
        <w:rPr>
          <w:snapToGrid w:val="0"/>
        </w:rPr>
      </w:pPr>
      <w:bookmarkStart w:id="75" w:name="_Toc11744458"/>
      <w:r>
        <w:rPr>
          <w:rStyle w:val="CharSectno"/>
        </w:rPr>
        <w:t>33</w:t>
      </w:r>
      <w:r>
        <w:t>.</w:t>
      </w:r>
      <w:r>
        <w:tab/>
      </w:r>
      <w:r>
        <w:rPr>
          <w:snapToGrid w:val="0"/>
        </w:rPr>
        <w:t>Procedure before Commission</w:t>
      </w:r>
      <w:bookmarkEnd w:id="75"/>
    </w:p>
    <w:p>
      <w:pPr>
        <w:pStyle w:val="Subsection"/>
      </w:pPr>
      <w:r>
        <w:tab/>
        <w:t>(1A)</w:t>
      </w:r>
      <w:r>
        <w:tab/>
        <w:t xml:space="preserve">Subject to regulation 32A and subregulation (2), subregulation (1) sets out the procedure before the Commission except — </w:t>
      </w:r>
    </w:p>
    <w:p>
      <w:pPr>
        <w:pStyle w:val="Indenta"/>
      </w:pPr>
      <w:r>
        <w:tab/>
        <w:t>(a)</w:t>
      </w:r>
      <w:r>
        <w:tab/>
        <w:t>before the Chief Commissioner on an application under section 66 of the Act; or</w:t>
      </w:r>
    </w:p>
    <w:p>
      <w:pPr>
        <w:pStyle w:val="Indenta"/>
      </w:pPr>
      <w:r>
        <w:tab/>
        <w:t>(b)</w:t>
      </w:r>
      <w:r>
        <w:tab/>
        <w:t>on an appeal to be heard by the Full Bench; or</w:t>
      </w:r>
    </w:p>
    <w:p>
      <w:pPr>
        <w:pStyle w:val="Indenta"/>
      </w:pPr>
      <w:r>
        <w:tab/>
        <w:t>(c)</w:t>
      </w:r>
      <w:r>
        <w:tab/>
        <w:t>on a matter before the Commission in Court Session.</w:t>
      </w:r>
    </w:p>
    <w:p>
      <w:pPr>
        <w:pStyle w:val="Subsection"/>
        <w:rPr>
          <w:snapToGrid w:val="0"/>
        </w:rPr>
      </w:pPr>
      <w:r>
        <w:rPr>
          <w:snapToGrid w:val="0"/>
        </w:rPr>
        <w:tab/>
        <w:t>(1)</w:t>
      </w:r>
      <w:r>
        <w:rPr>
          <w:snapToGrid w:val="0"/>
        </w:rPr>
        <w:tab/>
      </w:r>
      <w:r>
        <w:t xml:space="preserve">The procedure referred to in subregulation (1A) </w:t>
      </w:r>
      <w:r>
        <w:rPr>
          <w:snapToGrid w:val="0"/>
        </w:rPr>
        <w:t>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Footnotesection"/>
      </w:pPr>
      <w:r>
        <w:tab/>
        <w:t>[Regulation 33 amended: Gazette 19 Dec 2018 p. 4839; 5 Mar 2019 p. 592.]</w:t>
      </w:r>
    </w:p>
    <w:p>
      <w:pPr>
        <w:pStyle w:val="Heading3"/>
      </w:pPr>
      <w:bookmarkStart w:id="76" w:name="_Toc5352943"/>
      <w:bookmarkStart w:id="77" w:name="_Toc5353572"/>
      <w:bookmarkStart w:id="78" w:name="_Toc8742637"/>
      <w:bookmarkStart w:id="79" w:name="_Toc11053373"/>
      <w:bookmarkStart w:id="80" w:name="_Toc11744459"/>
      <w:r>
        <w:rPr>
          <w:rStyle w:val="CharDivNo"/>
        </w:rPr>
        <w:t>Division 6</w:t>
      </w:r>
      <w:r>
        <w:t> — </w:t>
      </w:r>
      <w:r>
        <w:rPr>
          <w:rStyle w:val="CharDivText"/>
        </w:rPr>
        <w:t>General</w:t>
      </w:r>
      <w:bookmarkEnd w:id="76"/>
      <w:bookmarkEnd w:id="77"/>
      <w:bookmarkEnd w:id="78"/>
      <w:bookmarkEnd w:id="79"/>
      <w:bookmarkEnd w:id="80"/>
    </w:p>
    <w:p>
      <w:pPr>
        <w:pStyle w:val="Heading5"/>
      </w:pPr>
      <w:bookmarkStart w:id="81" w:name="_Toc11744460"/>
      <w:r>
        <w:rPr>
          <w:rStyle w:val="CharSectno"/>
        </w:rPr>
        <w:t>34</w:t>
      </w:r>
      <w:r>
        <w:t>.</w:t>
      </w:r>
      <w:r>
        <w:tab/>
        <w:t>Elimination of delays</w:t>
      </w:r>
      <w:bookmarkEnd w:id="81"/>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keepNext/>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82" w:name="_Toc11744461"/>
      <w:r>
        <w:rPr>
          <w:rStyle w:val="CharSectno"/>
        </w:rPr>
        <w:t>35</w:t>
      </w:r>
      <w:r>
        <w:t>.</w:t>
      </w:r>
      <w:r>
        <w:tab/>
        <w:t>Electronic documents and communications</w:t>
      </w:r>
      <w:bookmarkEnd w:id="82"/>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 and</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83" w:name="_Toc11744462"/>
      <w:r>
        <w:rPr>
          <w:rStyle w:val="CharSectno"/>
        </w:rPr>
        <w:t>36</w:t>
      </w:r>
      <w:r>
        <w:t>.</w:t>
      </w:r>
      <w:r>
        <w:tab/>
      </w:r>
      <w:r>
        <w:rPr>
          <w:snapToGrid w:val="0"/>
        </w:rPr>
        <w:t>Extension or abridgment of time</w:t>
      </w:r>
      <w:bookmarkEnd w:id="83"/>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84" w:name="_Toc11744463"/>
      <w:r>
        <w:rPr>
          <w:rStyle w:val="CharSectno"/>
        </w:rPr>
        <w:t>37</w:t>
      </w:r>
      <w:r>
        <w:t>.</w:t>
      </w:r>
      <w:r>
        <w:tab/>
      </w:r>
      <w:r>
        <w:rPr>
          <w:snapToGrid w:val="0"/>
        </w:rPr>
        <w:t>Waiver of procedural regulations</w:t>
      </w:r>
      <w:bookmarkEnd w:id="84"/>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pageBreakBefore/>
        <w:spacing w:before="0"/>
        <w:rPr>
          <w:snapToGrid w:val="0"/>
        </w:rPr>
      </w:pPr>
      <w:bookmarkStart w:id="85" w:name="_Toc11744464"/>
      <w:r>
        <w:rPr>
          <w:rStyle w:val="CharSectno"/>
        </w:rPr>
        <w:t>38</w:t>
      </w:r>
      <w:r>
        <w:t>.</w:t>
      </w:r>
      <w:r>
        <w:tab/>
      </w:r>
      <w:r>
        <w:rPr>
          <w:snapToGrid w:val="0"/>
        </w:rPr>
        <w:t>Non</w:t>
      </w:r>
      <w:r>
        <w:rPr>
          <w:snapToGrid w:val="0"/>
        </w:rPr>
        <w:noBreakHyphen/>
        <w:t>compliance with regulations</w:t>
      </w:r>
      <w:bookmarkEnd w:id="85"/>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86" w:name="_Toc11744465"/>
      <w:r>
        <w:rPr>
          <w:rStyle w:val="CharSectno"/>
        </w:rPr>
        <w:t>39</w:t>
      </w:r>
      <w:r>
        <w:t>.</w:t>
      </w:r>
      <w:r>
        <w:tab/>
      </w:r>
      <w:r>
        <w:rPr>
          <w:snapToGrid w:val="0"/>
        </w:rPr>
        <w:t>Practice</w:t>
      </w:r>
      <w:bookmarkEnd w:id="86"/>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87" w:name="_Toc5352950"/>
      <w:bookmarkStart w:id="88" w:name="_Toc5353579"/>
      <w:bookmarkStart w:id="89" w:name="_Toc8742644"/>
      <w:bookmarkStart w:id="90" w:name="_Toc11053380"/>
      <w:bookmarkStart w:id="91" w:name="_Toc11744466"/>
      <w:r>
        <w:rPr>
          <w:rStyle w:val="CharPartNo"/>
        </w:rPr>
        <w:t>Part 4</w:t>
      </w:r>
      <w:r>
        <w:rPr>
          <w:rStyle w:val="CharDivNo"/>
        </w:rPr>
        <w:t> </w:t>
      </w:r>
      <w:r>
        <w:t>—</w:t>
      </w:r>
      <w:r>
        <w:rPr>
          <w:rStyle w:val="CharDivText"/>
        </w:rPr>
        <w:t> </w:t>
      </w:r>
      <w:r>
        <w:rPr>
          <w:rStyle w:val="CharPartText"/>
        </w:rPr>
        <w:t>Witnesses and evidence</w:t>
      </w:r>
      <w:bookmarkEnd w:id="87"/>
      <w:bookmarkEnd w:id="88"/>
      <w:bookmarkEnd w:id="89"/>
      <w:bookmarkEnd w:id="90"/>
      <w:bookmarkEnd w:id="91"/>
    </w:p>
    <w:p>
      <w:pPr>
        <w:pStyle w:val="Heading5"/>
        <w:rPr>
          <w:snapToGrid w:val="0"/>
        </w:rPr>
      </w:pPr>
      <w:bookmarkStart w:id="92" w:name="_Toc11744467"/>
      <w:r>
        <w:rPr>
          <w:rStyle w:val="CharSectno"/>
        </w:rPr>
        <w:t>40</w:t>
      </w:r>
      <w:r>
        <w:t>.</w:t>
      </w:r>
      <w:r>
        <w:tab/>
      </w:r>
      <w:r>
        <w:rPr>
          <w:snapToGrid w:val="0"/>
        </w:rPr>
        <w:t>Application for examination of witness</w:t>
      </w:r>
      <w:bookmarkEnd w:id="92"/>
    </w:p>
    <w:p>
      <w:pPr>
        <w:pStyle w:val="Subsection"/>
        <w:spacing w:before="100"/>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spacing w:before="100"/>
        <w:rPr>
          <w:snapToGrid w:val="0"/>
        </w:rPr>
      </w:pPr>
      <w:r>
        <w:rPr>
          <w:snapToGrid w:val="0"/>
        </w:rPr>
        <w:tab/>
        <w:t>(2)</w:t>
      </w:r>
      <w:r>
        <w:rPr>
          <w:snapToGrid w:val="0"/>
        </w:rPr>
        <w:tab/>
        <w:t xml:space="preserve">As soon as practicable after the application is filed the </w:t>
      </w:r>
      <w:r>
        <w:t>Registrar</w:t>
      </w:r>
      <w:r>
        <w:rPr>
          <w:snapToGrid w:val="0"/>
        </w:rPr>
        <w:t xml:space="preserve"> must serve a copy of the application on the respondent.</w:t>
      </w:r>
    </w:p>
    <w:p>
      <w:pPr>
        <w:pStyle w:val="Subsection"/>
        <w:spacing w:before="100"/>
      </w:pPr>
      <w:r>
        <w:tab/>
        <w:t>(3)</w:t>
      </w:r>
      <w:r>
        <w:tab/>
        <w:t>It is not necessary for the respondent to file a response to the application.</w:t>
      </w:r>
    </w:p>
    <w:p>
      <w:pPr>
        <w:pStyle w:val="Subsection"/>
        <w:spacing w:before="100"/>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spacing w:before="100"/>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spacing w:before="100"/>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spacing w:before="100"/>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spacing w:before="100"/>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spacing w:before="100"/>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Footnotesection"/>
      </w:pPr>
      <w:r>
        <w:tab/>
        <w:t>[Regulation 40 amended: Gazette 5 Mar 2019 p. 592 and 621.]</w:t>
      </w:r>
    </w:p>
    <w:p>
      <w:pPr>
        <w:pStyle w:val="Heading5"/>
        <w:rPr>
          <w:snapToGrid w:val="0"/>
        </w:rPr>
      </w:pPr>
      <w:bookmarkStart w:id="93" w:name="_Toc11744468"/>
      <w:r>
        <w:rPr>
          <w:rStyle w:val="CharSectno"/>
        </w:rPr>
        <w:t>41</w:t>
      </w:r>
      <w:r>
        <w:t>.</w:t>
      </w:r>
      <w:r>
        <w:tab/>
      </w:r>
      <w:r>
        <w:rPr>
          <w:snapToGrid w:val="0"/>
        </w:rPr>
        <w:t>Summons to witness</w:t>
      </w:r>
      <w:bookmarkEnd w:id="93"/>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 xml:space="preserve">must be in the form </w:t>
      </w:r>
      <w:r>
        <w:t>set out in Schedule 1 Division 1.</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pPr>
      <w:r>
        <w:tab/>
        <w:t>(5)</w:t>
      </w:r>
      <w:r>
        <w:tab/>
        <w:t xml:space="preserve">The party requesting the summons — </w:t>
      </w:r>
    </w:p>
    <w:p>
      <w:pPr>
        <w:pStyle w:val="Indenta"/>
      </w:pPr>
      <w:r>
        <w:tab/>
        <w:t>(a)</w:t>
      </w:r>
      <w:r>
        <w:tab/>
        <w:t>must cause it to be served personally on the person named in the summons; and</w:t>
      </w:r>
    </w:p>
    <w:p>
      <w:pPr>
        <w:pStyle w:val="Indenta"/>
        <w:keepNext/>
      </w:pPr>
      <w:r>
        <w:tab/>
        <w:t>(b)</w:t>
      </w:r>
      <w:r>
        <w:tab/>
        <w:t>must cause a copy of it to be served on any other party to the proceedings; and</w:t>
      </w:r>
    </w:p>
    <w:p>
      <w:pPr>
        <w:pStyle w:val="Indenta"/>
      </w:pPr>
      <w:r>
        <w:tab/>
        <w:t>(c)</w:t>
      </w:r>
      <w:r>
        <w:tab/>
        <w:t>must ensure that proof of service under paragraph (a) is given in the approved form.</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Footnotesection"/>
      </w:pPr>
      <w:r>
        <w:tab/>
        <w:t>[Regulation 41 amended: Gazette 5 Mar 2019 p. 592</w:t>
      </w:r>
      <w:r>
        <w:noBreakHyphen/>
        <w:t>3 and 622.]</w:t>
      </w:r>
    </w:p>
    <w:p>
      <w:pPr>
        <w:pStyle w:val="Heading5"/>
        <w:rPr>
          <w:snapToGrid w:val="0"/>
        </w:rPr>
      </w:pPr>
      <w:bookmarkStart w:id="94" w:name="_Toc11744469"/>
      <w:r>
        <w:rPr>
          <w:rStyle w:val="CharSectno"/>
        </w:rPr>
        <w:t>42</w:t>
      </w:r>
      <w:r>
        <w:t>.</w:t>
      </w:r>
      <w:r>
        <w:tab/>
      </w:r>
      <w:r>
        <w:rPr>
          <w:snapToGrid w:val="0"/>
        </w:rPr>
        <w:t>Application to set aside witness summons</w:t>
      </w:r>
      <w:bookmarkEnd w:id="94"/>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pPr>
      <w:r>
        <w:tab/>
        <w:t>(3)</w:t>
      </w:r>
      <w:r>
        <w:tab/>
        <w:t>It is not necessary to file a response to the application.</w:t>
      </w:r>
    </w:p>
    <w:p>
      <w:pPr>
        <w:pStyle w:val="Footnotesection"/>
      </w:pPr>
      <w:r>
        <w:tab/>
        <w:t>[Regulation 42 amended: Gazette 5 Mar 2019 p. 593.]</w:t>
      </w:r>
    </w:p>
    <w:p>
      <w:pPr>
        <w:pStyle w:val="Heading5"/>
        <w:pageBreakBefore/>
        <w:spacing w:before="0"/>
      </w:pPr>
      <w:bookmarkStart w:id="95" w:name="_Toc11744470"/>
      <w:r>
        <w:rPr>
          <w:rStyle w:val="CharSectno"/>
        </w:rPr>
        <w:t>43</w:t>
      </w:r>
      <w:r>
        <w:t>.</w:t>
      </w:r>
      <w:r>
        <w:tab/>
        <w:t>Witness statements and outlines of evidence</w:t>
      </w:r>
      <w:bookmarkEnd w:id="95"/>
    </w:p>
    <w:p>
      <w:pPr>
        <w:pStyle w:val="Subsection"/>
      </w:pPr>
      <w:r>
        <w:tab/>
        <w:t>(1)</w:t>
      </w:r>
      <w:r>
        <w:tab/>
        <w:t xml:space="preserve">In any proceedings, the Commission may of its own motion or on application by a party to the proceedings give directions to any party to serve on each other party in the proceedings — </w:t>
      </w:r>
    </w:p>
    <w:p>
      <w:pPr>
        <w:pStyle w:val="Indenta"/>
      </w:pPr>
      <w:r>
        <w:tab/>
        <w:t>(a)</w:t>
      </w:r>
      <w:r>
        <w:tab/>
        <w:t>a written statement of the oral evidence that the party intends to adduce in chief on any issues of fact to be decided at the hearing; or</w:t>
      </w:r>
    </w:p>
    <w:p>
      <w:pPr>
        <w:pStyle w:val="Indenta"/>
      </w:pPr>
      <w:r>
        <w:tab/>
        <w:t>(b)</w:t>
      </w:r>
      <w:r>
        <w:tab/>
        <w:t>a written outline of that evidence.</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Registrar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 and</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Footnotesection"/>
      </w:pPr>
      <w:r>
        <w:tab/>
        <w:t>[Regulation 43 amended: Gazette 5 Mar 2019 p. 593 and 621.]</w:t>
      </w:r>
    </w:p>
    <w:p>
      <w:pPr>
        <w:pStyle w:val="Heading5"/>
      </w:pPr>
      <w:bookmarkStart w:id="96" w:name="_Toc11744471"/>
      <w:r>
        <w:rPr>
          <w:rStyle w:val="CharSectno"/>
        </w:rPr>
        <w:t>44</w:t>
      </w:r>
      <w:r>
        <w:t>.</w:t>
      </w:r>
      <w:r>
        <w:tab/>
        <w:t>Evidence or submissions by video</w:t>
      </w:r>
      <w:r>
        <w:noBreakHyphen/>
        <w:t>link or telephone</w:t>
      </w:r>
      <w:bookmarkEnd w:id="96"/>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 and</w:t>
      </w:r>
    </w:p>
    <w:p>
      <w:pPr>
        <w:pStyle w:val="Indenta"/>
      </w:pPr>
      <w:r>
        <w:tab/>
        <w:t>(b)</w:t>
      </w:r>
      <w:r>
        <w:tab/>
        <w:t>the nature of the evidence to be taken or submissions to be made; and</w:t>
      </w:r>
    </w:p>
    <w:p>
      <w:pPr>
        <w:pStyle w:val="Indenta"/>
      </w:pPr>
      <w:r>
        <w:tab/>
        <w:t>(c)</w:t>
      </w:r>
      <w:r>
        <w:tab/>
        <w:t>the expected duration of the evidence or submissions; and</w:t>
      </w:r>
    </w:p>
    <w:p>
      <w:pPr>
        <w:pStyle w:val="Indenta"/>
      </w:pPr>
      <w:r>
        <w:tab/>
        <w:t>(d)</w:t>
      </w:r>
      <w:r>
        <w:tab/>
        <w:t xml:space="preserve">in the case of an application to take evidence — </w:t>
      </w:r>
    </w:p>
    <w:p>
      <w:pPr>
        <w:pStyle w:val="Indenti"/>
      </w:pPr>
      <w:r>
        <w:tab/>
        <w:t>(i)</w:t>
      </w:r>
      <w:r>
        <w:tab/>
        <w:t>the number of witnesses proposed to be examined by video-link or telephone; and</w:t>
      </w:r>
    </w:p>
    <w:p>
      <w:pPr>
        <w:pStyle w:val="Indenti"/>
      </w:pPr>
      <w:r>
        <w:tab/>
        <w:t>(ii)</w:t>
      </w:r>
      <w:r>
        <w:tab/>
        <w:t>whether issues of credit are likely to be raised;</w:t>
      </w:r>
    </w:p>
    <w:p>
      <w:pPr>
        <w:pStyle w:val="Indenta"/>
      </w:pPr>
      <w:r>
        <w:tab/>
      </w:r>
      <w:r>
        <w:tab/>
        <w:t>and</w:t>
      </w:r>
    </w:p>
    <w:p>
      <w:pPr>
        <w:pStyle w:val="Indenta"/>
      </w:pPr>
      <w:r>
        <w:tab/>
        <w:t>(e)</w:t>
      </w:r>
      <w:r>
        <w:tab/>
        <w:t>in the case of submissions, the expected duration of the submissions; and</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Registrar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Footnotesection"/>
      </w:pPr>
      <w:r>
        <w:tab/>
        <w:t>[Regulation 44 amended: Gazette 5 Mar 2019 p. 621.]</w:t>
      </w:r>
    </w:p>
    <w:p>
      <w:pPr>
        <w:pStyle w:val="Heading5"/>
      </w:pPr>
      <w:bookmarkStart w:id="97" w:name="_Toc11744472"/>
      <w:r>
        <w:rPr>
          <w:rStyle w:val="CharSectno"/>
        </w:rPr>
        <w:t>45</w:t>
      </w:r>
      <w:r>
        <w:t>.</w:t>
      </w:r>
      <w:r>
        <w:tab/>
        <w:t>Disclosure of expert’s report</w:t>
      </w:r>
      <w:bookmarkEnd w:id="97"/>
    </w:p>
    <w:p>
      <w:pPr>
        <w:pStyle w:val="Subsection"/>
      </w:pPr>
      <w:r>
        <w:tab/>
        <w:t>(1)</w:t>
      </w:r>
      <w:r>
        <w:tab/>
        <w:t>In this regulation —</w:t>
      </w:r>
    </w:p>
    <w:p>
      <w:pPr>
        <w:pStyle w:val="Defstart"/>
      </w:pPr>
      <w:r>
        <w:rPr>
          <w:b/>
        </w:rPr>
        <w:tab/>
      </w:r>
      <w:r>
        <w:rPr>
          <w:rStyle w:val="CharDefText"/>
        </w:rPr>
        <w:t>expert’s report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Registrar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 and</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 and</w:t>
      </w:r>
    </w:p>
    <w:p>
      <w:pPr>
        <w:pStyle w:val="Indenta"/>
      </w:pPr>
      <w:r>
        <w:tab/>
        <w:t>(b)</w:t>
      </w:r>
      <w:r>
        <w:tab/>
        <w:t>require the experts to prepare a joint statement of any matters on which they agree, any matters on which they disagree, and the reasons for any disagreement; and</w:t>
      </w:r>
    </w:p>
    <w:p>
      <w:pPr>
        <w:pStyle w:val="Indenta"/>
        <w:keepNext/>
      </w:pPr>
      <w:r>
        <w:tab/>
        <w:t>(c)</w:t>
      </w:r>
      <w:r>
        <w:tab/>
        <w:t>hear the evidence of the experts together.</w:t>
      </w:r>
    </w:p>
    <w:p>
      <w:pPr>
        <w:pStyle w:val="Footnotesection"/>
      </w:pPr>
      <w:r>
        <w:tab/>
        <w:t>[Regulation 45 amended: Gazette 28 Apr 2006 p. 1652; 5 Mar 2019 p. 621.]</w:t>
      </w:r>
    </w:p>
    <w:p>
      <w:pPr>
        <w:pStyle w:val="Heading5"/>
        <w:rPr>
          <w:snapToGrid w:val="0"/>
        </w:rPr>
      </w:pPr>
      <w:bookmarkStart w:id="98" w:name="_Toc11744473"/>
      <w:r>
        <w:rPr>
          <w:rStyle w:val="CharSectno"/>
        </w:rPr>
        <w:t>46</w:t>
      </w:r>
      <w:r>
        <w:t>.</w:t>
      </w:r>
      <w:r>
        <w:tab/>
      </w:r>
      <w:r>
        <w:rPr>
          <w:snapToGrid w:val="0"/>
        </w:rPr>
        <w:t>Exhibits</w:t>
      </w:r>
      <w:bookmarkEnd w:id="98"/>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99" w:name="_Toc11744474"/>
      <w:r>
        <w:rPr>
          <w:rStyle w:val="CharSectno"/>
        </w:rPr>
        <w:t>47</w:t>
      </w:r>
      <w:r>
        <w:t>.</w:t>
      </w:r>
      <w:r>
        <w:tab/>
      </w:r>
      <w:r>
        <w:rPr>
          <w:snapToGrid w:val="0"/>
        </w:rPr>
        <w:t>Declarations and affidavits</w:t>
      </w:r>
      <w:bookmarkEnd w:id="99"/>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Gazette 22 Jan 2008 p. 192.]</w:t>
      </w:r>
    </w:p>
    <w:p>
      <w:pPr>
        <w:pStyle w:val="Heading2"/>
      </w:pPr>
      <w:bookmarkStart w:id="100" w:name="_Toc5352959"/>
      <w:bookmarkStart w:id="101" w:name="_Toc5353588"/>
      <w:bookmarkStart w:id="102" w:name="_Toc8742653"/>
      <w:bookmarkStart w:id="103" w:name="_Toc11053389"/>
      <w:bookmarkStart w:id="104" w:name="_Toc11744475"/>
      <w:r>
        <w:rPr>
          <w:rStyle w:val="CharPartNo"/>
        </w:rPr>
        <w:t>Part 5</w:t>
      </w:r>
      <w:r>
        <w:rPr>
          <w:rStyle w:val="CharDivNo"/>
        </w:rPr>
        <w:t> </w:t>
      </w:r>
      <w:r>
        <w:t>—</w:t>
      </w:r>
      <w:r>
        <w:rPr>
          <w:rStyle w:val="CharDivText"/>
        </w:rPr>
        <w:t> </w:t>
      </w:r>
      <w:r>
        <w:rPr>
          <w:rStyle w:val="CharPartText"/>
        </w:rPr>
        <w:t>Applications generally</w:t>
      </w:r>
      <w:bookmarkEnd w:id="100"/>
      <w:bookmarkEnd w:id="101"/>
      <w:bookmarkEnd w:id="102"/>
      <w:bookmarkEnd w:id="103"/>
      <w:bookmarkEnd w:id="104"/>
    </w:p>
    <w:p>
      <w:pPr>
        <w:pStyle w:val="Heading5"/>
        <w:rPr>
          <w:snapToGrid w:val="0"/>
        </w:rPr>
      </w:pPr>
      <w:bookmarkStart w:id="105" w:name="_Toc11744476"/>
      <w:r>
        <w:rPr>
          <w:rStyle w:val="CharSectno"/>
        </w:rPr>
        <w:t>48</w:t>
      </w:r>
      <w:r>
        <w:t>.</w:t>
      </w:r>
      <w:r>
        <w:tab/>
      </w:r>
      <w:r>
        <w:rPr>
          <w:snapToGrid w:val="0"/>
        </w:rPr>
        <w:t>Application for award</w:t>
      </w:r>
      <w:bookmarkEnd w:id="105"/>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pPr>
      <w:r>
        <w:tab/>
        <w:t>(2)</w:t>
      </w:r>
      <w:r>
        <w:tab/>
        <w:t>After the application is filed, the Registrar must seek directions from the Commission as to service of the application.</w:t>
      </w:r>
    </w:p>
    <w:p>
      <w:pPr>
        <w:pStyle w:val="Subsection"/>
      </w:pPr>
      <w:r>
        <w:tab/>
        <w:t>(3)</w:t>
      </w:r>
      <w:r>
        <w:tab/>
        <w:t>The Registrar must serve a copy of the application together with its attachments on those persons directed by the Commission to be served with the application.</w:t>
      </w:r>
    </w:p>
    <w:p>
      <w:pPr>
        <w:pStyle w:val="Ednotesubsection"/>
      </w:pPr>
      <w:r>
        <w:tab/>
        <w:t>[(4)</w:t>
      </w:r>
      <w:r>
        <w:tab/>
        <w:t>deleted]</w:t>
      </w:r>
    </w:p>
    <w:p>
      <w:pPr>
        <w:pStyle w:val="Subsection"/>
        <w:rPr>
          <w:snapToGrid w:val="0"/>
        </w:rPr>
      </w:pPr>
      <w:r>
        <w:rPr>
          <w:snapToGrid w:val="0"/>
        </w:rPr>
        <w:tab/>
        <w:t>(5)</w:t>
      </w:r>
      <w:r>
        <w:rPr>
          <w:snapToGrid w:val="0"/>
        </w:rPr>
        <w:tab/>
        <w:t xml:space="preserve">A respondent who is served with an application for an award and who desires to contest the claim or any provision sought by the applicant must, within the time endorsed on the notice of application or within such additional time as may be allowed under these regulations, file a </w:t>
      </w:r>
      <w:r>
        <w:t>response in the approved form.</w:t>
      </w:r>
    </w:p>
    <w:p>
      <w:pPr>
        <w:pStyle w:val="Subsection"/>
        <w:rPr>
          <w:snapToGrid w:val="0"/>
        </w:rPr>
      </w:pPr>
      <w:r>
        <w:rPr>
          <w:snapToGrid w:val="0"/>
        </w:rPr>
        <w:tab/>
        <w:t>(6)</w:t>
      </w:r>
      <w:r>
        <w:rPr>
          <w:snapToGrid w:val="0"/>
        </w:rPr>
        <w:tab/>
      </w:r>
      <w:r>
        <w:t>A response</w:t>
      </w:r>
      <w:r>
        <w:rPr>
          <w:snapToGrid w:val="0"/>
        </w:rPr>
        <w:t xml:space="preserve"> must specifically admit or dispute, either with or without qualification, each part of the claim made by the applicant.</w:t>
      </w:r>
    </w:p>
    <w:p>
      <w:pPr>
        <w:pStyle w:val="Subsection"/>
        <w:rPr>
          <w:snapToGrid w:val="0"/>
        </w:rPr>
      </w:pPr>
      <w:r>
        <w:rPr>
          <w:snapToGrid w:val="0"/>
        </w:rPr>
        <w:tab/>
        <w:t>(7)</w:t>
      </w:r>
      <w:r>
        <w:rPr>
          <w:snapToGrid w:val="0"/>
        </w:rPr>
        <w:tab/>
      </w:r>
      <w:r>
        <w:t>A response</w:t>
      </w:r>
      <w:r>
        <w:rPr>
          <w:snapToGrid w:val="0"/>
        </w:rPr>
        <w:t xml:space="preserve"> may contain a counter-proposal in which case the proposal must be set out in such detail as to clearly specify the nature of the relief proposed.</w:t>
      </w:r>
    </w:p>
    <w:p>
      <w:pPr>
        <w:pStyle w:val="Subsection"/>
      </w:pPr>
      <w:r>
        <w:tab/>
        <w:t>(8)</w:t>
      </w:r>
      <w:r>
        <w:tab/>
        <w:t>After a respondent files a response, the Registrar must serve a copy on the applicant.</w:t>
      </w:r>
    </w:p>
    <w:p>
      <w:pPr>
        <w:pStyle w:val="Ednotesubsection"/>
      </w:pPr>
      <w:r>
        <w:tab/>
        <w:t>[(9)</w:t>
      </w:r>
      <w:r>
        <w:tab/>
        <w:t>deleted]</w:t>
      </w:r>
    </w:p>
    <w:p>
      <w:pPr>
        <w:pStyle w:val="Subsection"/>
        <w:rPr>
          <w:snapToGrid w:val="0"/>
        </w:rPr>
      </w:pPr>
      <w:r>
        <w:rPr>
          <w:snapToGrid w:val="0"/>
        </w:rPr>
        <w:tab/>
        <w:t>(10)</w:t>
      </w:r>
      <w:r>
        <w:rPr>
          <w:snapToGrid w:val="0"/>
        </w:rPr>
        <w:tab/>
        <w:t xml:space="preserve">The provisions of this regulation with respect to the time within which </w:t>
      </w:r>
      <w:r>
        <w:t>responses</w:t>
      </w:r>
      <w:r>
        <w:rPr>
          <w:snapToGrid w:val="0"/>
        </w:rPr>
        <w:t xml:space="preserve">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 xml:space="preserve">At any hearing by the Commission of an application for an award, a party who was served with a copy of the claims or a copy of any counter-proposals and who did not file </w:t>
      </w:r>
      <w:r>
        <w:t>a response</w:t>
      </w:r>
      <w:r>
        <w:rPr>
          <w:snapToGrid w:val="0"/>
        </w:rPr>
        <w:t xml:space="preserve">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Footnotesection"/>
      </w:pPr>
      <w:r>
        <w:tab/>
        <w:t>[Regulation 48 amended: Gazette 4 Jul 2014 p. 2390; 5 Mar 2019 p. 593</w:t>
      </w:r>
      <w:r>
        <w:noBreakHyphen/>
        <w:t>5.]</w:t>
      </w:r>
    </w:p>
    <w:p>
      <w:pPr>
        <w:pStyle w:val="Heading5"/>
        <w:rPr>
          <w:snapToGrid w:val="0"/>
        </w:rPr>
      </w:pPr>
      <w:bookmarkStart w:id="106" w:name="_Toc11744477"/>
      <w:r>
        <w:rPr>
          <w:rStyle w:val="CharSectno"/>
        </w:rPr>
        <w:t>49</w:t>
      </w:r>
      <w:r>
        <w:t>.</w:t>
      </w:r>
      <w:r>
        <w:tab/>
      </w:r>
      <w:r>
        <w:rPr>
          <w:snapToGrid w:val="0"/>
        </w:rPr>
        <w:t>Application to vary area of operation of award</w:t>
      </w:r>
      <w:bookmarkEnd w:id="106"/>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107" w:name="_Toc11744478"/>
      <w:r>
        <w:rPr>
          <w:rStyle w:val="CharSectno"/>
        </w:rPr>
        <w:t>50</w:t>
      </w:r>
      <w:r>
        <w:t>.</w:t>
      </w:r>
      <w:r>
        <w:tab/>
      </w:r>
      <w:r>
        <w:rPr>
          <w:snapToGrid w:val="0"/>
        </w:rPr>
        <w:t>Application to vary award</w:t>
      </w:r>
      <w:bookmarkEnd w:id="107"/>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pPr>
      <w:r>
        <w:tab/>
        <w:t>(4)</w:t>
      </w:r>
      <w:r>
        <w:tab/>
        <w:t>The Registrar must serve the application on all the named parties to the award unless the Registrar requests the Commission for directions as to service of the application.</w:t>
      </w:r>
    </w:p>
    <w:p>
      <w:pPr>
        <w:pStyle w:val="Subsection"/>
      </w:pPr>
      <w:r>
        <w:tab/>
        <w:t>(5)</w:t>
      </w:r>
      <w:r>
        <w:tab/>
        <w:t>If the Registrar requests the Commission for directions as to service, the Registrar must serve the application on the persons directed to be served.</w:t>
      </w:r>
    </w:p>
    <w:p>
      <w:pPr>
        <w:pStyle w:val="Subsection"/>
        <w:rPr>
          <w:snapToGrid w:val="0"/>
        </w:rPr>
      </w:pPr>
      <w:r>
        <w:rPr>
          <w:snapToGrid w:val="0"/>
        </w:rPr>
        <w:tab/>
        <w:t>(6)</w:t>
      </w:r>
      <w:r>
        <w:rPr>
          <w:snapToGrid w:val="0"/>
        </w:rPr>
        <w:tab/>
        <w:t xml:space="preserve">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w:t>
      </w:r>
      <w:r>
        <w:t>response in the approved form.</w:t>
      </w:r>
    </w:p>
    <w:p>
      <w:pPr>
        <w:pStyle w:val="Subsection"/>
        <w:rPr>
          <w:snapToGrid w:val="0"/>
        </w:rPr>
      </w:pPr>
      <w:r>
        <w:rPr>
          <w:snapToGrid w:val="0"/>
        </w:rPr>
        <w:tab/>
        <w:t>(7)</w:t>
      </w:r>
      <w:r>
        <w:rPr>
          <w:snapToGrid w:val="0"/>
        </w:rPr>
        <w:tab/>
      </w:r>
      <w:r>
        <w:t>A response</w:t>
      </w:r>
      <w:r>
        <w:rPr>
          <w:snapToGrid w:val="0"/>
        </w:rPr>
        <w:t xml:space="preserve"> must specifically admit or dispute, either with or without qualification, each part of the claim made by the applicant.</w:t>
      </w:r>
    </w:p>
    <w:p>
      <w:pPr>
        <w:pStyle w:val="Subsection"/>
        <w:rPr>
          <w:snapToGrid w:val="0"/>
        </w:rPr>
      </w:pPr>
      <w:r>
        <w:rPr>
          <w:snapToGrid w:val="0"/>
        </w:rPr>
        <w:tab/>
        <w:t>(8)</w:t>
      </w:r>
      <w:r>
        <w:rPr>
          <w:snapToGrid w:val="0"/>
        </w:rPr>
        <w:tab/>
      </w:r>
      <w:r>
        <w:t>A response</w:t>
      </w:r>
      <w:r>
        <w:rPr>
          <w:snapToGrid w:val="0"/>
        </w:rPr>
        <w:t xml:space="preserve"> may contain a counter-proposal in which case the proposal must be set out in such detail as to clearly specify the nature of the relief proposed.</w:t>
      </w:r>
    </w:p>
    <w:p>
      <w:pPr>
        <w:pStyle w:val="Subsection"/>
      </w:pPr>
      <w:r>
        <w:tab/>
        <w:t>(9)</w:t>
      </w:r>
      <w:r>
        <w:tab/>
        <w:t>After a respondent files a response, the Registrar must serve a copy on the applicant.</w:t>
      </w:r>
    </w:p>
    <w:p>
      <w:pPr>
        <w:pStyle w:val="Ednotesubsection"/>
      </w:pPr>
      <w:r>
        <w:tab/>
        <w:t>[(10)</w:t>
      </w:r>
      <w:r>
        <w:tab/>
        <w:t>deleted]</w:t>
      </w:r>
    </w:p>
    <w:p>
      <w:pPr>
        <w:pStyle w:val="Subsection"/>
        <w:rPr>
          <w:snapToGrid w:val="0"/>
        </w:rPr>
      </w:pPr>
      <w:r>
        <w:rPr>
          <w:snapToGrid w:val="0"/>
        </w:rPr>
        <w:tab/>
        <w:t>(11)</w:t>
      </w:r>
      <w:r>
        <w:rPr>
          <w:snapToGrid w:val="0"/>
        </w:rPr>
        <w:tab/>
        <w:t xml:space="preserve">The provisions of this regulation with respect to the time within which </w:t>
      </w:r>
      <w:r>
        <w:t>responses</w:t>
      </w:r>
      <w:r>
        <w:rPr>
          <w:snapToGrid w:val="0"/>
        </w:rPr>
        <w:t xml:space="preserve">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 xml:space="preserve">At any hearing by the Commission of an application for a variation of award, a party who was served with a copy of the claims or a copy of any counter-proposals and who did not file </w:t>
      </w:r>
      <w:r>
        <w:t>a response</w:t>
      </w:r>
      <w:r>
        <w:rPr>
          <w:snapToGrid w:val="0"/>
        </w:rPr>
        <w:t xml:space="preserve">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Footnotesection"/>
        <w:ind w:left="890" w:hanging="890"/>
      </w:pPr>
      <w:r>
        <w:tab/>
        <w:t>[Regulation 50 amended: Gazette 4 Jul 2014 p. 2390; 5 Mar 2019 p. 595</w:t>
      </w:r>
      <w:r>
        <w:noBreakHyphen/>
        <w:t>6.]</w:t>
      </w:r>
    </w:p>
    <w:p>
      <w:pPr>
        <w:pStyle w:val="Heading5"/>
        <w:rPr>
          <w:snapToGrid w:val="0"/>
        </w:rPr>
      </w:pPr>
      <w:bookmarkStart w:id="108" w:name="_Toc11744479"/>
      <w:r>
        <w:rPr>
          <w:rStyle w:val="CharSectno"/>
        </w:rPr>
        <w:t>51</w:t>
      </w:r>
      <w:r>
        <w:t>.</w:t>
      </w:r>
      <w:r>
        <w:tab/>
      </w:r>
      <w:r>
        <w:rPr>
          <w:snapToGrid w:val="0"/>
        </w:rPr>
        <w:t>Application for joinder of party to award</w:t>
      </w:r>
      <w:bookmarkEnd w:id="108"/>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pPr>
      <w:r>
        <w:tab/>
        <w:t>(3)</w:t>
      </w:r>
      <w:r>
        <w:tab/>
        <w:t>After the application is filed, the Registrar must seek directions from the Commission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Footnotesection"/>
        <w:ind w:left="890" w:hanging="890"/>
      </w:pPr>
      <w:r>
        <w:tab/>
        <w:t>[Regulation 51 amended: Gazette 5 Mar 2019 p. 596.]</w:t>
      </w:r>
    </w:p>
    <w:p>
      <w:pPr>
        <w:pStyle w:val="Heading5"/>
        <w:rPr>
          <w:snapToGrid w:val="0"/>
        </w:rPr>
      </w:pPr>
      <w:bookmarkStart w:id="109" w:name="_Toc11744480"/>
      <w:r>
        <w:rPr>
          <w:rStyle w:val="CharSectno"/>
        </w:rPr>
        <w:t>52</w:t>
      </w:r>
      <w:r>
        <w:t>.</w:t>
      </w:r>
      <w:r>
        <w:tab/>
      </w:r>
      <w:r>
        <w:rPr>
          <w:snapToGrid w:val="0"/>
        </w:rPr>
        <w:t>Application for interpretation of award or industrial agreement</w:t>
      </w:r>
      <w:bookmarkEnd w:id="109"/>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 and</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pPr>
      <w:r>
        <w:tab/>
        <w:t>(3)</w:t>
      </w:r>
      <w:r>
        <w:tab/>
        <w:t>It is not necessary to file a response to the application.</w:t>
      </w:r>
    </w:p>
    <w:p>
      <w:pPr>
        <w:pStyle w:val="Footnotesection"/>
        <w:ind w:left="890" w:hanging="890"/>
      </w:pPr>
      <w:r>
        <w:tab/>
        <w:t>[Regulation 52 amended: Gazette 28 Apr 2006 p. 1652; 5 Mar 2019 p. 596.]</w:t>
      </w:r>
    </w:p>
    <w:p>
      <w:pPr>
        <w:pStyle w:val="Heading5"/>
      </w:pPr>
      <w:bookmarkStart w:id="110" w:name="_Toc11744481"/>
      <w:r>
        <w:rPr>
          <w:rStyle w:val="CharSectno"/>
        </w:rPr>
        <w:t>53</w:t>
      </w:r>
      <w:r>
        <w:t>.</w:t>
      </w:r>
      <w:r>
        <w:tab/>
        <w:t>Bargaining for industrial agreement</w:t>
      </w:r>
      <w:bookmarkEnd w:id="110"/>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 or</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 or</w:t>
      </w:r>
    </w:p>
    <w:p>
      <w:pPr>
        <w:pStyle w:val="Indenta"/>
      </w:pPr>
      <w:r>
        <w:tab/>
        <w:t>(c)</w:t>
      </w:r>
      <w:r>
        <w:tab/>
        <w:t>section 42E of the Act seeking the Commission’s assistance in bargaining for an industrial agreement; or</w:t>
      </w:r>
    </w:p>
    <w:p>
      <w:pPr>
        <w:pStyle w:val="Ednotepara"/>
        <w:spacing w:before="80"/>
      </w:pPr>
      <w:r>
        <w:tab/>
        <w:t>[(d)</w:t>
      </w:r>
      <w:r>
        <w:tab/>
        <w:t>deleted]</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response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Footnotesection"/>
      </w:pPr>
      <w:r>
        <w:tab/>
        <w:t>[Regulation 53 amended: Gazette 12 Oct 2010 p. 5154; 5 Mar 2019 p. 619</w:t>
      </w:r>
      <w:r>
        <w:noBreakHyphen/>
        <w:t>20.]</w:t>
      </w:r>
    </w:p>
    <w:p>
      <w:pPr>
        <w:pStyle w:val="Heading5"/>
        <w:pageBreakBefore/>
        <w:spacing w:before="0"/>
      </w:pPr>
      <w:bookmarkStart w:id="111" w:name="_Toc11744482"/>
      <w:r>
        <w:rPr>
          <w:rStyle w:val="CharSectno"/>
        </w:rPr>
        <w:t>54A</w:t>
      </w:r>
      <w:r>
        <w:t>.</w:t>
      </w:r>
      <w:r>
        <w:tab/>
        <w:t>Orders as to specified matters on which agreement has not been reached</w:t>
      </w:r>
      <w:bookmarkEnd w:id="111"/>
    </w:p>
    <w:p>
      <w:pPr>
        <w:pStyle w:val="Subsection"/>
      </w:pPr>
      <w:r>
        <w:tab/>
        <w:t>(1)</w:t>
      </w:r>
      <w:r>
        <w:tab/>
        <w:t xml:space="preserve">An application under section 42G(1)(c) of the Act for an order as to specified matters on which agreement has not been reached must — </w:t>
      </w:r>
    </w:p>
    <w:p>
      <w:pPr>
        <w:pStyle w:val="Indenta"/>
      </w:pPr>
      <w:r>
        <w:tab/>
        <w:t>(a)</w:t>
      </w:r>
      <w:r>
        <w:tab/>
        <w:t>be signed by all of the negotiating parties or their agents and, where necessary, be sealed by them; and</w:t>
      </w:r>
    </w:p>
    <w:p>
      <w:pPr>
        <w:pStyle w:val="Indenta"/>
      </w:pPr>
      <w:r>
        <w:tab/>
        <w:t>(b)</w:t>
      </w:r>
      <w:r>
        <w:tab/>
        <w:t xml:space="preserve">have attached a statement that — </w:t>
      </w:r>
    </w:p>
    <w:p>
      <w:pPr>
        <w:pStyle w:val="Indenti"/>
      </w:pPr>
      <w:r>
        <w:tab/>
        <w:t>(i)</w:t>
      </w:r>
      <w:r>
        <w:tab/>
        <w:t>specifies the application mentioned in section 42G(1)(b) of the Act; and</w:t>
      </w:r>
    </w:p>
    <w:p>
      <w:pPr>
        <w:pStyle w:val="Indenti"/>
      </w:pPr>
      <w:r>
        <w:tab/>
        <w:t>(ii)</w:t>
      </w:r>
      <w:r>
        <w:tab/>
        <w:t>specifies the matters on which agreement has not been reached; and</w:t>
      </w:r>
    </w:p>
    <w:p>
      <w:pPr>
        <w:pStyle w:val="Indenti"/>
      </w:pPr>
      <w:r>
        <w:tab/>
        <w:t>(iii)</w:t>
      </w:r>
      <w:r>
        <w:tab/>
        <w:t>summarises the respective positions of the negotiating parties and the nature of the relief sought by each of them; and</w:t>
      </w:r>
    </w:p>
    <w:p>
      <w:pPr>
        <w:pStyle w:val="Indenti"/>
      </w:pPr>
      <w:r>
        <w:tab/>
        <w:t>(iv)</w:t>
      </w:r>
      <w:r>
        <w:tab/>
        <w:t>provides any other information considered by the negotiating parties to be relevant to the application.</w:t>
      </w:r>
    </w:p>
    <w:p>
      <w:pPr>
        <w:pStyle w:val="Subsection"/>
      </w:pPr>
      <w:r>
        <w:tab/>
        <w:t>(2)</w:t>
      </w:r>
      <w:r>
        <w:tab/>
        <w:t>It is not necessary to serve the application or to file a response to the application.</w:t>
      </w:r>
    </w:p>
    <w:p>
      <w:pPr>
        <w:pStyle w:val="Footnotesection"/>
      </w:pPr>
      <w:r>
        <w:tab/>
        <w:t>[Regulation 54A inserted: Gazette 12 Oct 2010 p. 5154-5; amended: Gazette 5 Mar 2019 p. 619</w:t>
      </w:r>
      <w:r>
        <w:noBreakHyphen/>
        <w:t>20.]</w:t>
      </w:r>
    </w:p>
    <w:p>
      <w:pPr>
        <w:pStyle w:val="Heading5"/>
      </w:pPr>
      <w:bookmarkStart w:id="112" w:name="_Toc11744483"/>
      <w:r>
        <w:rPr>
          <w:rStyle w:val="CharSectno"/>
        </w:rPr>
        <w:t>54</w:t>
      </w:r>
      <w:r>
        <w:t>.</w:t>
      </w:r>
      <w:r>
        <w:tab/>
      </w:r>
      <w:smartTag w:uri="urn:schemas-microsoft-com:office:smarttags" w:element="place">
        <w:smartTag w:uri="urn:schemas-microsoft-com:office:smarttags" w:element="City">
          <w:r>
            <w:t>Enterprise</w:t>
          </w:r>
        </w:smartTag>
      </w:smartTag>
      <w:r>
        <w:t xml:space="preserve"> order</w:t>
      </w:r>
      <w:bookmarkEnd w:id="112"/>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pageBreakBefore/>
        <w:spacing w:before="0"/>
        <w:rPr>
          <w:snapToGrid w:val="0"/>
        </w:rPr>
      </w:pPr>
      <w:bookmarkStart w:id="113" w:name="_Toc11744484"/>
      <w:r>
        <w:rPr>
          <w:rStyle w:val="CharSectno"/>
        </w:rPr>
        <w:t>55</w:t>
      </w:r>
      <w:r>
        <w:t>.</w:t>
      </w:r>
      <w:r>
        <w:tab/>
      </w:r>
      <w:r>
        <w:rPr>
          <w:snapToGrid w:val="0"/>
        </w:rPr>
        <w:t>Application for industrial agreement</w:t>
      </w:r>
      <w:bookmarkEnd w:id="113"/>
    </w:p>
    <w:p>
      <w:pPr>
        <w:pStyle w:val="Subsection"/>
        <w:keepNext/>
        <w:rPr>
          <w:snapToGrid w:val="0"/>
        </w:rPr>
      </w:pPr>
      <w:r>
        <w:rPr>
          <w:snapToGrid w:val="0"/>
        </w:rPr>
        <w:tab/>
      </w:r>
      <w:r>
        <w:t>(1)</w:t>
      </w:r>
      <w:r>
        <w:rPr>
          <w:snapToGrid w:val="0"/>
        </w:rPr>
        <w:tab/>
        <w:t>Any application for registration of an industrial agreement must be accompanied by — </w:t>
      </w:r>
    </w:p>
    <w:p>
      <w:pPr>
        <w:pStyle w:val="Indenta"/>
      </w:pPr>
      <w:r>
        <w:tab/>
        <w:t>(a)</w:t>
      </w:r>
      <w:r>
        <w:tab/>
        <w:t>a copy of the agreement, as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(2A)</w:t>
      </w:r>
      <w:r>
        <w:tab/>
        <w:t>An application by all of the parties to an agreement must be signed by each of them or their agents, and when necessary, sealed by them.</w:t>
      </w:r>
    </w:p>
    <w:p>
      <w:pPr>
        <w:pStyle w:val="Subsection"/>
      </w:pPr>
      <w:r>
        <w:tab/>
        <w:t>(2B)</w:t>
      </w:r>
      <w:r>
        <w:tab/>
        <w:t>It is not necessary to serve an application referred to in subregulation (2A) on the parties to the agreement or to file a response to the application.</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pPr>
      <w:r>
        <w:tab/>
        <w:t>(5)</w:t>
      </w:r>
      <w:r>
        <w:tab/>
        <w:t>The Register referred to in subregulation (4) may be kept in the form of information stored on a computer.</w:t>
      </w:r>
    </w:p>
    <w:p>
      <w:pPr>
        <w:pStyle w:val="Footnotesection"/>
      </w:pPr>
      <w:r>
        <w:tab/>
        <w:t>[Regulation 55 amended: Gazette 12 Oct 2010 p. 5155; 5 Mar 2019 p. 597 and 619</w:t>
      </w:r>
      <w:r>
        <w:noBreakHyphen/>
        <w:t>20.]</w:t>
      </w:r>
    </w:p>
    <w:p>
      <w:pPr>
        <w:pStyle w:val="Heading5"/>
        <w:pageBreakBefore/>
        <w:spacing w:before="0"/>
        <w:rPr>
          <w:snapToGrid w:val="0"/>
        </w:rPr>
      </w:pPr>
      <w:bookmarkStart w:id="114" w:name="_Toc11744485"/>
      <w:r>
        <w:rPr>
          <w:rStyle w:val="CharSectno"/>
        </w:rPr>
        <w:t>56</w:t>
      </w:r>
      <w:r>
        <w:t>.</w:t>
      </w:r>
      <w:r>
        <w:tab/>
      </w:r>
      <w:r>
        <w:rPr>
          <w:snapToGrid w:val="0"/>
        </w:rPr>
        <w:t>Retirement from industrial agreement</w:t>
      </w:r>
      <w:bookmarkEnd w:id="114"/>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 xml:space="preserve">be in the form </w:t>
      </w:r>
      <w:r>
        <w:t>set out in Schedule 1 Division 2; and</w:t>
      </w:r>
      <w:r>
        <w:rPr>
          <w:snapToGrid w:val="0"/>
        </w:rPr>
        <w:t xml:space="preserve"> </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 xml:space="preserve">as soon as practicable after the notice is filed, be served by the </w:t>
      </w:r>
      <w:r>
        <w:t>Registrar</w:t>
      </w:r>
      <w:r>
        <w:rPr>
          <w:snapToGrid w:val="0"/>
        </w:rPr>
        <w:t xml:space="preserve"> on each other party to the agreement.</w:t>
      </w:r>
    </w:p>
    <w:p>
      <w:pPr>
        <w:pStyle w:val="Footnotesection"/>
      </w:pPr>
      <w:r>
        <w:tab/>
        <w:t>[Regulation 56 amended: Gazette 5 Mar 2019 p. 621 and 622.]</w:t>
      </w:r>
    </w:p>
    <w:p>
      <w:pPr>
        <w:pStyle w:val="Heading5"/>
        <w:rPr>
          <w:snapToGrid w:val="0"/>
        </w:rPr>
      </w:pPr>
      <w:bookmarkStart w:id="115" w:name="_Toc11744486"/>
      <w:r>
        <w:rPr>
          <w:rStyle w:val="CharSectno"/>
        </w:rPr>
        <w:t>57</w:t>
      </w:r>
      <w:r>
        <w:t>.</w:t>
      </w:r>
      <w:r>
        <w:tab/>
      </w:r>
      <w:r>
        <w:rPr>
          <w:snapToGrid w:val="0"/>
        </w:rPr>
        <w:t>Variation of industrial agreement by subsequent agreement</w:t>
      </w:r>
      <w:bookmarkEnd w:id="115"/>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116" w:name="_Toc11744487"/>
      <w:r>
        <w:rPr>
          <w:rStyle w:val="CharSectno"/>
        </w:rPr>
        <w:t>58</w:t>
      </w:r>
      <w:r>
        <w:t>.</w:t>
      </w:r>
      <w:r>
        <w:tab/>
        <w:t>Application to waive notice required for production of records</w:t>
      </w:r>
      <w:bookmarkEnd w:id="116"/>
    </w:p>
    <w:p>
      <w:pPr>
        <w:pStyle w:val="Subsection"/>
        <w:rPr>
          <w:snapToGrid w:val="0"/>
        </w:rPr>
      </w:pPr>
      <w:r>
        <w:rPr>
          <w:snapToGrid w:val="0"/>
        </w:rPr>
        <w:tab/>
        <w:t>(1)</w:t>
      </w:r>
      <w:r>
        <w:rPr>
          <w:snapToGrid w:val="0"/>
        </w:rPr>
        <w:tab/>
        <w:t xml:space="preserve">Any application under section 49I(7) of the Act by an authorised representative to waive the requirement to give an employer notice of an intended exercise of a power under section 49I(6) of the Act must be in the form of a notice of application in </w:t>
      </w:r>
      <w:r>
        <w:t>the approved form</w:t>
      </w:r>
      <w:r>
        <w:rPr>
          <w:snapToGrid w:val="0"/>
        </w:rPr>
        <w:t xml:space="preserve">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Footnotesection"/>
      </w:pPr>
      <w:r>
        <w:tab/>
        <w:t>[Regulation 58 amended: Gazette 5 Mar 2019 p. 622.]</w:t>
      </w:r>
    </w:p>
    <w:p>
      <w:pPr>
        <w:pStyle w:val="Heading5"/>
        <w:pageBreakBefore/>
        <w:spacing w:before="0"/>
        <w:rPr>
          <w:snapToGrid w:val="0"/>
        </w:rPr>
      </w:pPr>
      <w:bookmarkStart w:id="117" w:name="_Toc11744488"/>
      <w:r>
        <w:rPr>
          <w:rStyle w:val="CharSectno"/>
        </w:rPr>
        <w:t>59</w:t>
      </w:r>
      <w:r>
        <w:t>.</w:t>
      </w:r>
      <w:r>
        <w:tab/>
      </w:r>
      <w:r>
        <w:rPr>
          <w:snapToGrid w:val="0"/>
        </w:rPr>
        <w:t>Section 66 applications and directions</w:t>
      </w:r>
      <w:bookmarkEnd w:id="117"/>
    </w:p>
    <w:p>
      <w:pPr>
        <w:pStyle w:val="Subsection"/>
        <w:rPr>
          <w:snapToGrid w:val="0"/>
        </w:rPr>
      </w:pPr>
      <w:r>
        <w:rPr>
          <w:snapToGrid w:val="0"/>
        </w:rPr>
        <w:tab/>
        <w:t>(1)</w:t>
      </w:r>
      <w:r>
        <w:rPr>
          <w:snapToGrid w:val="0"/>
        </w:rPr>
        <w:tab/>
        <w:t xml:space="preserve">Any application under section 66 of the Act must be in the form of a notice of application in </w:t>
      </w:r>
      <w:r>
        <w:t>the approved form.</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 and</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 xml:space="preserve">The application, after it has been filed in the office of the Registrar, must be transmitted to the </w:t>
      </w:r>
      <w:r>
        <w:t>Chief Commissioner’s</w:t>
      </w:r>
      <w:r>
        <w:rPr>
          <w:snapToGrid w:val="0"/>
        </w:rPr>
        <w:t xml:space="preserve"> Associate to be endorsed with directions given by the </w:t>
      </w:r>
      <w:r>
        <w:t>Chief Commissioner</w:t>
      </w:r>
      <w:r>
        <w:rPr>
          <w:snapToGrid w:val="0"/>
        </w:rPr>
        <w:t xml:space="preserve">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Footnotesection"/>
      </w:pPr>
      <w:r>
        <w:tab/>
        <w:t>[Regulation 59 amended: Gazette 19 Dec 2018 p. 4839; 5 Mar 2019 p. 622.]</w:t>
      </w:r>
    </w:p>
    <w:p>
      <w:pPr>
        <w:pStyle w:val="Heading5"/>
        <w:keepLines w:val="0"/>
        <w:widowControl w:val="0"/>
        <w:rPr>
          <w:snapToGrid w:val="0"/>
        </w:rPr>
      </w:pPr>
      <w:bookmarkStart w:id="118" w:name="_Toc11744489"/>
      <w:r>
        <w:rPr>
          <w:rStyle w:val="CharSectno"/>
        </w:rPr>
        <w:t>60</w:t>
      </w:r>
      <w:r>
        <w:t>.</w:t>
      </w:r>
      <w:r>
        <w:tab/>
      </w:r>
      <w:r>
        <w:rPr>
          <w:snapToGrid w:val="0"/>
        </w:rPr>
        <w:t>Proceedings before Full Bench for enforcement of Act</w:t>
      </w:r>
      <w:bookmarkEnd w:id="118"/>
    </w:p>
    <w:p>
      <w:pPr>
        <w:pStyle w:val="Subsection"/>
        <w:rPr>
          <w:snapToGrid w:val="0"/>
        </w:rPr>
      </w:pPr>
      <w:r>
        <w:rPr>
          <w:snapToGrid w:val="0"/>
        </w:rPr>
        <w:tab/>
        <w:t>(1)</w:t>
      </w:r>
      <w:r>
        <w:rPr>
          <w:snapToGrid w:val="0"/>
        </w:rPr>
        <w:tab/>
        <w:t xml:space="preserve">An application for enforcement under section 84A of the Act must be in the form of a notice of application in </w:t>
      </w:r>
      <w:r>
        <w:t>the approved form.</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 xml:space="preserve">The Registrar is to ascertain from the </w:t>
      </w:r>
      <w:r>
        <w:t>presiding commissioner</w:t>
      </w:r>
      <w:r>
        <w:rPr>
          <w:snapToGrid w:val="0"/>
        </w:rPr>
        <w:t xml:space="preserve">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Footnotesection"/>
      </w:pPr>
      <w:r>
        <w:tab/>
        <w:t>[Regulation 60 amended: Gazette 19 Dec 2018 p. 4840; 5 Mar 2019 p. 622.]</w:t>
      </w:r>
    </w:p>
    <w:p>
      <w:pPr>
        <w:pStyle w:val="Heading2"/>
      </w:pPr>
      <w:bookmarkStart w:id="119" w:name="_Toc5352974"/>
      <w:bookmarkStart w:id="120" w:name="_Toc5353603"/>
      <w:bookmarkStart w:id="121" w:name="_Toc8742668"/>
      <w:bookmarkStart w:id="122" w:name="_Toc11053404"/>
      <w:bookmarkStart w:id="123" w:name="_Toc11744490"/>
      <w:r>
        <w:rPr>
          <w:rStyle w:val="CharPartNo"/>
        </w:rPr>
        <w:t>Part 6</w:t>
      </w:r>
      <w:r>
        <w:t> — </w:t>
      </w:r>
      <w:r>
        <w:rPr>
          <w:rStyle w:val="CharPartText"/>
        </w:rPr>
        <w:t>Individual employee applications</w:t>
      </w:r>
      <w:bookmarkEnd w:id="119"/>
      <w:bookmarkEnd w:id="120"/>
      <w:bookmarkEnd w:id="121"/>
      <w:bookmarkEnd w:id="122"/>
      <w:bookmarkEnd w:id="123"/>
    </w:p>
    <w:p>
      <w:pPr>
        <w:pStyle w:val="Heading3"/>
      </w:pPr>
      <w:bookmarkStart w:id="124" w:name="_Toc5352975"/>
      <w:bookmarkStart w:id="125" w:name="_Toc5353604"/>
      <w:bookmarkStart w:id="126" w:name="_Toc8742669"/>
      <w:bookmarkStart w:id="127" w:name="_Toc11053405"/>
      <w:bookmarkStart w:id="128" w:name="_Toc11744491"/>
      <w:r>
        <w:rPr>
          <w:rStyle w:val="CharDivNo"/>
        </w:rPr>
        <w:t>Division 1</w:t>
      </w:r>
      <w:r>
        <w:t> — </w:t>
      </w:r>
      <w:r>
        <w:rPr>
          <w:rStyle w:val="CharDivText"/>
        </w:rPr>
        <w:t>General</w:t>
      </w:r>
      <w:bookmarkEnd w:id="124"/>
      <w:bookmarkEnd w:id="125"/>
      <w:bookmarkEnd w:id="126"/>
      <w:bookmarkEnd w:id="127"/>
      <w:bookmarkEnd w:id="128"/>
    </w:p>
    <w:p>
      <w:pPr>
        <w:pStyle w:val="Heading5"/>
        <w:rPr>
          <w:snapToGrid w:val="0"/>
        </w:rPr>
      </w:pPr>
      <w:bookmarkStart w:id="129" w:name="_Toc11744492"/>
      <w:r>
        <w:rPr>
          <w:rStyle w:val="CharSectno"/>
        </w:rPr>
        <w:t>61</w:t>
      </w:r>
      <w:r>
        <w:t>.</w:t>
      </w:r>
      <w:r>
        <w:tab/>
      </w:r>
      <w:r>
        <w:rPr>
          <w:snapToGrid w:val="0"/>
        </w:rPr>
        <w:t>Applications by individual employees</w:t>
      </w:r>
      <w:bookmarkEnd w:id="129"/>
    </w:p>
    <w:p>
      <w:pPr>
        <w:pStyle w:val="Subsection"/>
        <w:rPr>
          <w:snapToGrid w:val="0"/>
        </w:rPr>
      </w:pPr>
      <w:r>
        <w:rPr>
          <w:snapToGrid w:val="0"/>
        </w:rPr>
        <w:tab/>
        <w:t>(1)</w:t>
      </w:r>
      <w:r>
        <w:rPr>
          <w:snapToGrid w:val="0"/>
        </w:rPr>
        <w:tab/>
        <w:t xml:space="preserve">Any claim by an employee of harsh, oppressive or unfair dismissal referred to the Commission under section 29(1)(b)(i) of the Act must be in the form of a notice of application in </w:t>
      </w:r>
      <w:r>
        <w:t>the approved form</w:t>
      </w:r>
      <w:r>
        <w:rPr>
          <w:snapToGrid w:val="0"/>
        </w:rPr>
        <w:t xml:space="preserve">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the approved form and must have attached to the notice of application such particulars as are approved by the Chief Commissioner from time to time.</w:t>
      </w:r>
    </w:p>
    <w:p>
      <w:pPr>
        <w:pStyle w:val="Subsection"/>
      </w:pPr>
      <w:r>
        <w:tab/>
        <w:t>(3)</w:t>
      </w:r>
      <w:r>
        <w:tab/>
        <w:t>Unless the Commission otherwise directs, after the application is filed the Registrar must serve a copy of the application on each respondent as soon as reasonably practicable.</w:t>
      </w:r>
    </w:p>
    <w:p>
      <w:pPr>
        <w:pStyle w:val="Subsection"/>
        <w:rPr>
          <w:snapToGrid w:val="0"/>
        </w:rPr>
      </w:pPr>
      <w:r>
        <w:rPr>
          <w:snapToGrid w:val="0"/>
        </w:rPr>
        <w:tab/>
        <w:t>(4)</w:t>
      </w:r>
      <w:r>
        <w:rPr>
          <w:snapToGrid w:val="0"/>
        </w:rPr>
        <w:tab/>
        <w:t xml:space="preserve">A respondent who is served with an application </w:t>
      </w:r>
      <w:r>
        <w:t>to which subregulation (1) applies</w:t>
      </w:r>
      <w:r>
        <w:rPr>
          <w:snapToGrid w:val="0"/>
        </w:rPr>
        <w:t xml:space="preserve"> and who desires to contest the claim may file a </w:t>
      </w:r>
      <w:r>
        <w:t>response in the approved form</w:t>
      </w:r>
      <w:r>
        <w:rPr>
          <w:snapToGrid w:val="0"/>
        </w:rPr>
        <w:t xml:space="preserve"> within 21 days of being served with the application.</w:t>
      </w:r>
    </w:p>
    <w:p>
      <w:pPr>
        <w:pStyle w:val="Subsection"/>
      </w:pPr>
      <w:r>
        <w:tab/>
        <w:t>(4A)</w:t>
      </w:r>
      <w:r>
        <w:tab/>
        <w:t>A respondent who is served with an application to which subregulation (2) applies and who desires to contest the claim may file a response in the approved form within 21 days after being served with the application.</w:t>
      </w:r>
    </w:p>
    <w:p>
      <w:pPr>
        <w:pStyle w:val="Subsection"/>
        <w:rPr>
          <w:snapToGrid w:val="0"/>
        </w:rPr>
      </w:pPr>
      <w:r>
        <w:rPr>
          <w:snapToGrid w:val="0"/>
        </w:rPr>
        <w:tab/>
        <w:t>(5)</w:t>
      </w:r>
      <w:r>
        <w:rPr>
          <w:snapToGrid w:val="0"/>
        </w:rPr>
        <w:tab/>
      </w:r>
      <w:r>
        <w:t>A response</w:t>
      </w:r>
      <w:r>
        <w:rPr>
          <w:snapToGrid w:val="0"/>
        </w:rPr>
        <w:t xml:space="preserve"> must, in summary form, specify the facts on which the respondent relies and admit or dispute, either with or without qualification, each part of the claim made by the applicant.</w:t>
      </w:r>
    </w:p>
    <w:p>
      <w:pPr>
        <w:pStyle w:val="Subsection"/>
      </w:pPr>
      <w:r>
        <w:tab/>
        <w:t>(6)</w:t>
      </w:r>
      <w:r>
        <w:tab/>
        <w:t>Unless the Commission otherwise directs, the Registrar must serve a copy of the response on the applicant as soon as reasonably practicable.</w:t>
      </w:r>
    </w:p>
    <w:p>
      <w:pPr>
        <w:pStyle w:val="Subsection"/>
        <w:rPr>
          <w:snapToGrid w:val="0"/>
        </w:rPr>
      </w:pPr>
      <w:r>
        <w:rPr>
          <w:snapToGrid w:val="0"/>
        </w:rPr>
        <w:tab/>
        <w:t>(7)</w:t>
      </w:r>
      <w:r>
        <w:rPr>
          <w:snapToGrid w:val="0"/>
        </w:rPr>
        <w:tab/>
        <w:t xml:space="preserve">At any hearing by the Commission of an application, a party who was served with a copy of the application and who did not file a </w:t>
      </w:r>
      <w:r>
        <w:t>response</w:t>
      </w:r>
      <w:r>
        <w:rPr>
          <w:snapToGrid w:val="0"/>
        </w:rPr>
        <w:t xml:space="preserve"> within the time allowed under these regulations may be heard on the matters raised in the application and not on any other matters.</w:t>
      </w:r>
    </w:p>
    <w:p>
      <w:pPr>
        <w:pStyle w:val="Footnotesection"/>
      </w:pPr>
      <w:r>
        <w:tab/>
        <w:t>[Regulation 61 amended: Gazette 4 Jul 2014 p. 2390; 15 May 2015 p. 1722; 5 Mar 2019 p. 597</w:t>
      </w:r>
      <w:r>
        <w:noBreakHyphen/>
        <w:t>8 and 622.]</w:t>
      </w:r>
    </w:p>
    <w:p>
      <w:pPr>
        <w:pStyle w:val="Heading5"/>
      </w:pPr>
      <w:bookmarkStart w:id="130" w:name="_Toc11744493"/>
      <w:r>
        <w:rPr>
          <w:rStyle w:val="CharSectno"/>
        </w:rPr>
        <w:t>62</w:t>
      </w:r>
      <w:r>
        <w:t>.</w:t>
      </w:r>
      <w:r>
        <w:tab/>
        <w:t>Application under section 29(1)(b)(i) — out of time</w:t>
      </w:r>
      <w:bookmarkEnd w:id="130"/>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5"/>
      </w:pPr>
      <w:bookmarkStart w:id="131" w:name="_Toc11744494"/>
      <w:r>
        <w:rPr>
          <w:rStyle w:val="CharSectno"/>
        </w:rPr>
        <w:t>63A</w:t>
      </w:r>
      <w:r>
        <w:t>.</w:t>
      </w:r>
      <w:r>
        <w:tab/>
        <w:t xml:space="preserve">Application by employee or former employee under </w:t>
      </w:r>
      <w:r>
        <w:rPr>
          <w:i/>
        </w:rPr>
        <w:t>Public Sector Management Act 1994</w:t>
      </w:r>
      <w:bookmarkEnd w:id="131"/>
    </w:p>
    <w:p>
      <w:pPr>
        <w:pStyle w:val="Subsection"/>
      </w:pPr>
      <w:r>
        <w:tab/>
        <w:t>(1)</w:t>
      </w:r>
      <w:r>
        <w:tab/>
        <w:t>In this regulation —</w:t>
      </w:r>
    </w:p>
    <w:p>
      <w:pPr>
        <w:pStyle w:val="Defstart"/>
      </w:pPr>
      <w:r>
        <w:tab/>
      </w:r>
      <w:r>
        <w:rPr>
          <w:rStyle w:val="CharDefText"/>
        </w:rPr>
        <w:t>employing authority</w:t>
      </w:r>
      <w:r>
        <w:t xml:space="preserve"> has the meaning given in the </w:t>
      </w:r>
      <w:r>
        <w:rPr>
          <w:i/>
        </w:rPr>
        <w:t>Public Sector Management Act 1994</w:t>
      </w:r>
      <w:r>
        <w:t xml:space="preserve"> section 3(1).</w:t>
      </w:r>
    </w:p>
    <w:p>
      <w:pPr>
        <w:pStyle w:val="Subsection"/>
      </w:pPr>
      <w:r>
        <w:tab/>
        <w:t>(2)</w:t>
      </w:r>
      <w:r>
        <w:tab/>
        <w:t>The following applications to the Commission must be made in a notice of referral in the approved form —</w:t>
      </w:r>
    </w:p>
    <w:p>
      <w:pPr>
        <w:pStyle w:val="Indenta"/>
      </w:pPr>
      <w:r>
        <w:tab/>
        <w:t>(a)</w:t>
      </w:r>
      <w:r>
        <w:tab/>
        <w:t xml:space="preserve">a referral by an employee or former employee under the </w:t>
      </w:r>
      <w:r>
        <w:rPr>
          <w:i/>
        </w:rPr>
        <w:t xml:space="preserve">Public Sector Management Act 1994 </w:t>
      </w:r>
      <w:r>
        <w:t>section 78(2) or (3);</w:t>
      </w:r>
    </w:p>
    <w:p>
      <w:pPr>
        <w:pStyle w:val="Indenta"/>
      </w:pPr>
      <w:r>
        <w:tab/>
        <w:t>(b)</w:t>
      </w:r>
      <w:r>
        <w:tab/>
        <w:t xml:space="preserve">a referral by an employee under the </w:t>
      </w:r>
      <w:r>
        <w:rPr>
          <w:i/>
        </w:rPr>
        <w:t xml:space="preserve">Public Sector Management Act 1994 </w:t>
      </w:r>
      <w:r>
        <w:t>section 95(2) or 96A(2);</w:t>
      </w:r>
    </w:p>
    <w:p>
      <w:pPr>
        <w:pStyle w:val="Indenta"/>
      </w:pPr>
      <w:r>
        <w:tab/>
        <w:t>(c)</w:t>
      </w:r>
      <w:r>
        <w:tab/>
        <w:t xml:space="preserve">a referral by a former employee under the </w:t>
      </w:r>
      <w:r>
        <w:rPr>
          <w:i/>
        </w:rPr>
        <w:t xml:space="preserve">Public Sector Management Act 1994 </w:t>
      </w:r>
      <w:r>
        <w:t>section 96A(2).</w:t>
      </w:r>
    </w:p>
    <w:p>
      <w:pPr>
        <w:pStyle w:val="Subsection"/>
      </w:pPr>
      <w:r>
        <w:tab/>
        <w:t>(3)</w:t>
      </w:r>
      <w:r>
        <w:tab/>
        <w:t>Unless the Commission otherwise directs, after the application is filed the Registrar must serve a copy of the application together with its attachments on the applicant’s employing authority or former employing authority as soon as reasonably practicable.</w:t>
      </w:r>
    </w:p>
    <w:p>
      <w:pPr>
        <w:pStyle w:val="Subsection"/>
      </w:pPr>
      <w:r>
        <w:tab/>
        <w:t>(4)</w:t>
      </w:r>
      <w:r>
        <w:tab/>
        <w:t>An employing authority that is served with the application and that wants to respond to it may file a response in the approved form within 21 days of being served with the application.</w:t>
      </w:r>
    </w:p>
    <w:p>
      <w:pPr>
        <w:pStyle w:val="Subsection"/>
      </w:pPr>
      <w:r>
        <w:tab/>
        <w:t>(5)</w:t>
      </w:r>
      <w:r>
        <w:tab/>
        <w:t>A response must, in summary form —</w:t>
      </w:r>
    </w:p>
    <w:p>
      <w:pPr>
        <w:pStyle w:val="Indenta"/>
      </w:pPr>
      <w:r>
        <w:tab/>
        <w:t>(a)</w:t>
      </w:r>
      <w:r>
        <w:tab/>
        <w:t>specify the facts on which the employing authority relies; and</w:t>
      </w:r>
    </w:p>
    <w:p>
      <w:pPr>
        <w:pStyle w:val="Indenta"/>
      </w:pPr>
      <w:r>
        <w:tab/>
        <w:t>(b)</w:t>
      </w:r>
      <w:r>
        <w:tab/>
        <w:t>admit or dispute, either with or without qualification, each part of the application made by the applicant.</w:t>
      </w:r>
    </w:p>
    <w:p>
      <w:pPr>
        <w:pStyle w:val="Subsection"/>
      </w:pPr>
      <w:r>
        <w:tab/>
        <w:t>(6)</w:t>
      </w:r>
      <w:r>
        <w:tab/>
        <w:t>Unless the Commission otherwise directs, the Registrar must serve a copy of the response on the applicant as soon as reasonably practicable.</w:t>
      </w:r>
    </w:p>
    <w:p>
      <w:pPr>
        <w:pStyle w:val="Footnotesection"/>
      </w:pPr>
      <w:r>
        <w:tab/>
        <w:t>[Regulation 63A inserted: Gazette 15 May 2015 p. 1722</w:t>
      </w:r>
      <w:r>
        <w:noBreakHyphen/>
        <w:t>3; amended: Gazette 5 Mar 2019 p. 598</w:t>
      </w:r>
      <w:r>
        <w:noBreakHyphen/>
        <w:t>9 and 622</w:t>
      </w:r>
      <w:r>
        <w:noBreakHyphen/>
        <w:t>3.]</w:t>
      </w:r>
    </w:p>
    <w:p>
      <w:pPr>
        <w:pStyle w:val="Heading3"/>
      </w:pPr>
      <w:bookmarkStart w:id="132" w:name="_Toc5352979"/>
      <w:bookmarkStart w:id="133" w:name="_Toc5353608"/>
      <w:bookmarkStart w:id="134" w:name="_Toc8742673"/>
      <w:bookmarkStart w:id="135" w:name="_Toc11053409"/>
      <w:bookmarkStart w:id="136" w:name="_Toc11744495"/>
      <w:r>
        <w:rPr>
          <w:rStyle w:val="CharDivNo"/>
        </w:rPr>
        <w:t>Division 2</w:t>
      </w:r>
      <w:r>
        <w:t> — </w:t>
      </w:r>
      <w:r>
        <w:rPr>
          <w:rStyle w:val="CharDivText"/>
        </w:rPr>
        <w:t>Agents</w:t>
      </w:r>
      <w:bookmarkEnd w:id="132"/>
      <w:bookmarkEnd w:id="133"/>
      <w:bookmarkEnd w:id="134"/>
      <w:bookmarkEnd w:id="135"/>
      <w:bookmarkEnd w:id="136"/>
    </w:p>
    <w:p>
      <w:pPr>
        <w:pStyle w:val="Heading5"/>
        <w:rPr>
          <w:snapToGrid w:val="0"/>
        </w:rPr>
      </w:pPr>
      <w:bookmarkStart w:id="137" w:name="_Toc11744496"/>
      <w:r>
        <w:rPr>
          <w:rStyle w:val="CharSectno"/>
        </w:rPr>
        <w:t>63</w:t>
      </w:r>
      <w:r>
        <w:t>.</w:t>
      </w:r>
      <w:r>
        <w:tab/>
      </w:r>
      <w:r>
        <w:rPr>
          <w:snapToGrid w:val="0"/>
        </w:rPr>
        <w:t>Appointment of agent</w:t>
      </w:r>
      <w:bookmarkEnd w:id="137"/>
    </w:p>
    <w:p>
      <w:pPr>
        <w:pStyle w:val="Subsection"/>
        <w:rPr>
          <w:snapToGrid w:val="0"/>
        </w:rPr>
      </w:pPr>
      <w:r>
        <w:rPr>
          <w:snapToGrid w:val="0"/>
        </w:rPr>
        <w:tab/>
        <w:t>(1)</w:t>
      </w:r>
      <w:r>
        <w:rPr>
          <w:snapToGrid w:val="0"/>
        </w:rPr>
        <w:tab/>
        <w:t xml:space="preserve">Subject to this regulation a person cannot be recognised as agent for a party to any proceedings in the Commission unless the person is appointed in writing in the </w:t>
      </w:r>
      <w:r>
        <w:t>approved form</w:t>
      </w:r>
      <w:r>
        <w:rPr>
          <w:snapToGrid w:val="0"/>
        </w:rPr>
        <w:t xml:space="preserve"> </w:t>
      </w:r>
      <w:r>
        <w:t xml:space="preserve">(the </w:t>
      </w:r>
      <w:r>
        <w:rPr>
          <w:rStyle w:val="CharDefText"/>
        </w:rPr>
        <w:t>warrant</w:t>
      </w:r>
      <w:r>
        <w:t xml:space="preserve">) </w:t>
      </w:r>
      <w:r>
        <w:rPr>
          <w:snapToGrid w:val="0"/>
        </w:rPr>
        <w:t>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 xml:space="preserve">A copy of the appointment in the </w:t>
      </w:r>
      <w:r>
        <w:t>approved form</w:t>
      </w:r>
      <w:r>
        <w:rPr>
          <w:snapToGrid w:val="0"/>
        </w:rPr>
        <w:t xml:space="preserve"> must be served on the other parties to the proceedings.</w:t>
      </w:r>
    </w:p>
    <w:p>
      <w:pPr>
        <w:pStyle w:val="Subsection"/>
      </w:pPr>
      <w:r>
        <w:tab/>
        <w:t>(3A)</w:t>
      </w:r>
      <w:r>
        <w:tab/>
        <w:t xml:space="preserve">The warrant may appoint as agent — </w:t>
      </w:r>
    </w:p>
    <w:p>
      <w:pPr>
        <w:pStyle w:val="Indenta"/>
      </w:pPr>
      <w:r>
        <w:tab/>
        <w:t>(a)</w:t>
      </w:r>
      <w:r>
        <w:tab/>
        <w:t>a person specified in the warrant; or</w:t>
      </w:r>
    </w:p>
    <w:p>
      <w:pPr>
        <w:pStyle w:val="Indenta"/>
      </w:pPr>
      <w:r>
        <w:tab/>
        <w:t>(b)</w:t>
      </w:r>
      <w:r>
        <w:tab/>
        <w:t>a member of a class of persons specified in the warrant.</w:t>
      </w:r>
    </w:p>
    <w:p>
      <w:pPr>
        <w:pStyle w:val="Subsection"/>
      </w:pPr>
      <w:r>
        <w:tab/>
        <w:t>(3B)</w:t>
      </w:r>
      <w:r>
        <w:tab/>
        <w:t xml:space="preserve">The warrant may be expressed to apply in relation to — </w:t>
      </w:r>
    </w:p>
    <w:p>
      <w:pPr>
        <w:pStyle w:val="Indenta"/>
      </w:pPr>
      <w:r>
        <w:tab/>
        <w:t>(a)</w:t>
      </w:r>
      <w:r>
        <w:tab/>
        <w:t>proceedings specified in the warrant; or</w:t>
      </w:r>
    </w:p>
    <w:p>
      <w:pPr>
        <w:pStyle w:val="Indenta"/>
      </w:pPr>
      <w:r>
        <w:tab/>
        <w:t>(b)</w:t>
      </w:r>
      <w:r>
        <w:tab/>
        <w:t>all proceedings before the Commission.</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Footnotesection"/>
      </w:pPr>
      <w:r>
        <w:tab/>
        <w:t>[Regulation 63 amended: Gazette 12 Jan 2018 p. 116; 5 Mar 2019 p. 622</w:t>
      </w:r>
      <w:r>
        <w:noBreakHyphen/>
        <w:t>3.]</w:t>
      </w:r>
    </w:p>
    <w:p>
      <w:pPr>
        <w:pStyle w:val="Heading3"/>
        <w:pageBreakBefore/>
        <w:spacing w:before="0"/>
      </w:pPr>
      <w:bookmarkStart w:id="138" w:name="_Toc5352981"/>
      <w:bookmarkStart w:id="139" w:name="_Toc5353610"/>
      <w:bookmarkStart w:id="140" w:name="_Toc8742675"/>
      <w:bookmarkStart w:id="141" w:name="_Toc11053411"/>
      <w:bookmarkStart w:id="142" w:name="_Toc11744497"/>
      <w:r>
        <w:rPr>
          <w:rStyle w:val="CharDivNo"/>
        </w:rPr>
        <w:t>Division 3</w:t>
      </w:r>
      <w:r>
        <w:t> — </w:t>
      </w:r>
      <w:r>
        <w:rPr>
          <w:rStyle w:val="CharDivText"/>
        </w:rPr>
        <w:t>Delegation to Registrars</w:t>
      </w:r>
      <w:bookmarkEnd w:id="138"/>
      <w:bookmarkEnd w:id="139"/>
      <w:bookmarkEnd w:id="140"/>
      <w:bookmarkEnd w:id="141"/>
      <w:bookmarkEnd w:id="142"/>
    </w:p>
    <w:p>
      <w:pPr>
        <w:pStyle w:val="Heading5"/>
      </w:pPr>
      <w:bookmarkStart w:id="143" w:name="_Toc11744498"/>
      <w:r>
        <w:rPr>
          <w:rStyle w:val="CharSectno"/>
        </w:rPr>
        <w:t>64</w:t>
      </w:r>
      <w:r>
        <w:t>.</w:t>
      </w:r>
      <w:r>
        <w:tab/>
        <w:t>Delegation to Registrars</w:t>
      </w:r>
      <w:bookmarkEnd w:id="143"/>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144" w:name="_Toc11744499"/>
      <w:r>
        <w:rPr>
          <w:rStyle w:val="CharSectno"/>
        </w:rPr>
        <w:t>65</w:t>
      </w:r>
      <w:r>
        <w:t>.</w:t>
      </w:r>
      <w:r>
        <w:tab/>
        <w:t>Time limits for review of decisions of Registrars</w:t>
      </w:r>
      <w:bookmarkEnd w:id="144"/>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rStyle w:val="CharDefText"/>
        </w:rPr>
        <w:t>decision</w:t>
      </w:r>
      <w:r>
        <w:t>, made by a Registrar, means a direction, determination or order made by the Registrar in the performance of the delegated function.</w:t>
      </w:r>
    </w:p>
    <w:p>
      <w:pPr>
        <w:pStyle w:val="Heading2"/>
      </w:pPr>
      <w:bookmarkStart w:id="145" w:name="_Toc5352984"/>
      <w:bookmarkStart w:id="146" w:name="_Toc5353613"/>
      <w:bookmarkStart w:id="147" w:name="_Toc8742678"/>
      <w:bookmarkStart w:id="148" w:name="_Toc11053414"/>
      <w:bookmarkStart w:id="149" w:name="_Toc11744500"/>
      <w:r>
        <w:rPr>
          <w:rStyle w:val="CharPartNo"/>
        </w:rPr>
        <w:t>Part 7</w:t>
      </w:r>
      <w:r>
        <w:rPr>
          <w:rStyle w:val="CharDivNo"/>
        </w:rPr>
        <w:t> </w:t>
      </w:r>
      <w:r>
        <w:t>—</w:t>
      </w:r>
      <w:r>
        <w:rPr>
          <w:rStyle w:val="CharDivText"/>
        </w:rPr>
        <w:t> </w:t>
      </w:r>
      <w:r>
        <w:rPr>
          <w:rStyle w:val="CharPartText"/>
        </w:rPr>
        <w:t>Organisations and industrial associations</w:t>
      </w:r>
      <w:bookmarkEnd w:id="145"/>
      <w:bookmarkEnd w:id="146"/>
      <w:bookmarkEnd w:id="147"/>
      <w:bookmarkEnd w:id="148"/>
      <w:bookmarkEnd w:id="149"/>
    </w:p>
    <w:p>
      <w:pPr>
        <w:pStyle w:val="Heading5"/>
        <w:rPr>
          <w:snapToGrid w:val="0"/>
        </w:rPr>
      </w:pPr>
      <w:bookmarkStart w:id="150" w:name="_Toc11744501"/>
      <w:r>
        <w:rPr>
          <w:rStyle w:val="CharSectno"/>
        </w:rPr>
        <w:t>66</w:t>
      </w:r>
      <w:r>
        <w:t>.</w:t>
      </w:r>
      <w:r>
        <w:tab/>
      </w:r>
      <w:r>
        <w:rPr>
          <w:snapToGrid w:val="0"/>
        </w:rPr>
        <w:t>Registration of organisation</w:t>
      </w:r>
      <w:bookmarkEnd w:id="150"/>
    </w:p>
    <w:p>
      <w:pPr>
        <w:pStyle w:val="Subsection"/>
        <w:rPr>
          <w:snapToGrid w:val="0"/>
        </w:rPr>
      </w:pPr>
      <w:r>
        <w:rPr>
          <w:snapToGrid w:val="0"/>
        </w:rPr>
        <w:tab/>
        <w:t>(1)</w:t>
      </w:r>
      <w:r>
        <w:rPr>
          <w:snapToGrid w:val="0"/>
        </w:rPr>
        <w:tab/>
        <w:t xml:space="preserve">Any application to register an organisation must be made in triplicate to the Full Bench in the form </w:t>
      </w:r>
      <w:r>
        <w:t>set out in Schedule 1 Division 3.</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 xml:space="preserve">Any person who objects to the registration of the organisation must give notice of that objection in the </w:t>
      </w:r>
      <w:r>
        <w:t>approved form</w:t>
      </w:r>
      <w:r>
        <w:rPr>
          <w:snapToGrid w:val="0"/>
        </w:rPr>
        <w:t xml:space="preserve"> within 21 days of the publication in the required manner and otherwise the provisions of regulation 15 apply with respect to any objection to the registration.</w:t>
      </w:r>
    </w:p>
    <w:p>
      <w:pPr>
        <w:pStyle w:val="Footnotesection"/>
      </w:pPr>
      <w:r>
        <w:tab/>
        <w:t>[Regulation 66 amended: Gazette 5 Mar 2019 p. 622</w:t>
      </w:r>
      <w:r>
        <w:noBreakHyphen/>
        <w:t>3.]</w:t>
      </w:r>
    </w:p>
    <w:p>
      <w:pPr>
        <w:pStyle w:val="Heading5"/>
        <w:rPr>
          <w:snapToGrid w:val="0"/>
        </w:rPr>
      </w:pPr>
      <w:bookmarkStart w:id="151" w:name="_Toc11744502"/>
      <w:r>
        <w:rPr>
          <w:rStyle w:val="CharSectno"/>
        </w:rPr>
        <w:t>67</w:t>
      </w:r>
      <w:r>
        <w:t>.</w:t>
      </w:r>
      <w:r>
        <w:tab/>
      </w:r>
      <w:r>
        <w:rPr>
          <w:snapToGrid w:val="0"/>
        </w:rPr>
        <w:t>Registration of council as industrial association</w:t>
      </w:r>
      <w:bookmarkEnd w:id="151"/>
    </w:p>
    <w:p>
      <w:pPr>
        <w:pStyle w:val="Subsection"/>
        <w:rPr>
          <w:snapToGrid w:val="0"/>
        </w:rPr>
      </w:pPr>
      <w:r>
        <w:rPr>
          <w:snapToGrid w:val="0"/>
        </w:rPr>
        <w:tab/>
        <w:t>(1)</w:t>
      </w:r>
      <w:r>
        <w:rPr>
          <w:snapToGrid w:val="0"/>
        </w:rPr>
        <w:tab/>
        <w:t xml:space="preserve">Any application to register a council or other body as an association must be made in triplicate to the Full Bench in the form </w:t>
      </w:r>
      <w:r>
        <w:t>set out in Schedule 1 Division 3.</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 xml:space="preserve">Any person who objects to the registration of the council or other body as an association must give notice of that objection in the </w:t>
      </w:r>
      <w:r>
        <w:t>approved form</w:t>
      </w:r>
      <w:r>
        <w:rPr>
          <w:snapToGrid w:val="0"/>
        </w:rPr>
        <w:t xml:space="preserve"> within 21 days of the publication in the required manner and otherwise the provisions of regulation 15 apply with respect to any objection to the registration.</w:t>
      </w:r>
    </w:p>
    <w:p>
      <w:pPr>
        <w:pStyle w:val="Footnotesection"/>
      </w:pPr>
      <w:r>
        <w:tab/>
        <w:t>[Regulation 67 amended: Gazette 5 Mar 2019 p. 622</w:t>
      </w:r>
      <w:r>
        <w:noBreakHyphen/>
        <w:t>3.]</w:t>
      </w:r>
    </w:p>
    <w:p>
      <w:pPr>
        <w:pStyle w:val="Heading5"/>
        <w:rPr>
          <w:snapToGrid w:val="0"/>
        </w:rPr>
      </w:pPr>
      <w:bookmarkStart w:id="152" w:name="_Toc11744503"/>
      <w:r>
        <w:rPr>
          <w:rStyle w:val="CharSectno"/>
        </w:rPr>
        <w:t>68</w:t>
      </w:r>
      <w:r>
        <w:t>.</w:t>
      </w:r>
      <w:r>
        <w:tab/>
      </w:r>
      <w:r>
        <w:rPr>
          <w:snapToGrid w:val="0"/>
        </w:rPr>
        <w:t>Amalgamation of organisations</w:t>
      </w:r>
      <w:bookmarkEnd w:id="152"/>
    </w:p>
    <w:p>
      <w:pPr>
        <w:pStyle w:val="Subsection"/>
        <w:rPr>
          <w:snapToGrid w:val="0"/>
        </w:rPr>
      </w:pPr>
      <w:r>
        <w:rPr>
          <w:snapToGrid w:val="0"/>
        </w:rPr>
        <w:tab/>
        <w:t>(1)</w:t>
      </w:r>
      <w:r>
        <w:rPr>
          <w:snapToGrid w:val="0"/>
        </w:rPr>
        <w:tab/>
        <w:t xml:space="preserve">Any application to register as an organisation a proposed new organisation to be formed by the amalgamation of 2 or more organisations must be made in triplicate to the Full Bench in the form </w:t>
      </w:r>
      <w:r>
        <w:t>set out in Schedule 1 Division 3.</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keepNext/>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 xml:space="preserve">Any person who objects to the registration of the organisation must give notice of that objection in the </w:t>
      </w:r>
      <w:r>
        <w:t>approved form</w:t>
      </w:r>
      <w:r>
        <w:rPr>
          <w:snapToGrid w:val="0"/>
        </w:rPr>
        <w:t xml:space="preserve"> within 21 days of the publication in the required manner and otherwise the provisions of regulation 15 apply with respect to any objection to the registration.</w:t>
      </w:r>
    </w:p>
    <w:p>
      <w:pPr>
        <w:pStyle w:val="Footnotesection"/>
      </w:pPr>
      <w:r>
        <w:tab/>
        <w:t>[Regulation 68 amended: Gazette 5 Mar 2019 p. 622</w:t>
      </w:r>
      <w:r>
        <w:noBreakHyphen/>
        <w:t>3.]</w:t>
      </w:r>
    </w:p>
    <w:p>
      <w:pPr>
        <w:pStyle w:val="Heading5"/>
        <w:rPr>
          <w:snapToGrid w:val="0"/>
        </w:rPr>
      </w:pPr>
      <w:bookmarkStart w:id="153" w:name="_Toc11744504"/>
      <w:r>
        <w:rPr>
          <w:rStyle w:val="CharSectno"/>
        </w:rPr>
        <w:t>69</w:t>
      </w:r>
      <w:r>
        <w:t>.</w:t>
      </w:r>
      <w:r>
        <w:tab/>
      </w:r>
      <w:r>
        <w:rPr>
          <w:snapToGrid w:val="0"/>
        </w:rPr>
        <w:t>Alteration of rules</w:t>
      </w:r>
      <w:bookmarkEnd w:id="153"/>
    </w:p>
    <w:p>
      <w:pPr>
        <w:pStyle w:val="Subsection"/>
        <w:rPr>
          <w:snapToGrid w:val="0"/>
        </w:rPr>
      </w:pPr>
      <w:r>
        <w:rPr>
          <w:snapToGrid w:val="0"/>
        </w:rPr>
        <w:tab/>
        <w:t>(1)</w:t>
      </w:r>
      <w:r>
        <w:rPr>
          <w:snapToGrid w:val="0"/>
        </w:rPr>
        <w:tab/>
        <w:t xml:space="preserve">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w:t>
      </w:r>
      <w:r>
        <w:t>approved form.</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w:t>
      </w:r>
      <w:r>
        <w:t>approved form.</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 xml:space="preserve">Any person who objects to the alteration of a rule referred to in subregulation (1) must give notice of that objection in the </w:t>
      </w:r>
      <w:r>
        <w:t>approved form</w:t>
      </w:r>
      <w:r>
        <w:rPr>
          <w:snapToGrid w:val="0"/>
        </w:rPr>
        <w:t xml:space="preserve"> within 21 days of the publication in the required manner and otherwise the provisions of regulation 15 apply with respect to any objection to the alteration.</w:t>
      </w:r>
    </w:p>
    <w:p>
      <w:pPr>
        <w:pStyle w:val="Footnotesection"/>
      </w:pPr>
      <w:r>
        <w:tab/>
        <w:t>[Regulation 69 amended: Gazette 5 Mar 2019 p. 622</w:t>
      </w:r>
      <w:r>
        <w:noBreakHyphen/>
        <w:t>3.]</w:t>
      </w:r>
    </w:p>
    <w:p>
      <w:pPr>
        <w:pStyle w:val="Heading5"/>
        <w:rPr>
          <w:snapToGrid w:val="0"/>
        </w:rPr>
      </w:pPr>
      <w:bookmarkStart w:id="154" w:name="_Toc11744505"/>
      <w:r>
        <w:rPr>
          <w:rStyle w:val="CharSectno"/>
        </w:rPr>
        <w:t>70</w:t>
      </w:r>
      <w:r>
        <w:t>.</w:t>
      </w:r>
      <w:r>
        <w:tab/>
      </w:r>
      <w:r>
        <w:rPr>
          <w:snapToGrid w:val="0"/>
        </w:rPr>
        <w:t>Substitution of new set of rules</w:t>
      </w:r>
      <w:bookmarkEnd w:id="154"/>
    </w:p>
    <w:p>
      <w:pPr>
        <w:pStyle w:val="Subsection"/>
        <w:rPr>
          <w:snapToGrid w:val="0"/>
        </w:rPr>
      </w:pPr>
      <w:r>
        <w:rPr>
          <w:snapToGrid w:val="0"/>
        </w:rPr>
        <w:tab/>
        <w:t>(1)</w:t>
      </w:r>
      <w:r>
        <w:rPr>
          <w:snapToGrid w:val="0"/>
        </w:rPr>
        <w:tab/>
        <w:t xml:space="preserve">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w:t>
      </w:r>
      <w:r>
        <w:t>approved form.</w:t>
      </w:r>
    </w:p>
    <w:p>
      <w:pPr>
        <w:pStyle w:val="Subsection"/>
        <w:rPr>
          <w:snapToGrid w:val="0"/>
        </w:rPr>
      </w:pPr>
      <w:r>
        <w:rPr>
          <w:snapToGrid w:val="0"/>
        </w:rPr>
        <w:tab/>
        <w:t>(2)</w:t>
      </w:r>
      <w:r>
        <w:rPr>
          <w:snapToGrid w:val="0"/>
        </w:rPr>
        <w:tab/>
        <w:t xml:space="preserve">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w:t>
      </w:r>
      <w:r>
        <w:t>approved form.</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Footnotesection"/>
      </w:pPr>
      <w:r>
        <w:tab/>
        <w:t>[Regulation 70 amended: Gazette 5 Mar 2019 p. 622</w:t>
      </w:r>
      <w:r>
        <w:noBreakHyphen/>
        <w:t>3.]</w:t>
      </w:r>
    </w:p>
    <w:p>
      <w:pPr>
        <w:pStyle w:val="Heading5"/>
        <w:rPr>
          <w:snapToGrid w:val="0"/>
        </w:rPr>
      </w:pPr>
      <w:bookmarkStart w:id="155" w:name="_Toc11744506"/>
      <w:r>
        <w:rPr>
          <w:rStyle w:val="CharSectno"/>
        </w:rPr>
        <w:t>71</w:t>
      </w:r>
      <w:r>
        <w:t>.</w:t>
      </w:r>
      <w:r>
        <w:tab/>
      </w:r>
      <w:r>
        <w:rPr>
          <w:snapToGrid w:val="0"/>
        </w:rPr>
        <w:t>Change of name</w:t>
      </w:r>
      <w:bookmarkEnd w:id="155"/>
    </w:p>
    <w:p>
      <w:pPr>
        <w:pStyle w:val="Subsection"/>
        <w:rPr>
          <w:snapToGrid w:val="0"/>
        </w:rPr>
      </w:pPr>
      <w:r>
        <w:rPr>
          <w:snapToGrid w:val="0"/>
        </w:rPr>
        <w:tab/>
        <w:t>(1)</w:t>
      </w:r>
      <w:r>
        <w:rPr>
          <w:snapToGrid w:val="0"/>
        </w:rPr>
        <w:tab/>
        <w:t xml:space="preserve">Any application to change the name of an organisation or association must be made in triplicate to the Full Bench in the </w:t>
      </w:r>
      <w:r>
        <w:t>approved form.</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 and</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 xml:space="preserve">Any person who objects to the change of name of the organisation must give notice of that objection in the </w:t>
      </w:r>
      <w:r>
        <w:t>approved form</w:t>
      </w:r>
      <w:r>
        <w:rPr>
          <w:snapToGrid w:val="0"/>
        </w:rPr>
        <w:t xml:space="preserve"> within 21 days of the publication in the required manner and otherwise the provisions of regulation 15 apply with respect to any objection to the change of name.</w:t>
      </w:r>
    </w:p>
    <w:p>
      <w:pPr>
        <w:pStyle w:val="Subsection"/>
      </w:pPr>
      <w:r>
        <w:tab/>
        <w:t>(4)</w:t>
      </w:r>
      <w:r>
        <w:tab/>
        <w:t xml:space="preserve">A copy of the application </w:t>
      </w:r>
      <w:r>
        <w:rPr>
          <w:snapToGrid w:val="0"/>
        </w:rPr>
        <w:t>must</w:t>
      </w:r>
      <w:r>
        <w:t xml:space="preserve"> be served on the other parties to the proceedings.</w:t>
      </w:r>
    </w:p>
    <w:p>
      <w:pPr>
        <w:pStyle w:val="Footnotesection"/>
      </w:pPr>
      <w:r>
        <w:tab/>
        <w:t>[Regulation 71 amended: Gazette 5 Mar 2019 p. 622</w:t>
      </w:r>
      <w:r>
        <w:noBreakHyphen/>
        <w:t>3.]</w:t>
      </w:r>
    </w:p>
    <w:p>
      <w:pPr>
        <w:pStyle w:val="Heading5"/>
        <w:rPr>
          <w:snapToGrid w:val="0"/>
        </w:rPr>
      </w:pPr>
      <w:bookmarkStart w:id="156" w:name="_Toc11744507"/>
      <w:r>
        <w:rPr>
          <w:rStyle w:val="CharSectno"/>
        </w:rPr>
        <w:t>72</w:t>
      </w:r>
      <w:r>
        <w:t>.</w:t>
      </w:r>
      <w:r>
        <w:tab/>
      </w:r>
      <w:r>
        <w:rPr>
          <w:snapToGrid w:val="0"/>
        </w:rPr>
        <w:t>Counterpart certificates</w:t>
      </w:r>
      <w:bookmarkEnd w:id="156"/>
    </w:p>
    <w:p>
      <w:pPr>
        <w:pStyle w:val="Subsection"/>
        <w:rPr>
          <w:snapToGrid w:val="0"/>
        </w:rPr>
      </w:pPr>
      <w:r>
        <w:rPr>
          <w:snapToGrid w:val="0"/>
        </w:rPr>
        <w:tab/>
      </w:r>
      <w:r>
        <w:rPr>
          <w:snapToGrid w:val="0"/>
        </w:rPr>
        <w:tab/>
        <w:t xml:space="preserve">Any application to the Full Bench for a declaration in accordance with section 71(2) of the Act must be </w:t>
      </w:r>
      <w:r>
        <w:t>made in the approved form and must be</w:t>
      </w:r>
      <w:r>
        <w:rPr>
          <w:snapToGrid w:val="0"/>
        </w:rPr>
        <w:t xml:space="preserve"> accompanied by 3 copies of — </w:t>
      </w:r>
    </w:p>
    <w:p>
      <w:pPr>
        <w:pStyle w:val="Indenta"/>
      </w:pPr>
      <w:r>
        <w:tab/>
        <w:t>(a)</w:t>
      </w:r>
      <w:r>
        <w:tab/>
        <w:t>the rules of the organisation and of its Counterpart Federal Body; and</w:t>
      </w:r>
    </w:p>
    <w:p>
      <w:pPr>
        <w:pStyle w:val="Indenta"/>
      </w:pPr>
      <w:r>
        <w:tab/>
        <w:t>(b)</w:t>
      </w:r>
      <w:r>
        <w:tab/>
        <w:t>a statement comparing the rules relating to the qualifications of persons for membership of the organisation and of its Counterpart Federal Body; and</w:t>
      </w:r>
    </w:p>
    <w:p>
      <w:pPr>
        <w:pStyle w:val="Indenta"/>
      </w:pPr>
      <w:r>
        <w:tab/>
        <w:t>(c)</w:t>
      </w:r>
      <w:r>
        <w:tab/>
        <w:t>a statement comparing the offices that exist within the organisation, and the offices that exist within the branch of the Counterpart Federal Body; and</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Footnotesection"/>
      </w:pPr>
      <w:r>
        <w:tab/>
        <w:t>[Regulation 72 amended: Gazette 5 Mar 2019 p. 599.]</w:t>
      </w:r>
    </w:p>
    <w:p>
      <w:pPr>
        <w:pStyle w:val="Heading5"/>
        <w:rPr>
          <w:snapToGrid w:val="0"/>
        </w:rPr>
      </w:pPr>
      <w:bookmarkStart w:id="157" w:name="_Toc11744508"/>
      <w:r>
        <w:rPr>
          <w:rStyle w:val="CharSectno"/>
        </w:rPr>
        <w:t>73</w:t>
      </w:r>
      <w:r>
        <w:t>.</w:t>
      </w:r>
      <w:r>
        <w:tab/>
      </w:r>
      <w:r>
        <w:rPr>
          <w:snapToGrid w:val="0"/>
        </w:rPr>
        <w:t>Order under section 72A</w:t>
      </w:r>
      <w:bookmarkEnd w:id="157"/>
    </w:p>
    <w:p>
      <w:pPr>
        <w:pStyle w:val="Subsection"/>
      </w:pPr>
      <w:r>
        <w:tab/>
        <w:t>(1)</w:t>
      </w:r>
      <w:r>
        <w:tab/>
        <w:t>An application to the Full Bench for an order under section 72A(2) of the Act must set out in detail the grounds of the application and must be made in the form of a notice of application in the approved form.</w:t>
      </w:r>
    </w:p>
    <w:p>
      <w:pPr>
        <w:pStyle w:val="Subsection"/>
        <w:rPr>
          <w:snapToGrid w:val="0"/>
        </w:rPr>
      </w:pPr>
      <w:r>
        <w:rPr>
          <w:snapToGrid w:val="0"/>
        </w:rPr>
        <w:tab/>
        <w:t>(2)</w:t>
      </w:r>
      <w:r>
        <w:rPr>
          <w:snapToGrid w:val="0"/>
        </w:rPr>
        <w:tab/>
        <w:t xml:space="preserve">A person who wishes to be heard in relation to the application must file a notice of application to be heard in triplicate and in the form of a notice of application in </w:t>
      </w:r>
      <w:r>
        <w:t>approved form</w:t>
      </w:r>
      <w:r>
        <w:rPr>
          <w:snapToGrid w:val="0"/>
        </w:rPr>
        <w:t xml:space="preserve">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Footnotesection"/>
      </w:pPr>
      <w:r>
        <w:tab/>
        <w:t>[Regulation 73 amended: Gazette 5 Mar 2019 p. 599 and 622</w:t>
      </w:r>
      <w:r>
        <w:noBreakHyphen/>
        <w:t>3.]</w:t>
      </w:r>
    </w:p>
    <w:p>
      <w:pPr>
        <w:pStyle w:val="Heading5"/>
        <w:rPr>
          <w:snapToGrid w:val="0"/>
        </w:rPr>
      </w:pPr>
      <w:bookmarkStart w:id="158" w:name="_Toc11744509"/>
      <w:r>
        <w:rPr>
          <w:rStyle w:val="CharSectno"/>
        </w:rPr>
        <w:t>74</w:t>
      </w:r>
      <w:r>
        <w:t>.</w:t>
      </w:r>
      <w:r>
        <w:tab/>
      </w:r>
      <w:r>
        <w:rPr>
          <w:snapToGrid w:val="0"/>
        </w:rPr>
        <w:t>Summons for cancellation of registration of organisation</w:t>
      </w:r>
      <w:bookmarkEnd w:id="158"/>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 xml:space="preserve">A summons under section 73(1) of the Act must be in the </w:t>
      </w:r>
      <w:r>
        <w:t>approved form.</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Footnotesection"/>
      </w:pPr>
      <w:r>
        <w:tab/>
        <w:t>[Regulation 74 amended: Gazette 5 Mar 2019 p. 622</w:t>
      </w:r>
      <w:r>
        <w:noBreakHyphen/>
        <w:t>3.]</w:t>
      </w:r>
    </w:p>
    <w:p>
      <w:pPr>
        <w:pStyle w:val="Heading5"/>
        <w:pageBreakBefore/>
        <w:spacing w:before="0"/>
        <w:rPr>
          <w:snapToGrid w:val="0"/>
        </w:rPr>
      </w:pPr>
      <w:bookmarkStart w:id="159" w:name="_Toc11744510"/>
      <w:r>
        <w:rPr>
          <w:rStyle w:val="CharSectno"/>
        </w:rPr>
        <w:t>75</w:t>
      </w:r>
      <w:r>
        <w:t>.</w:t>
      </w:r>
      <w:r>
        <w:tab/>
      </w:r>
      <w:r>
        <w:rPr>
          <w:snapToGrid w:val="0"/>
        </w:rPr>
        <w:t>Request by organisation or association for cancellation of registration</w:t>
      </w:r>
      <w:bookmarkEnd w:id="159"/>
    </w:p>
    <w:p>
      <w:pPr>
        <w:pStyle w:val="Subsection"/>
        <w:rPr>
          <w:snapToGrid w:val="0"/>
        </w:rPr>
      </w:pPr>
      <w:r>
        <w:rPr>
          <w:snapToGrid w:val="0"/>
        </w:rPr>
        <w:tab/>
        <w:t>(1)</w:t>
      </w:r>
      <w:r>
        <w:rPr>
          <w:snapToGrid w:val="0"/>
        </w:rPr>
        <w:tab/>
        <w:t xml:space="preserve">Any request by an organisation or association to cancel its registration must be made to the Registrar in the </w:t>
      </w:r>
      <w:r>
        <w:t>approved form.</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Footnotesection"/>
      </w:pPr>
      <w:r>
        <w:tab/>
        <w:t>[Regulation 75 amended: Gazette 5 Mar 2019 p. 622</w:t>
      </w:r>
      <w:r>
        <w:noBreakHyphen/>
        <w:t>3.]</w:t>
      </w:r>
    </w:p>
    <w:p>
      <w:pPr>
        <w:pStyle w:val="Heading5"/>
        <w:rPr>
          <w:snapToGrid w:val="0"/>
        </w:rPr>
      </w:pPr>
      <w:bookmarkStart w:id="160" w:name="_Toc11744511"/>
      <w:r>
        <w:rPr>
          <w:rStyle w:val="CharSectno"/>
        </w:rPr>
        <w:t>76</w:t>
      </w:r>
      <w:r>
        <w:t>.</w:t>
      </w:r>
      <w:r>
        <w:tab/>
      </w:r>
      <w:r>
        <w:rPr>
          <w:snapToGrid w:val="0"/>
        </w:rPr>
        <w:t>Application by Registrar for cancellation of registration</w:t>
      </w:r>
      <w:bookmarkEnd w:id="160"/>
    </w:p>
    <w:p>
      <w:pPr>
        <w:pStyle w:val="Subsection"/>
        <w:rPr>
          <w:snapToGrid w:val="0"/>
        </w:rPr>
      </w:pPr>
      <w:r>
        <w:rPr>
          <w:snapToGrid w:val="0"/>
        </w:rPr>
        <w:tab/>
        <w:t>(1)</w:t>
      </w:r>
      <w:r>
        <w:rPr>
          <w:snapToGrid w:val="0"/>
        </w:rPr>
        <w:tab/>
        <w:t xml:space="preserve">Where an application is made by the Registrar under section 73(12) of the Act to cancel the registration of an organisation or association it is to be made in triplicate to the Full Bench in the </w:t>
      </w:r>
      <w:r>
        <w:t>approved form.</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 xml:space="preserve">After the expiration of the time prescribed in subregulations (4) and (5) the Registrar is to ascertain from the </w:t>
      </w:r>
      <w:r>
        <w:t>presiding commissioner</w:t>
      </w:r>
      <w:r>
        <w:rPr>
          <w:snapToGrid w:val="0"/>
        </w:rPr>
        <w:t xml:space="preserve"> a date for hearing the application and, as soon as practicable after setting a hearing date, is to notify the organisation or association of the hearing.</w:t>
      </w:r>
    </w:p>
    <w:p>
      <w:pPr>
        <w:pStyle w:val="Footnotesection"/>
      </w:pPr>
      <w:r>
        <w:tab/>
        <w:t>[Regulation 76 amended: Gazette 19 Dec 2018 p. 4840; 5 Mar 2019 p. 622</w:t>
      </w:r>
      <w:r>
        <w:noBreakHyphen/>
        <w:t>4.]</w:t>
      </w:r>
    </w:p>
    <w:p>
      <w:pPr>
        <w:pStyle w:val="Heading5"/>
        <w:rPr>
          <w:snapToGrid w:val="0"/>
        </w:rPr>
      </w:pPr>
      <w:bookmarkStart w:id="161" w:name="_Toc11744512"/>
      <w:r>
        <w:rPr>
          <w:rStyle w:val="CharSectno"/>
        </w:rPr>
        <w:t>77</w:t>
      </w:r>
      <w:r>
        <w:t>.</w:t>
      </w:r>
      <w:r>
        <w:tab/>
      </w:r>
      <w:r>
        <w:rPr>
          <w:snapToGrid w:val="0"/>
        </w:rPr>
        <w:t>Certificates of registration</w:t>
      </w:r>
      <w:bookmarkEnd w:id="161"/>
    </w:p>
    <w:p>
      <w:pPr>
        <w:pStyle w:val="Subsection"/>
        <w:rPr>
          <w:snapToGrid w:val="0"/>
        </w:rPr>
      </w:pPr>
      <w:r>
        <w:rPr>
          <w:snapToGrid w:val="0"/>
        </w:rPr>
        <w:tab/>
        <w:t>(1)</w:t>
      </w:r>
      <w:r>
        <w:rPr>
          <w:snapToGrid w:val="0"/>
        </w:rPr>
        <w:tab/>
        <w:t xml:space="preserve">Where the Registrar is authorised by the Full Bench to register an organisation the Registrar is to give to the organisation a certificate in the form </w:t>
      </w:r>
      <w:r>
        <w:t>set out in Schedule 1 Division 4.</w:t>
      </w:r>
    </w:p>
    <w:p>
      <w:pPr>
        <w:pStyle w:val="Subsection"/>
        <w:rPr>
          <w:snapToGrid w:val="0"/>
        </w:rPr>
      </w:pPr>
      <w:r>
        <w:rPr>
          <w:snapToGrid w:val="0"/>
        </w:rPr>
        <w:tab/>
        <w:t>(2)</w:t>
      </w:r>
      <w:r>
        <w:rPr>
          <w:snapToGrid w:val="0"/>
        </w:rPr>
        <w:tab/>
        <w:t xml:space="preserve">Where the Registrar is authorised by the Full Bench to register a council or other body as an association the Registrar is to give to the association a certificate in the form </w:t>
      </w:r>
      <w:r>
        <w:t>set out in Schedule 1 Division 4.</w:t>
      </w:r>
    </w:p>
    <w:p>
      <w:pPr>
        <w:pStyle w:val="Subsection"/>
        <w:rPr>
          <w:snapToGrid w:val="0"/>
        </w:rPr>
      </w:pPr>
      <w:r>
        <w:rPr>
          <w:snapToGrid w:val="0"/>
        </w:rPr>
        <w:tab/>
        <w:t>(3)</w:t>
      </w:r>
      <w:r>
        <w:rPr>
          <w:snapToGrid w:val="0"/>
        </w:rPr>
        <w:tab/>
        <w:t xml:space="preserve">Where the Registrar is authorised by the Full Bench to register an organisation formed by the amalgamation of 2 or more organisations the Registrar is to give to the organisation a certificate in the form </w:t>
      </w:r>
      <w:r>
        <w:t>set out in Schedule 1 Division 4.</w:t>
      </w:r>
    </w:p>
    <w:p>
      <w:pPr>
        <w:pStyle w:val="Subsection"/>
        <w:rPr>
          <w:snapToGrid w:val="0"/>
        </w:rPr>
      </w:pPr>
      <w:r>
        <w:rPr>
          <w:snapToGrid w:val="0"/>
        </w:rPr>
        <w:tab/>
        <w:t>(4)</w:t>
      </w:r>
      <w:r>
        <w:rPr>
          <w:snapToGrid w:val="0"/>
        </w:rPr>
        <w:tab/>
        <w:t xml:space="preserve">When the Registrar registers an alteration of the rules of an organisation or association the Registrar is to give to the organisation a certificate in the form </w:t>
      </w:r>
      <w:r>
        <w:t>set out in Schedule 1 Division 4.</w:t>
      </w:r>
    </w:p>
    <w:p>
      <w:pPr>
        <w:pStyle w:val="Subsection"/>
        <w:rPr>
          <w:snapToGrid w:val="0"/>
        </w:rPr>
      </w:pPr>
      <w:r>
        <w:rPr>
          <w:snapToGrid w:val="0"/>
        </w:rPr>
        <w:tab/>
        <w:t>(5)</w:t>
      </w:r>
      <w:r>
        <w:rPr>
          <w:snapToGrid w:val="0"/>
        </w:rPr>
        <w:tab/>
        <w:t xml:space="preserve">When the Registrar registers a change of name of an organisation or association the Registrar is to give to the organisation or association a certificate in the form </w:t>
      </w:r>
      <w:r>
        <w:t>set out in Schedule 1 Division 4.</w:t>
      </w:r>
    </w:p>
    <w:p>
      <w:pPr>
        <w:pStyle w:val="Footnotesection"/>
      </w:pPr>
      <w:r>
        <w:tab/>
        <w:t>[Regulation 77 amended: Gazette 5 Mar 2019 p. 622</w:t>
      </w:r>
      <w:r>
        <w:noBreakHyphen/>
        <w:t>4.]</w:t>
      </w:r>
    </w:p>
    <w:p>
      <w:pPr>
        <w:pStyle w:val="Heading5"/>
        <w:rPr>
          <w:snapToGrid w:val="0"/>
        </w:rPr>
      </w:pPr>
      <w:bookmarkStart w:id="162" w:name="_Toc11744513"/>
      <w:r>
        <w:rPr>
          <w:rStyle w:val="CharSectno"/>
        </w:rPr>
        <w:t>78</w:t>
      </w:r>
      <w:r>
        <w:t>.</w:t>
      </w:r>
      <w:r>
        <w:tab/>
      </w:r>
      <w:r>
        <w:rPr>
          <w:snapToGrid w:val="0"/>
        </w:rPr>
        <w:t>Filing of records of organisation or industrial association</w:t>
      </w:r>
      <w:bookmarkEnd w:id="162"/>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163" w:name="_Toc11744514"/>
      <w:r>
        <w:rPr>
          <w:rStyle w:val="CharSectno"/>
        </w:rPr>
        <w:t>79</w:t>
      </w:r>
      <w:r>
        <w:t>.</w:t>
      </w:r>
      <w:r>
        <w:tab/>
      </w:r>
      <w:r>
        <w:rPr>
          <w:snapToGrid w:val="0"/>
        </w:rPr>
        <w:t>Balance sheet etc. of organisation</w:t>
      </w:r>
      <w:bookmarkEnd w:id="163"/>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164" w:name="_Toc11744515"/>
      <w:r>
        <w:rPr>
          <w:rStyle w:val="CharSectno"/>
        </w:rPr>
        <w:t>80</w:t>
      </w:r>
      <w:r>
        <w:t>.</w:t>
      </w:r>
      <w:r>
        <w:tab/>
      </w:r>
      <w:r>
        <w:rPr>
          <w:snapToGrid w:val="0"/>
        </w:rPr>
        <w:t>Inspection of documents</w:t>
      </w:r>
      <w:bookmarkEnd w:id="164"/>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165" w:name="_Toc11744516"/>
      <w:r>
        <w:rPr>
          <w:rStyle w:val="CharSectno"/>
        </w:rPr>
        <w:t>81</w:t>
      </w:r>
      <w:r>
        <w:t>.</w:t>
      </w:r>
      <w:r>
        <w:tab/>
      </w:r>
      <w:r>
        <w:rPr>
          <w:snapToGrid w:val="0"/>
        </w:rPr>
        <w:t>Notification of change of address</w:t>
      </w:r>
      <w:bookmarkEnd w:id="165"/>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166" w:name="_Toc11744517"/>
      <w:r>
        <w:rPr>
          <w:rStyle w:val="CharSectno"/>
        </w:rPr>
        <w:t>82</w:t>
      </w:r>
      <w:r>
        <w:t>.</w:t>
      </w:r>
      <w:r>
        <w:tab/>
      </w:r>
      <w:r>
        <w:rPr>
          <w:snapToGrid w:val="0"/>
        </w:rPr>
        <w:t>Right of entry — authority for representatives</w:t>
      </w:r>
      <w:bookmarkEnd w:id="166"/>
    </w:p>
    <w:p>
      <w:pPr>
        <w:pStyle w:val="Subsection"/>
        <w:rPr>
          <w:snapToGrid w:val="0"/>
        </w:rPr>
      </w:pPr>
      <w:r>
        <w:rPr>
          <w:snapToGrid w:val="0"/>
        </w:rPr>
        <w:tab/>
        <w:t>(1)</w:t>
      </w:r>
      <w:r>
        <w:rPr>
          <w:snapToGrid w:val="0"/>
        </w:rPr>
        <w:tab/>
        <w:t xml:space="preserve">Any application by a secretary of a registered organisation of employees for the Registrar to issue an authority under section 49J of the Act must be made in the </w:t>
      </w:r>
      <w:r>
        <w:t>approved form.</w:t>
      </w:r>
    </w:p>
    <w:p>
      <w:pPr>
        <w:pStyle w:val="Subsection"/>
      </w:pPr>
      <w:r>
        <w:tab/>
        <w:t>(2)</w:t>
      </w:r>
      <w:r>
        <w:tab/>
        <w:t>An application by a secretary of a registered organisation of employees for the Registrar to revoke an authority under section 49J(6) must be made in the approved form.</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 xml:space="preserve">the words, as a heading, “Authorised Representative, Right of Entry and Inspection, </w:t>
      </w:r>
      <w:r>
        <w:rPr>
          <w:i/>
          <w:iCs/>
          <w:snapToGrid w:val="0"/>
        </w:rPr>
        <w:t>Industrial Relations Act 1979</w:t>
      </w:r>
      <w:r>
        <w:rPr>
          <w:snapToGrid w:val="0"/>
        </w:rPr>
        <w:t xml:space="preserve"> section 49J”; and</w:t>
      </w:r>
    </w:p>
    <w:p>
      <w:pPr>
        <w:pStyle w:val="Indenta"/>
        <w:rPr>
          <w:snapToGrid w:val="0"/>
        </w:rPr>
      </w:pPr>
      <w:r>
        <w:rPr>
          <w:snapToGrid w:val="0"/>
        </w:rPr>
        <w:tab/>
        <w:t>(b)</w:t>
      </w:r>
      <w:r>
        <w:rPr>
          <w:snapToGrid w:val="0"/>
        </w:rPr>
        <w:tab/>
        <w:t>the name of the person nominated; and</w:t>
      </w:r>
    </w:p>
    <w:p>
      <w:pPr>
        <w:pStyle w:val="Indenta"/>
        <w:rPr>
          <w:snapToGrid w:val="0"/>
        </w:rPr>
      </w:pPr>
      <w:r>
        <w:rPr>
          <w:snapToGrid w:val="0"/>
        </w:rPr>
        <w:tab/>
        <w:t>(c)</w:t>
      </w:r>
      <w:r>
        <w:rPr>
          <w:snapToGrid w:val="0"/>
        </w:rPr>
        <w:tab/>
        <w:t xml:space="preserve">the words, appropriately completed,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w:t>
      </w:r>
      <w:r>
        <w:rPr>
          <w:i/>
          <w:iCs/>
          <w:snapToGrid w:val="0"/>
        </w:rPr>
        <w:t>Industrial Relations Act 1979</w:t>
      </w:r>
      <w:r>
        <w:rPr>
          <w:snapToGrid w:val="0"/>
        </w:rPr>
        <w:t xml:space="preserve"> sections 49H and 49I.”; and</w:t>
      </w:r>
    </w:p>
    <w:p>
      <w:pPr>
        <w:pStyle w:val="Indenta"/>
        <w:rPr>
          <w:snapToGrid w:val="0"/>
        </w:rPr>
      </w:pPr>
      <w:r>
        <w:rPr>
          <w:snapToGrid w:val="0"/>
        </w:rPr>
        <w:tab/>
        <w:t>(d)</w:t>
      </w:r>
      <w:r>
        <w:rPr>
          <w:snapToGrid w:val="0"/>
        </w:rPr>
        <w:tab/>
        <w:t>a photograph of the person to whom the authority is issued; and</w:t>
      </w:r>
    </w:p>
    <w:p>
      <w:pPr>
        <w:pStyle w:val="Indenta"/>
        <w:rPr>
          <w:snapToGrid w:val="0"/>
        </w:rPr>
      </w:pPr>
      <w:r>
        <w:rPr>
          <w:snapToGrid w:val="0"/>
        </w:rPr>
        <w:tab/>
        <w:t>(e)</w:t>
      </w:r>
      <w:r>
        <w:rPr>
          <w:snapToGrid w:val="0"/>
        </w:rPr>
        <w:tab/>
        <w:t>the signature of, and date of issue by, the Registrar; and</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 xml:space="preserve">Any application to the Commission under section 49J(5) of the Act for the Commission to revoke or suspend an authority must be in the form of a notice of application in </w:t>
      </w:r>
      <w:r>
        <w:t>the approved form</w:t>
      </w:r>
      <w:r>
        <w:rPr>
          <w:snapToGrid w:val="0"/>
        </w:rPr>
        <w:t xml:space="preserve">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Ednotesubsection"/>
      </w:pPr>
      <w:r>
        <w:tab/>
        <w:t>[(10)</w:t>
      </w:r>
      <w:r>
        <w:tab/>
        <w:t>deleted]</w:t>
      </w:r>
    </w:p>
    <w:p>
      <w:pPr>
        <w:pStyle w:val="Subsection"/>
        <w:rPr>
          <w:snapToGrid w:val="0"/>
        </w:rPr>
      </w:pPr>
      <w:r>
        <w:rPr>
          <w:snapToGrid w:val="0"/>
        </w:rPr>
        <w:tab/>
        <w:t>(11)</w:t>
      </w:r>
      <w:r>
        <w:rPr>
          <w:snapToGrid w:val="0"/>
        </w:rPr>
        <w:tab/>
        <w:t xml:space="preserve">Any application to the Commission in Court Session to issue an authority revoked under section 49J(5) of the Act must be in the form of a notice of application in </w:t>
      </w:r>
      <w:r>
        <w:t>the approved form.</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Footnotesection"/>
      </w:pPr>
      <w:r>
        <w:tab/>
        <w:t>[Regulation 82 amended: Gazette 5 Mar 2019 p. 600 and 622</w:t>
      </w:r>
      <w:r>
        <w:noBreakHyphen/>
        <w:t>4.]</w:t>
      </w:r>
    </w:p>
    <w:p>
      <w:pPr>
        <w:pStyle w:val="Heading2"/>
      </w:pPr>
      <w:bookmarkStart w:id="167" w:name="_Toc5353002"/>
      <w:bookmarkStart w:id="168" w:name="_Toc5353631"/>
      <w:bookmarkStart w:id="169" w:name="_Toc8742696"/>
      <w:bookmarkStart w:id="170" w:name="_Toc11053432"/>
      <w:bookmarkStart w:id="171" w:name="_Toc11744518"/>
      <w:r>
        <w:rPr>
          <w:rStyle w:val="CharPartNo"/>
        </w:rPr>
        <w:t>Part 8</w:t>
      </w:r>
      <w:r>
        <w:t> — </w:t>
      </w:r>
      <w:r>
        <w:rPr>
          <w:rStyle w:val="CharPartText"/>
        </w:rPr>
        <w:t>Applications and appeals under Part VID Division 9 of the Act</w:t>
      </w:r>
      <w:bookmarkEnd w:id="167"/>
      <w:bookmarkEnd w:id="168"/>
      <w:bookmarkEnd w:id="169"/>
      <w:bookmarkEnd w:id="170"/>
      <w:bookmarkEnd w:id="171"/>
    </w:p>
    <w:p>
      <w:pPr>
        <w:pStyle w:val="Heading3"/>
      </w:pPr>
      <w:bookmarkStart w:id="172" w:name="_Toc5353003"/>
      <w:bookmarkStart w:id="173" w:name="_Toc5353632"/>
      <w:bookmarkStart w:id="174" w:name="_Toc8742697"/>
      <w:bookmarkStart w:id="175" w:name="_Toc11053433"/>
      <w:bookmarkStart w:id="176" w:name="_Toc11744519"/>
      <w:r>
        <w:rPr>
          <w:rStyle w:val="CharDivNo"/>
        </w:rPr>
        <w:t>Division 1</w:t>
      </w:r>
      <w:r>
        <w:t> — </w:t>
      </w:r>
      <w:r>
        <w:rPr>
          <w:rStyle w:val="CharDivText"/>
        </w:rPr>
        <w:t>Applications</w:t>
      </w:r>
      <w:bookmarkEnd w:id="172"/>
      <w:bookmarkEnd w:id="173"/>
      <w:bookmarkEnd w:id="174"/>
      <w:bookmarkEnd w:id="175"/>
      <w:bookmarkEnd w:id="176"/>
    </w:p>
    <w:p>
      <w:pPr>
        <w:pStyle w:val="Heading5"/>
      </w:pPr>
      <w:bookmarkStart w:id="177" w:name="_Toc11744520"/>
      <w:r>
        <w:rPr>
          <w:rStyle w:val="CharSectno"/>
        </w:rPr>
        <w:t>83</w:t>
      </w:r>
      <w:r>
        <w:t>.</w:t>
      </w:r>
      <w:r>
        <w:tab/>
        <w:t>Establishing that proposed representative is qualified and consents to application under section 97WV or 97XM</w:t>
      </w:r>
      <w:bookmarkEnd w:id="177"/>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178" w:name="_Toc11744521"/>
      <w:r>
        <w:rPr>
          <w:rStyle w:val="CharSectno"/>
        </w:rPr>
        <w:t>84</w:t>
      </w:r>
      <w:r>
        <w:t>.</w:t>
      </w:r>
      <w:r>
        <w:tab/>
        <w:t>Notice of application for approval to be given to employer</w:t>
      </w:r>
      <w:bookmarkEnd w:id="178"/>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keepNext/>
        <w:keepLines/>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179" w:name="_Toc5353006"/>
      <w:bookmarkStart w:id="180" w:name="_Toc5353635"/>
      <w:bookmarkStart w:id="181" w:name="_Toc8742700"/>
      <w:bookmarkStart w:id="182" w:name="_Toc11053436"/>
      <w:bookmarkStart w:id="183" w:name="_Toc11744522"/>
      <w:r>
        <w:rPr>
          <w:rStyle w:val="CharDivNo"/>
        </w:rPr>
        <w:t>Division 2</w:t>
      </w:r>
      <w:r>
        <w:t> — </w:t>
      </w:r>
      <w:r>
        <w:rPr>
          <w:rStyle w:val="CharDivText"/>
        </w:rPr>
        <w:t>Appeals under section 97XB or 97XQ of the Act</w:t>
      </w:r>
      <w:bookmarkEnd w:id="179"/>
      <w:bookmarkEnd w:id="180"/>
      <w:bookmarkEnd w:id="181"/>
      <w:bookmarkEnd w:id="182"/>
      <w:bookmarkEnd w:id="183"/>
    </w:p>
    <w:p>
      <w:pPr>
        <w:pStyle w:val="Heading5"/>
      </w:pPr>
      <w:bookmarkStart w:id="184" w:name="_Toc11744523"/>
      <w:r>
        <w:rPr>
          <w:rStyle w:val="CharSectno"/>
        </w:rPr>
        <w:t>85</w:t>
      </w:r>
      <w:r>
        <w:t>.</w:t>
      </w:r>
      <w:r>
        <w:tab/>
        <w:t>Appeal against refusal to give approval</w:t>
      </w:r>
      <w:bookmarkEnd w:id="184"/>
    </w:p>
    <w:p>
      <w:pPr>
        <w:pStyle w:val="Subsection"/>
      </w:pPr>
      <w:r>
        <w:tab/>
      </w:r>
      <w:r>
        <w:tab/>
        <w:t xml:space="preserve">An appeal to the Commission under section 97XB or 97XQ </w:t>
      </w:r>
      <w:r>
        <w:rPr>
          <w:snapToGrid w:val="0"/>
        </w:rPr>
        <w:t>of the Act may</w:t>
      </w:r>
      <w:r>
        <w:t xml:space="preserve"> be commenced by the filing in the office of the Registrar of an appeal notice in the approved form.</w:t>
      </w:r>
    </w:p>
    <w:p>
      <w:pPr>
        <w:pStyle w:val="Footnotesection"/>
      </w:pPr>
      <w:r>
        <w:tab/>
        <w:t>[Regulation 85 amended: Gazette 5 Mar 2019 p. 622</w:t>
      </w:r>
      <w:r>
        <w:noBreakHyphen/>
        <w:t>4.]</w:t>
      </w:r>
    </w:p>
    <w:p>
      <w:pPr>
        <w:pStyle w:val="Heading5"/>
        <w:rPr>
          <w:snapToGrid w:val="0"/>
        </w:rPr>
      </w:pPr>
      <w:bookmarkStart w:id="185" w:name="_Toc11744524"/>
      <w:r>
        <w:rPr>
          <w:rStyle w:val="CharSectno"/>
        </w:rPr>
        <w:t>86</w:t>
      </w:r>
      <w:r>
        <w:t>.</w:t>
      </w:r>
      <w:r>
        <w:tab/>
      </w:r>
      <w:r>
        <w:rPr>
          <w:snapToGrid w:val="0"/>
        </w:rPr>
        <w:t>Service of appeal notice</w:t>
      </w:r>
      <w:bookmarkEnd w:id="185"/>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rStyle w:val="CharDefText"/>
        </w:rPr>
        <w:t>interested person</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186" w:name="_Toc11744525"/>
      <w:r>
        <w:rPr>
          <w:rStyle w:val="CharSectno"/>
        </w:rPr>
        <w:t>87</w:t>
      </w:r>
      <w:r>
        <w:t>.</w:t>
      </w:r>
      <w:r>
        <w:tab/>
      </w:r>
      <w:r>
        <w:rPr>
          <w:snapToGrid w:val="0"/>
        </w:rPr>
        <w:t>Person served entitled but not required to be heard</w:t>
      </w:r>
      <w:bookmarkEnd w:id="186"/>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187" w:name="_Toc11744526"/>
      <w:r>
        <w:rPr>
          <w:rStyle w:val="CharSectno"/>
        </w:rPr>
        <w:t>88</w:t>
      </w:r>
      <w:r>
        <w:t>.</w:t>
      </w:r>
      <w:r>
        <w:tab/>
      </w:r>
      <w:r>
        <w:rPr>
          <w:snapToGrid w:val="0"/>
        </w:rPr>
        <w:t>Registrar to provide records to Commissioner</w:t>
      </w:r>
      <w:bookmarkEnd w:id="187"/>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188" w:name="_Toc5353011"/>
      <w:bookmarkStart w:id="189" w:name="_Toc5353640"/>
      <w:bookmarkStart w:id="190" w:name="_Toc8742705"/>
      <w:bookmarkStart w:id="191" w:name="_Toc11053441"/>
      <w:bookmarkStart w:id="192" w:name="_Toc11744527"/>
      <w:r>
        <w:rPr>
          <w:rStyle w:val="CharPartNo"/>
        </w:rPr>
        <w:t>Part 9A</w:t>
      </w:r>
      <w:r>
        <w:rPr>
          <w:rStyle w:val="CharDivNo"/>
        </w:rPr>
        <w:t> </w:t>
      </w:r>
      <w:r>
        <w:t>—</w:t>
      </w:r>
      <w:r>
        <w:rPr>
          <w:rStyle w:val="CharDivText"/>
        </w:rPr>
        <w:t> </w:t>
      </w:r>
      <w:r>
        <w:rPr>
          <w:rStyle w:val="CharPartText"/>
        </w:rPr>
        <w:t xml:space="preserve">Appeals under </w:t>
      </w:r>
      <w:r>
        <w:rPr>
          <w:rStyle w:val="CharPartText"/>
          <w:i/>
        </w:rPr>
        <w:t>Prisons Act 1981</w:t>
      </w:r>
      <w:r>
        <w:rPr>
          <w:rStyle w:val="CharPartText"/>
        </w:rPr>
        <w:t xml:space="preserve"> section 106</w:t>
      </w:r>
      <w:bookmarkEnd w:id="188"/>
      <w:bookmarkEnd w:id="189"/>
      <w:bookmarkEnd w:id="190"/>
      <w:bookmarkEnd w:id="191"/>
      <w:bookmarkEnd w:id="192"/>
    </w:p>
    <w:p>
      <w:pPr>
        <w:pStyle w:val="Footnoteheading"/>
      </w:pPr>
      <w:r>
        <w:tab/>
        <w:t>[Heading inserted: Gazette 21 Aug 2015 p. 3337.]</w:t>
      </w:r>
    </w:p>
    <w:p>
      <w:pPr>
        <w:pStyle w:val="Heading5"/>
      </w:pPr>
      <w:bookmarkStart w:id="193" w:name="_Toc11744528"/>
      <w:r>
        <w:rPr>
          <w:rStyle w:val="CharSectno"/>
        </w:rPr>
        <w:t>89A</w:t>
      </w:r>
      <w:r>
        <w:t>.</w:t>
      </w:r>
      <w:r>
        <w:tab/>
        <w:t>Terms used</w:t>
      </w:r>
      <w:bookmarkEnd w:id="193"/>
    </w:p>
    <w:p>
      <w:pPr>
        <w:pStyle w:val="Subsection"/>
      </w:pPr>
      <w:r>
        <w:tab/>
      </w:r>
      <w:r>
        <w:tab/>
        <w:t xml:space="preserve">In this Part — </w:t>
      </w:r>
    </w:p>
    <w:p>
      <w:pPr>
        <w:pStyle w:val="Defstart"/>
      </w:pPr>
      <w:r>
        <w:tab/>
      </w:r>
      <w:r>
        <w:rPr>
          <w:rStyle w:val="CharDefText"/>
        </w:rPr>
        <w:t>appeal against removal action</w:t>
      </w:r>
      <w:r>
        <w:t xml:space="preserve"> means an appeal under the </w:t>
      </w:r>
      <w:r>
        <w:rPr>
          <w:i/>
        </w:rPr>
        <w:t>Prisons Act 1981</w:t>
      </w:r>
      <w:r>
        <w:t xml:space="preserve"> section 106;</w:t>
      </w:r>
    </w:p>
    <w:p>
      <w:pPr>
        <w:pStyle w:val="Defstart"/>
      </w:pPr>
      <w:r>
        <w:tab/>
      </w:r>
      <w:r>
        <w:rPr>
          <w:rStyle w:val="CharDefText"/>
        </w:rPr>
        <w:t>appellant</w:t>
      </w:r>
      <w:r>
        <w:t xml:space="preserve"> means a prison officer who institutes an appeal against removal action;</w:t>
      </w:r>
    </w:p>
    <w:p>
      <w:pPr>
        <w:pStyle w:val="Defstart"/>
      </w:pPr>
      <w:r>
        <w:tab/>
      </w:r>
      <w:r>
        <w:rPr>
          <w:rStyle w:val="CharDefText"/>
        </w:rPr>
        <w:t>chief executive officer</w:t>
      </w:r>
      <w:r>
        <w:t xml:space="preserve"> has the meaning given in the </w:t>
      </w:r>
      <w:r>
        <w:rPr>
          <w:i/>
        </w:rPr>
        <w:t>Prisons Act 1981</w:t>
      </w:r>
      <w:r>
        <w:t xml:space="preserve"> section 3(1);</w:t>
      </w:r>
    </w:p>
    <w:p>
      <w:pPr>
        <w:pStyle w:val="Defstart"/>
      </w:pPr>
      <w:r>
        <w:tab/>
      </w:r>
      <w:r>
        <w:rPr>
          <w:rStyle w:val="CharDefText"/>
        </w:rPr>
        <w:t>prison officer</w:t>
      </w:r>
      <w:r>
        <w:t xml:space="preserve"> has the same meaning as in the </w:t>
      </w:r>
      <w:r>
        <w:rPr>
          <w:i/>
        </w:rPr>
        <w:t>Prisons Act 1981</w:t>
      </w:r>
      <w:r>
        <w:t xml:space="preserve"> Part X Division 3;</w:t>
      </w:r>
    </w:p>
    <w:p>
      <w:pPr>
        <w:pStyle w:val="Defstart"/>
      </w:pPr>
      <w:r>
        <w:tab/>
      </w:r>
      <w:r>
        <w:rPr>
          <w:rStyle w:val="CharDefText"/>
        </w:rPr>
        <w:t>removal action</w:t>
      </w:r>
      <w:r>
        <w:t xml:space="preserve"> has the meaning given in the </w:t>
      </w:r>
      <w:r>
        <w:rPr>
          <w:i/>
        </w:rPr>
        <w:t>Prisons Act 1981</w:t>
      </w:r>
      <w:r>
        <w:t xml:space="preserve"> section 101(1).</w:t>
      </w:r>
    </w:p>
    <w:p>
      <w:pPr>
        <w:pStyle w:val="Footnotesection"/>
      </w:pPr>
      <w:r>
        <w:tab/>
        <w:t>[Regulation 89A inserted: Gazette 21 Aug 2015 p. 3337; amended: Gazette 5 Mar 2019 p. 600.]</w:t>
      </w:r>
    </w:p>
    <w:p>
      <w:pPr>
        <w:pStyle w:val="Heading5"/>
      </w:pPr>
      <w:bookmarkStart w:id="194" w:name="_Toc11744529"/>
      <w:r>
        <w:rPr>
          <w:rStyle w:val="CharSectno"/>
        </w:rPr>
        <w:t>89B</w:t>
      </w:r>
      <w:r>
        <w:t>.</w:t>
      </w:r>
      <w:r>
        <w:tab/>
        <w:t>Notice of appeal against removal action</w:t>
      </w:r>
      <w:bookmarkEnd w:id="194"/>
      <w:r>
        <w:t xml:space="preserve"> </w:t>
      </w:r>
    </w:p>
    <w:p>
      <w:pPr>
        <w:pStyle w:val="Subsection"/>
      </w:pPr>
      <w:r>
        <w:tab/>
      </w:r>
      <w:r>
        <w:tab/>
        <w:t xml:space="preserve">An appeal by a prison officer against removal action is instituted under the </w:t>
      </w:r>
      <w:r>
        <w:rPr>
          <w:i/>
        </w:rPr>
        <w:t>Prisons Act 1981</w:t>
      </w:r>
      <w:r>
        <w:t xml:space="preserve"> section 106(2) if the prison officer completes and files in the office of the Registrar 3 copies of a notice of appeal to the chief executive officer in the approved form.</w:t>
      </w:r>
    </w:p>
    <w:p>
      <w:pPr>
        <w:pStyle w:val="Footnotesection"/>
      </w:pPr>
      <w:r>
        <w:tab/>
        <w:t>[Regulation 89B inserted: Gazette 21 Aug 2015 p. 3337; amended: Gazette 5 Mar 2019 p. 622</w:t>
      </w:r>
      <w:r>
        <w:noBreakHyphen/>
        <w:t>4.]</w:t>
      </w:r>
    </w:p>
    <w:p>
      <w:pPr>
        <w:pStyle w:val="Heading5"/>
      </w:pPr>
      <w:bookmarkStart w:id="195" w:name="_Toc11744530"/>
      <w:r>
        <w:rPr>
          <w:rStyle w:val="CharSectno"/>
        </w:rPr>
        <w:t>89C</w:t>
      </w:r>
      <w:r>
        <w:t>.</w:t>
      </w:r>
      <w:r>
        <w:tab/>
        <w:t>Service of notice of appeal against removal action</w:t>
      </w:r>
      <w:bookmarkEnd w:id="195"/>
    </w:p>
    <w:p>
      <w:pPr>
        <w:pStyle w:val="Subsection"/>
      </w:pPr>
      <w:r>
        <w:tab/>
      </w:r>
      <w:r>
        <w:tab/>
        <w:t>Within 7 days after an appeal against removal action is instituted, the Registrar must serve a copy of the notice of appeal on the chief executive officer.</w:t>
      </w:r>
    </w:p>
    <w:p>
      <w:pPr>
        <w:pStyle w:val="Footnotesection"/>
      </w:pPr>
      <w:r>
        <w:tab/>
        <w:t>[Regulation 89C inserted: Gazette 21 Aug 2015 p. 3338; amended: Gazette 5 Mar 2019 p. 621.]</w:t>
      </w:r>
    </w:p>
    <w:p>
      <w:pPr>
        <w:pStyle w:val="Heading5"/>
        <w:pageBreakBefore/>
        <w:spacing w:before="0"/>
      </w:pPr>
      <w:bookmarkStart w:id="196" w:name="_Toc11744531"/>
      <w:r>
        <w:rPr>
          <w:rStyle w:val="CharSectno"/>
        </w:rPr>
        <w:t>89D</w:t>
      </w:r>
      <w:r>
        <w:t>.</w:t>
      </w:r>
      <w:r>
        <w:tab/>
        <w:t>Response by chief executive officer</w:t>
      </w:r>
      <w:bookmarkEnd w:id="196"/>
    </w:p>
    <w:p>
      <w:pPr>
        <w:pStyle w:val="Subsection"/>
      </w:pPr>
      <w:r>
        <w:tab/>
        <w:t>(1)</w:t>
      </w:r>
      <w:r>
        <w:tab/>
        <w:t xml:space="preserve">Except as otherwise directed by the Commission, the chief executive officer must respond to the notice of appeal within 28 days after the service of the notice of appeal by completing and filing in the office of the Registrar 3 copies of — </w:t>
      </w:r>
    </w:p>
    <w:p>
      <w:pPr>
        <w:pStyle w:val="Indenta"/>
      </w:pPr>
      <w:r>
        <w:tab/>
        <w:t>(a)</w:t>
      </w:r>
      <w:r>
        <w:tab/>
        <w:t>a response stating the chief executive officer’s reasons for deciding to take removal action; and</w:t>
      </w:r>
    </w:p>
    <w:p>
      <w:pPr>
        <w:pStyle w:val="Indenta"/>
      </w:pPr>
      <w:r>
        <w:tab/>
        <w:t>(b)</w:t>
      </w:r>
      <w:r>
        <w:tab/>
        <w:t>a list of all documents, as defined in regulation 20(1), that the chief executive officer considered before making the decision; and</w:t>
      </w:r>
    </w:p>
    <w:p>
      <w:pPr>
        <w:pStyle w:val="Indenta"/>
      </w:pPr>
      <w:r>
        <w:tab/>
        <w:t>(c)</w:t>
      </w:r>
      <w:r>
        <w:tab/>
        <w:t xml:space="preserve">a summary of facts or issues of law relied upon by the chief executive officer, including any relevant matters set out in the </w:t>
      </w:r>
      <w:r>
        <w:rPr>
          <w:i/>
        </w:rPr>
        <w:t>Prisons Act 1981</w:t>
      </w:r>
      <w:r>
        <w:t xml:space="preserve"> section 107(4); and</w:t>
      </w:r>
    </w:p>
    <w:p>
      <w:pPr>
        <w:pStyle w:val="Indenta"/>
      </w:pPr>
      <w:r>
        <w:tab/>
        <w:t>(d)</w:t>
      </w:r>
      <w:r>
        <w:tab/>
        <w:t>a reply containing any matters the chief executive officer wishes to raise in relation to the appellant’s case.</w:t>
      </w:r>
    </w:p>
    <w:p>
      <w:pPr>
        <w:pStyle w:val="Subsection"/>
      </w:pPr>
      <w:r>
        <w:tab/>
        <w:t>(2)</w:t>
      </w:r>
      <w:r>
        <w:tab/>
        <w:t>The response must be in the approved form and have attached to it the list of documents, the summary and the reply.</w:t>
      </w:r>
    </w:p>
    <w:p>
      <w:pPr>
        <w:pStyle w:val="Subsection"/>
      </w:pPr>
      <w:r>
        <w:tab/>
        <w:t>(3)</w:t>
      </w:r>
      <w:r>
        <w:tab/>
        <w:t>The Registrar must serve a copy of the response and its attachments on the appellant.</w:t>
      </w:r>
    </w:p>
    <w:p>
      <w:pPr>
        <w:pStyle w:val="Footnotesection"/>
      </w:pPr>
      <w:r>
        <w:tab/>
        <w:t>[Regulation 89D inserted: Gazette 21 Aug 2015 p. 3338; amended: Gazette 5 Mar 2019 p. 600</w:t>
      </w:r>
      <w:r>
        <w:noBreakHyphen/>
        <w:t>1, 619</w:t>
      </w:r>
      <w:r>
        <w:noBreakHyphen/>
        <w:t>20 and 622</w:t>
      </w:r>
      <w:r>
        <w:noBreakHyphen/>
        <w:t>4.]</w:t>
      </w:r>
    </w:p>
    <w:p>
      <w:pPr>
        <w:pStyle w:val="Heading5"/>
      </w:pPr>
      <w:bookmarkStart w:id="197" w:name="_Toc11744532"/>
      <w:r>
        <w:rPr>
          <w:rStyle w:val="CharSectno"/>
        </w:rPr>
        <w:t>89E</w:t>
      </w:r>
      <w:r>
        <w:t>.</w:t>
      </w:r>
      <w:r>
        <w:tab/>
        <w:t>Documents relied on to be filed and served</w:t>
      </w:r>
      <w:bookmarkEnd w:id="197"/>
    </w:p>
    <w:p>
      <w:pPr>
        <w:pStyle w:val="Subsection"/>
      </w:pPr>
      <w:r>
        <w:tab/>
        <w:t>(1)</w:t>
      </w:r>
      <w:r>
        <w:tab/>
        <w:t xml:space="preserve">Except as otherwise directed by the Commission, within 14 days of the service on the appellant of the documents referred to in regulation 89D — </w:t>
      </w:r>
    </w:p>
    <w:p>
      <w:pPr>
        <w:pStyle w:val="Indenta"/>
      </w:pPr>
      <w:r>
        <w:tab/>
        <w:t>(a)</w:t>
      </w:r>
      <w:r>
        <w:tab/>
        <w:t>the chief executive officer must file in the office of the Registrar 3 copies of every document relied upon by the chief executive officer in the appellant’s case; and</w:t>
      </w:r>
    </w:p>
    <w:p>
      <w:pPr>
        <w:pStyle w:val="Indenta"/>
      </w:pPr>
      <w:r>
        <w:tab/>
        <w:t>(b)</w:t>
      </w:r>
      <w:r>
        <w:tab/>
        <w:t>the Registrar must serve a copy of those documents on the appellant.</w:t>
      </w:r>
    </w:p>
    <w:p>
      <w:pPr>
        <w:pStyle w:val="Subsection"/>
      </w:pPr>
      <w:r>
        <w:tab/>
        <w:t>(2)</w:t>
      </w:r>
      <w:r>
        <w:tab/>
        <w:t xml:space="preserve">Except as otherwise directed by the Commission, within 14 days of the service on the appellant of all of the documents referred to in subregulation (1) — </w:t>
      </w:r>
    </w:p>
    <w:p>
      <w:pPr>
        <w:pStyle w:val="Indenta"/>
      </w:pPr>
      <w:r>
        <w:tab/>
        <w:t>(a)</w:t>
      </w:r>
      <w:r>
        <w:tab/>
        <w:t>the appellant must file in the office of the Registrar 3 copies of every document relied upon by the appellant in the appellant’s case; and</w:t>
      </w:r>
    </w:p>
    <w:p>
      <w:pPr>
        <w:pStyle w:val="Indenta"/>
      </w:pPr>
      <w:r>
        <w:tab/>
        <w:t>(b)</w:t>
      </w:r>
      <w:r>
        <w:tab/>
        <w:t>the Registrar must serve a copy of those documents on the chief executive officer.</w:t>
      </w:r>
    </w:p>
    <w:p>
      <w:pPr>
        <w:pStyle w:val="Subsection"/>
      </w:pPr>
      <w:r>
        <w:tab/>
        <w:t>(3)</w:t>
      </w:r>
      <w:r>
        <w:tab/>
        <w:t>If, under an agreement between the chief executive officer and the appellant, one party files a document on behalf of both parties, the requirements under this regulation in relation to that document are taken to have been satisfied.</w:t>
      </w:r>
    </w:p>
    <w:p>
      <w:pPr>
        <w:pStyle w:val="Footnotesection"/>
      </w:pPr>
      <w:r>
        <w:tab/>
        <w:t>[Regulation 89E inserted: Gazette 21 Aug 2015 p. 3338</w:t>
      </w:r>
      <w:r>
        <w:noBreakHyphen/>
        <w:t>9; amended: Gazette 5 Mar 2019 p. 601</w:t>
      </w:r>
      <w:r>
        <w:noBreakHyphen/>
        <w:t>2.]</w:t>
      </w:r>
    </w:p>
    <w:p>
      <w:pPr>
        <w:pStyle w:val="Heading5"/>
      </w:pPr>
      <w:bookmarkStart w:id="198" w:name="_Toc11744533"/>
      <w:r>
        <w:rPr>
          <w:rStyle w:val="CharSectno"/>
        </w:rPr>
        <w:t>89F</w:t>
      </w:r>
      <w:r>
        <w:t>.</w:t>
      </w:r>
      <w:r>
        <w:tab/>
        <w:t xml:space="preserve">Notice of reformulated reasons under </w:t>
      </w:r>
      <w:r>
        <w:rPr>
          <w:i/>
        </w:rPr>
        <w:t>Prisons Act 1981</w:t>
      </w:r>
      <w:r>
        <w:t xml:space="preserve"> s. 110A(4)</w:t>
      </w:r>
      <w:bookmarkEnd w:id="198"/>
      <w:r>
        <w:t xml:space="preserve"> </w:t>
      </w:r>
    </w:p>
    <w:p>
      <w:pPr>
        <w:pStyle w:val="Subsection"/>
      </w:pPr>
      <w:r>
        <w:tab/>
        <w:t>(1)</w:t>
      </w:r>
      <w:r>
        <w:tab/>
        <w:t xml:space="preserve">The notice of the reformulated reasons required under the </w:t>
      </w:r>
      <w:r>
        <w:rPr>
          <w:i/>
        </w:rPr>
        <w:t>Prisons Act 1981</w:t>
      </w:r>
      <w:r>
        <w:t xml:space="preserve"> section 110A(4)(a) to be given to the Commission by the chief executive officer is to be given by completing and filing in the office of the Registrar 3 copies of — </w:t>
      </w:r>
    </w:p>
    <w:p>
      <w:pPr>
        <w:pStyle w:val="Indenta"/>
      </w:pPr>
      <w:r>
        <w:tab/>
        <w:t>(a)</w:t>
      </w:r>
      <w:r>
        <w:tab/>
        <w:t>a statement of the chief executive officer’s reformulated reasons; and</w:t>
      </w:r>
    </w:p>
    <w:p>
      <w:pPr>
        <w:pStyle w:val="Indenta"/>
      </w:pPr>
      <w:r>
        <w:tab/>
        <w:t>(b)</w:t>
      </w:r>
      <w:r>
        <w:tab/>
        <w:t xml:space="preserve">a summary of facts or issues of law relied upon by the chief executive officer in reformulating the reasons, including any relevant matters set out in the </w:t>
      </w:r>
      <w:r>
        <w:rPr>
          <w:i/>
        </w:rPr>
        <w:t>Prisons Act 1981</w:t>
      </w:r>
      <w:r>
        <w:t xml:space="preserve"> section 107(4); and</w:t>
      </w:r>
    </w:p>
    <w:p>
      <w:pPr>
        <w:pStyle w:val="Indenta"/>
      </w:pPr>
      <w:r>
        <w:tab/>
        <w:t>(c)</w:t>
      </w:r>
      <w:r>
        <w:tab/>
        <w:t>a reply containing any matters the chief executive officer wishes to raise in relation to the appellant’s case.</w:t>
      </w:r>
    </w:p>
    <w:p>
      <w:pPr>
        <w:pStyle w:val="Subsection"/>
      </w:pPr>
      <w:r>
        <w:tab/>
        <w:t>(2)</w:t>
      </w:r>
      <w:r>
        <w:tab/>
        <w:t>The statement, the summary and the reply must be in a form approved by the Chief Commissioner.</w:t>
      </w:r>
    </w:p>
    <w:p>
      <w:pPr>
        <w:pStyle w:val="Subsection"/>
      </w:pPr>
      <w:r>
        <w:tab/>
        <w:t>(2A)</w:t>
      </w:r>
      <w:r>
        <w:tab/>
        <w:t>The Registrar must serve a copy of the statement, the summary and the reply on the appellant.</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89F inserted: Gazette 21 Aug 2015 p. 3339; amended: Gazette 5 Mar 2019 p. 602</w:t>
      </w:r>
      <w:r>
        <w:noBreakHyphen/>
        <w:t>3.]</w:t>
      </w:r>
    </w:p>
    <w:p>
      <w:pPr>
        <w:pStyle w:val="Heading5"/>
      </w:pPr>
      <w:bookmarkStart w:id="199" w:name="_Toc11744534"/>
      <w:r>
        <w:rPr>
          <w:rStyle w:val="CharSectno"/>
        </w:rPr>
        <w:t>89G</w:t>
      </w:r>
      <w:r>
        <w:t>.</w:t>
      </w:r>
      <w:r>
        <w:tab/>
        <w:t>Withdrawal or discontinuance of appeal against removal</w:t>
      </w:r>
      <w:bookmarkEnd w:id="199"/>
    </w:p>
    <w:p>
      <w:pPr>
        <w:pStyle w:val="Subsection"/>
      </w:pPr>
      <w:r>
        <w:tab/>
        <w:t>(1)</w:t>
      </w:r>
      <w:r>
        <w:tab/>
        <w:t>An appellant may withdraw or wholly discontinue an appeal against removal action, or withdraw any part of the appeal, by completing and filing in the office of the Registrar 3 copies of a notice of withdrawal or discontinuance in the approved form.</w:t>
      </w:r>
    </w:p>
    <w:p>
      <w:pPr>
        <w:pStyle w:val="Subsection"/>
      </w:pPr>
      <w:r>
        <w:tab/>
        <w:t>(2)</w:t>
      </w:r>
      <w:r>
        <w:tab/>
        <w:t>The Registrar must serve a copy of the notice on the chief executive officer.</w:t>
      </w:r>
    </w:p>
    <w:p>
      <w:pPr>
        <w:pStyle w:val="Footnotesection"/>
      </w:pPr>
      <w:r>
        <w:tab/>
        <w:t>[Regulation 89G inserted: Gazette 5 Mar 2019 p. 603.]</w:t>
      </w:r>
    </w:p>
    <w:p>
      <w:pPr>
        <w:pStyle w:val="Heading2"/>
      </w:pPr>
      <w:bookmarkStart w:id="200" w:name="_Toc5353019"/>
      <w:bookmarkStart w:id="201" w:name="_Toc5353648"/>
      <w:bookmarkStart w:id="202" w:name="_Toc8742713"/>
      <w:bookmarkStart w:id="203" w:name="_Toc11053449"/>
      <w:bookmarkStart w:id="204" w:name="_Toc11744535"/>
      <w:r>
        <w:rPr>
          <w:rStyle w:val="CharPartNo"/>
        </w:rPr>
        <w:t>Part 9B</w:t>
      </w:r>
      <w:r>
        <w:rPr>
          <w:rStyle w:val="CharDivNo"/>
        </w:rPr>
        <w:t> </w:t>
      </w:r>
      <w:r>
        <w:t>—</w:t>
      </w:r>
      <w:r>
        <w:rPr>
          <w:rStyle w:val="CharDivText"/>
        </w:rPr>
        <w:t> </w:t>
      </w:r>
      <w:r>
        <w:rPr>
          <w:rStyle w:val="CharPartText"/>
        </w:rPr>
        <w:t xml:space="preserve">Appeals under </w:t>
      </w:r>
      <w:r>
        <w:rPr>
          <w:rStyle w:val="CharPartText"/>
          <w:i/>
        </w:rPr>
        <w:t>Young Offenders Act 1994</w:t>
      </w:r>
      <w:r>
        <w:rPr>
          <w:rStyle w:val="CharPartText"/>
        </w:rPr>
        <w:t xml:space="preserve"> section 11CH</w:t>
      </w:r>
      <w:bookmarkEnd w:id="200"/>
      <w:bookmarkEnd w:id="201"/>
      <w:bookmarkEnd w:id="202"/>
      <w:bookmarkEnd w:id="203"/>
      <w:bookmarkEnd w:id="204"/>
    </w:p>
    <w:p>
      <w:pPr>
        <w:pStyle w:val="Footnoteheading"/>
      </w:pPr>
      <w:r>
        <w:tab/>
        <w:t>[Heading inserted: Gazette 21 Aug 2015 p. 3340.]</w:t>
      </w:r>
    </w:p>
    <w:p>
      <w:pPr>
        <w:pStyle w:val="Heading5"/>
      </w:pPr>
      <w:bookmarkStart w:id="205" w:name="_Toc11744536"/>
      <w:r>
        <w:rPr>
          <w:rStyle w:val="CharSectno"/>
        </w:rPr>
        <w:t>89H</w:t>
      </w:r>
      <w:r>
        <w:t>.</w:t>
      </w:r>
      <w:r>
        <w:tab/>
        <w:t>Terms used</w:t>
      </w:r>
      <w:bookmarkEnd w:id="205"/>
    </w:p>
    <w:p>
      <w:pPr>
        <w:pStyle w:val="Subsection"/>
      </w:pPr>
      <w:r>
        <w:tab/>
      </w:r>
      <w:r>
        <w:tab/>
        <w:t xml:space="preserve">In this Part — </w:t>
      </w:r>
    </w:p>
    <w:p>
      <w:pPr>
        <w:pStyle w:val="Defstart"/>
      </w:pPr>
      <w:r>
        <w:tab/>
      </w:r>
      <w:r>
        <w:rPr>
          <w:rStyle w:val="CharDefText"/>
        </w:rPr>
        <w:t>appeal against removal action</w:t>
      </w:r>
      <w:r>
        <w:t xml:space="preserve"> means an appeal under the </w:t>
      </w:r>
      <w:r>
        <w:rPr>
          <w:i/>
        </w:rPr>
        <w:t>Young Offenders Act 1994</w:t>
      </w:r>
      <w:r>
        <w:t xml:space="preserve"> section 11CH;</w:t>
      </w:r>
    </w:p>
    <w:p>
      <w:pPr>
        <w:pStyle w:val="Defstart"/>
      </w:pPr>
      <w:r>
        <w:tab/>
      </w:r>
      <w:r>
        <w:rPr>
          <w:rStyle w:val="CharDefText"/>
        </w:rPr>
        <w:t>appellant</w:t>
      </w:r>
      <w:r>
        <w:t xml:space="preserve"> means a custodial officer who institutes an appeal against removal action;</w:t>
      </w:r>
    </w:p>
    <w:p>
      <w:pPr>
        <w:pStyle w:val="Defstart"/>
      </w:pPr>
      <w:r>
        <w:tab/>
      </w:r>
      <w:r>
        <w:rPr>
          <w:rStyle w:val="CharDefText"/>
        </w:rPr>
        <w:t>chief executive officer</w:t>
      </w:r>
      <w:r>
        <w:t xml:space="preserve"> has the meaning given in the </w:t>
      </w:r>
      <w:r>
        <w:rPr>
          <w:i/>
        </w:rPr>
        <w:t xml:space="preserve">Young Offenders Act 1994 </w:t>
      </w:r>
      <w:r>
        <w:t>section 3;</w:t>
      </w:r>
    </w:p>
    <w:p>
      <w:pPr>
        <w:pStyle w:val="Defstart"/>
      </w:pPr>
      <w:r>
        <w:tab/>
      </w:r>
      <w:r>
        <w:rPr>
          <w:rStyle w:val="CharDefText"/>
        </w:rPr>
        <w:t>custodial officer</w:t>
      </w:r>
      <w:r>
        <w:t xml:space="preserve"> has the meaning given in the </w:t>
      </w:r>
      <w:r>
        <w:rPr>
          <w:i/>
        </w:rPr>
        <w:t xml:space="preserve">Young Offenders Act 1994 </w:t>
      </w:r>
      <w:r>
        <w:t>section 3;</w:t>
      </w:r>
    </w:p>
    <w:p>
      <w:pPr>
        <w:pStyle w:val="Defstart"/>
      </w:pPr>
      <w:r>
        <w:tab/>
      </w:r>
      <w:r>
        <w:rPr>
          <w:rStyle w:val="CharDefText"/>
        </w:rPr>
        <w:t>removal action</w:t>
      </w:r>
      <w:r>
        <w:t xml:space="preserve"> has the meaning given in the </w:t>
      </w:r>
      <w:r>
        <w:rPr>
          <w:i/>
        </w:rPr>
        <w:t xml:space="preserve">Young Offenders Act 1994 </w:t>
      </w:r>
      <w:r>
        <w:t>section 11CA.</w:t>
      </w:r>
    </w:p>
    <w:p>
      <w:pPr>
        <w:pStyle w:val="Footnotesection"/>
      </w:pPr>
      <w:r>
        <w:tab/>
        <w:t>[Regulation 89H inserted: Gazette 21 Aug 2015 p. 3340; amended: Gazette 5 Mar 2019 p. 603.]</w:t>
      </w:r>
    </w:p>
    <w:p>
      <w:pPr>
        <w:pStyle w:val="Heading5"/>
      </w:pPr>
      <w:bookmarkStart w:id="206" w:name="_Toc11744537"/>
      <w:r>
        <w:rPr>
          <w:rStyle w:val="CharSectno"/>
        </w:rPr>
        <w:t>89I</w:t>
      </w:r>
      <w:r>
        <w:t>.</w:t>
      </w:r>
      <w:r>
        <w:tab/>
        <w:t>Notice of appeal against removal action</w:t>
      </w:r>
      <w:bookmarkEnd w:id="206"/>
    </w:p>
    <w:p>
      <w:pPr>
        <w:pStyle w:val="Subsection"/>
      </w:pPr>
      <w:r>
        <w:tab/>
      </w:r>
      <w:r>
        <w:tab/>
        <w:t xml:space="preserve">An appeal by a custodial officer against removal action is instituted under the </w:t>
      </w:r>
      <w:r>
        <w:rPr>
          <w:i/>
        </w:rPr>
        <w:t>Young Offenders Act 1994</w:t>
      </w:r>
      <w:r>
        <w:t xml:space="preserve"> section 11CH(2) if the custodial officer completes and files in the office of the Registrar 3 copies of a notice of appeal to the chief executive officer in the approved form.</w:t>
      </w:r>
    </w:p>
    <w:p>
      <w:pPr>
        <w:pStyle w:val="Footnotesection"/>
      </w:pPr>
      <w:r>
        <w:tab/>
        <w:t>[Regulation 89I inserted: Gazette 21 Aug 2015 p. 3340; amended: Gazette 5 Mar 2019 p. 622</w:t>
      </w:r>
      <w:r>
        <w:noBreakHyphen/>
        <w:t>4.]</w:t>
      </w:r>
    </w:p>
    <w:p>
      <w:pPr>
        <w:pStyle w:val="Heading5"/>
        <w:pageBreakBefore/>
        <w:spacing w:before="0"/>
      </w:pPr>
      <w:bookmarkStart w:id="207" w:name="_Toc11744538"/>
      <w:r>
        <w:rPr>
          <w:rStyle w:val="CharSectno"/>
        </w:rPr>
        <w:t>89J</w:t>
      </w:r>
      <w:r>
        <w:t>.</w:t>
      </w:r>
      <w:r>
        <w:tab/>
        <w:t>Service of notice of appeal against removal action</w:t>
      </w:r>
      <w:bookmarkEnd w:id="207"/>
    </w:p>
    <w:p>
      <w:pPr>
        <w:pStyle w:val="Subsection"/>
      </w:pPr>
      <w:r>
        <w:tab/>
      </w:r>
      <w:r>
        <w:tab/>
        <w:t>Within 7 days after an appeal against removal action is instituted, the Registrar must serve a copy of the notice of appeal on the chief executive officer.</w:t>
      </w:r>
    </w:p>
    <w:p>
      <w:pPr>
        <w:pStyle w:val="Footnotesection"/>
      </w:pPr>
      <w:r>
        <w:tab/>
        <w:t>[Regulation 89J inserted: Gazette 21 Aug 2015 p. 3340; amended: Gazette 5 Mar 2019 p. 621.]</w:t>
      </w:r>
    </w:p>
    <w:p>
      <w:pPr>
        <w:pStyle w:val="Heading5"/>
      </w:pPr>
      <w:bookmarkStart w:id="208" w:name="_Toc11744539"/>
      <w:r>
        <w:rPr>
          <w:rStyle w:val="CharSectno"/>
        </w:rPr>
        <w:t>89K</w:t>
      </w:r>
      <w:r>
        <w:t>.</w:t>
      </w:r>
      <w:r>
        <w:tab/>
        <w:t>Response by chief executive officer</w:t>
      </w:r>
      <w:bookmarkEnd w:id="208"/>
    </w:p>
    <w:p>
      <w:pPr>
        <w:pStyle w:val="Subsection"/>
      </w:pPr>
      <w:r>
        <w:tab/>
        <w:t>(1)</w:t>
      </w:r>
      <w:r>
        <w:tab/>
        <w:t xml:space="preserve">Except as otherwise directed by the Commission, the chief executive officer must respond to the notice of appeal within 28 days after the service of the notice of appeal by completing and filing in the office of the Registrar 3 copies of — </w:t>
      </w:r>
    </w:p>
    <w:p>
      <w:pPr>
        <w:pStyle w:val="Indenta"/>
      </w:pPr>
      <w:r>
        <w:tab/>
        <w:t>(a)</w:t>
      </w:r>
      <w:r>
        <w:tab/>
        <w:t>a response stating the chief executive officer’s reasons for deciding to take removal action; and</w:t>
      </w:r>
    </w:p>
    <w:p>
      <w:pPr>
        <w:pStyle w:val="Indenta"/>
      </w:pPr>
      <w:r>
        <w:tab/>
        <w:t>(b)</w:t>
      </w:r>
      <w:r>
        <w:tab/>
        <w:t>a list of all documents, as defined in regulation 20(1), that the chief executive officer considered before making the decision; and</w:t>
      </w:r>
    </w:p>
    <w:p>
      <w:pPr>
        <w:pStyle w:val="Indenta"/>
      </w:pPr>
      <w:r>
        <w:tab/>
        <w:t>(c)</w:t>
      </w:r>
      <w:r>
        <w:tab/>
        <w:t xml:space="preserve">a summary of facts or issues of law relied upon by the chief executive officer, including any relevant matters set out in the </w:t>
      </w:r>
      <w:r>
        <w:rPr>
          <w:i/>
        </w:rPr>
        <w:t>Young Offenders Act 1994</w:t>
      </w:r>
      <w:r>
        <w:t xml:space="preserve"> section 11CI(4); and</w:t>
      </w:r>
    </w:p>
    <w:p>
      <w:pPr>
        <w:pStyle w:val="Indenta"/>
      </w:pPr>
      <w:r>
        <w:tab/>
        <w:t>(d)</w:t>
      </w:r>
      <w:r>
        <w:tab/>
        <w:t>a reply containing any matters the chief executive officer wishes to raise in relation to the appellant’s case.</w:t>
      </w:r>
    </w:p>
    <w:p>
      <w:pPr>
        <w:pStyle w:val="Subsection"/>
      </w:pPr>
      <w:r>
        <w:tab/>
        <w:t>(2)</w:t>
      </w:r>
      <w:r>
        <w:tab/>
        <w:t>The response must be in the approved form and have attached to it the list of documents, the summary and the reply.</w:t>
      </w:r>
    </w:p>
    <w:p>
      <w:pPr>
        <w:pStyle w:val="Subsection"/>
      </w:pPr>
      <w:r>
        <w:tab/>
        <w:t>(3)</w:t>
      </w:r>
      <w:r>
        <w:tab/>
        <w:t>The Registrar must serve a copy of the response and its attachments on the appellant.</w:t>
      </w:r>
    </w:p>
    <w:p>
      <w:pPr>
        <w:pStyle w:val="Footnotesection"/>
      </w:pPr>
      <w:r>
        <w:tab/>
        <w:t>[Regulation 89K inserted: Gazette 21 Aug 2015 p. 3341; amended: Gazette 5 Mar 2019 p. 603</w:t>
      </w:r>
      <w:r>
        <w:noBreakHyphen/>
        <w:t>4, 619</w:t>
      </w:r>
      <w:r>
        <w:noBreakHyphen/>
        <w:t>20 and 622</w:t>
      </w:r>
      <w:r>
        <w:noBreakHyphen/>
        <w:t>4.]</w:t>
      </w:r>
    </w:p>
    <w:p>
      <w:pPr>
        <w:pStyle w:val="Heading5"/>
        <w:pageBreakBefore/>
        <w:spacing w:before="0"/>
      </w:pPr>
      <w:bookmarkStart w:id="209" w:name="_Toc11744540"/>
      <w:r>
        <w:rPr>
          <w:rStyle w:val="CharSectno"/>
        </w:rPr>
        <w:t>89L</w:t>
      </w:r>
      <w:r>
        <w:t>.</w:t>
      </w:r>
      <w:r>
        <w:tab/>
        <w:t>Documents relied on to be filed and served</w:t>
      </w:r>
      <w:bookmarkEnd w:id="209"/>
    </w:p>
    <w:p>
      <w:pPr>
        <w:pStyle w:val="Subsection"/>
      </w:pPr>
      <w:r>
        <w:tab/>
        <w:t>(1)</w:t>
      </w:r>
      <w:r>
        <w:tab/>
        <w:t xml:space="preserve">Except as otherwise directed by the Commission, within 14 days of the service on the appellant of the documents referred to in regulation 89K — </w:t>
      </w:r>
    </w:p>
    <w:p>
      <w:pPr>
        <w:pStyle w:val="Indenta"/>
      </w:pPr>
      <w:r>
        <w:tab/>
        <w:t>(a)</w:t>
      </w:r>
      <w:r>
        <w:tab/>
        <w:t>the chief executive officer must file in the office of the Registrar 3 copies of every document relied upon by the chief executive officer in the appellant’s case; and</w:t>
      </w:r>
    </w:p>
    <w:p>
      <w:pPr>
        <w:pStyle w:val="Indenta"/>
      </w:pPr>
      <w:r>
        <w:tab/>
        <w:t>(b)</w:t>
      </w:r>
      <w:r>
        <w:tab/>
        <w:t>the Registrar must serve a copy of those documents on the appellant.</w:t>
      </w:r>
    </w:p>
    <w:p>
      <w:pPr>
        <w:pStyle w:val="Subsection"/>
      </w:pPr>
      <w:r>
        <w:tab/>
        <w:t>(2)</w:t>
      </w:r>
      <w:r>
        <w:tab/>
        <w:t xml:space="preserve">Except as otherwise directed by the Commission, within 14 days of the service on the appellant of all of the documents referred to in subregulation (1) — </w:t>
      </w:r>
    </w:p>
    <w:p>
      <w:pPr>
        <w:pStyle w:val="Indenta"/>
      </w:pPr>
      <w:r>
        <w:tab/>
        <w:t>(a)</w:t>
      </w:r>
      <w:r>
        <w:tab/>
        <w:t>the appellant must file in the office of the Registrar 3 copies of every document relied upon by the appellant in the appellant’s case; and</w:t>
      </w:r>
    </w:p>
    <w:p>
      <w:pPr>
        <w:pStyle w:val="Indenta"/>
      </w:pPr>
      <w:r>
        <w:tab/>
        <w:t>(b)</w:t>
      </w:r>
      <w:r>
        <w:tab/>
        <w:t>the Registrar must serve a copy of those documents on the chief executive officer.</w:t>
      </w:r>
    </w:p>
    <w:p>
      <w:pPr>
        <w:pStyle w:val="Subsection"/>
      </w:pPr>
      <w:r>
        <w:tab/>
        <w:t>(3)</w:t>
      </w:r>
      <w:r>
        <w:tab/>
        <w:t>If, under an agreement between the chief executive officer and the appellant, one party files a document on behalf of both parties, the requirements under this regulation in relation to that document are taken to have been satisfied.</w:t>
      </w:r>
    </w:p>
    <w:p>
      <w:pPr>
        <w:pStyle w:val="Footnotesection"/>
      </w:pPr>
      <w:r>
        <w:tab/>
        <w:t>[Regulation 89L inserted: Gazette 21 Aug 2015 p. 3341</w:t>
      </w:r>
      <w:r>
        <w:noBreakHyphen/>
        <w:t>2; amended: Gazette 5 Mar 2019 p. 604</w:t>
      </w:r>
      <w:r>
        <w:noBreakHyphen/>
        <w:t>5.]</w:t>
      </w:r>
    </w:p>
    <w:p>
      <w:pPr>
        <w:pStyle w:val="Heading5"/>
      </w:pPr>
      <w:bookmarkStart w:id="210" w:name="_Toc11744541"/>
      <w:r>
        <w:rPr>
          <w:rStyle w:val="CharSectno"/>
        </w:rPr>
        <w:t>89M</w:t>
      </w:r>
      <w:r>
        <w:t>.</w:t>
      </w:r>
      <w:r>
        <w:tab/>
        <w:t xml:space="preserve">Notice of reformulated reasons under </w:t>
      </w:r>
      <w:r>
        <w:rPr>
          <w:i/>
        </w:rPr>
        <w:t>Young Offenders Act 1994</w:t>
      </w:r>
      <w:r>
        <w:t xml:space="preserve"> s. 11CL(4)</w:t>
      </w:r>
      <w:bookmarkEnd w:id="210"/>
    </w:p>
    <w:p>
      <w:pPr>
        <w:pStyle w:val="Subsection"/>
      </w:pPr>
      <w:r>
        <w:tab/>
        <w:t>(1)</w:t>
      </w:r>
      <w:r>
        <w:tab/>
        <w:t xml:space="preserve">The notice of the reformulated reasons required under the </w:t>
      </w:r>
      <w:r>
        <w:rPr>
          <w:i/>
        </w:rPr>
        <w:t>Young Offenders Act 1994</w:t>
      </w:r>
      <w:r>
        <w:t xml:space="preserve"> section 11CL(4)(a) to be given to the Commission by the chief executive officer is to be given by completing and filing in the office of the Registrar 3 copies of — </w:t>
      </w:r>
    </w:p>
    <w:p>
      <w:pPr>
        <w:pStyle w:val="Indenta"/>
      </w:pPr>
      <w:r>
        <w:tab/>
        <w:t>(a)</w:t>
      </w:r>
      <w:r>
        <w:tab/>
        <w:t>a statement of the chief executive officer’s reformulated reasons; and</w:t>
      </w:r>
    </w:p>
    <w:p>
      <w:pPr>
        <w:pStyle w:val="Indenta"/>
      </w:pPr>
      <w:r>
        <w:tab/>
        <w:t>(b)</w:t>
      </w:r>
      <w:r>
        <w:tab/>
        <w:t xml:space="preserve">a summary of facts or issues of law relied upon by the chief executive officer in reformulating the reasons, including any relevant matters set out in the </w:t>
      </w:r>
      <w:r>
        <w:rPr>
          <w:i/>
        </w:rPr>
        <w:t>Young Offenders Act 1994</w:t>
      </w:r>
      <w:r>
        <w:t xml:space="preserve"> section 11CI(4); and</w:t>
      </w:r>
    </w:p>
    <w:p>
      <w:pPr>
        <w:pStyle w:val="Indenta"/>
      </w:pPr>
      <w:r>
        <w:tab/>
        <w:t>(c)</w:t>
      </w:r>
      <w:r>
        <w:tab/>
        <w:t>a reply containing any matters the chief executive officer wishes to raise in relation to the appellant’s case.</w:t>
      </w:r>
    </w:p>
    <w:p>
      <w:pPr>
        <w:pStyle w:val="Subsection"/>
      </w:pPr>
      <w:r>
        <w:tab/>
        <w:t>(2)</w:t>
      </w:r>
      <w:r>
        <w:tab/>
        <w:t>The statement, the summary and the reply must be in a form approved by the Chief Commissioner.</w:t>
      </w:r>
    </w:p>
    <w:p>
      <w:pPr>
        <w:pStyle w:val="Subsection"/>
      </w:pPr>
      <w:r>
        <w:tab/>
        <w:t>(2A)</w:t>
      </w:r>
      <w:r>
        <w:tab/>
        <w:t>The Registrar must serve a copy of the statement, the summary and the reply on the appellant.</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89M inserted: Gazette 21 Aug 2015 p. 3342; amended: Gazette 5 Mar 2019 p. 605</w:t>
      </w:r>
      <w:r>
        <w:noBreakHyphen/>
        <w:t>6.]</w:t>
      </w:r>
    </w:p>
    <w:p>
      <w:pPr>
        <w:pStyle w:val="Heading5"/>
      </w:pPr>
      <w:bookmarkStart w:id="211" w:name="_Toc11744542"/>
      <w:r>
        <w:rPr>
          <w:rStyle w:val="CharSectno"/>
        </w:rPr>
        <w:t>89N</w:t>
      </w:r>
      <w:r>
        <w:t>.</w:t>
      </w:r>
      <w:r>
        <w:tab/>
        <w:t>Withdrawal or discontinuance of appeal against removal</w:t>
      </w:r>
      <w:bookmarkEnd w:id="211"/>
    </w:p>
    <w:p>
      <w:pPr>
        <w:pStyle w:val="Subsection"/>
      </w:pPr>
      <w:r>
        <w:tab/>
        <w:t>(1)</w:t>
      </w:r>
      <w:r>
        <w:tab/>
        <w:t>An appellant may withdraw or wholly discontinue an appeal against removal, or withdraw any part of the appeal, by completing and filing in the office of the Registrar 3 copies of a notice of withdrawal or discontinuance in the approved form.</w:t>
      </w:r>
    </w:p>
    <w:p>
      <w:pPr>
        <w:pStyle w:val="Subsection"/>
      </w:pPr>
      <w:r>
        <w:tab/>
        <w:t>(2)</w:t>
      </w:r>
      <w:r>
        <w:tab/>
        <w:t>The Registrar must serve a copy of the notice on the chief executive officer.</w:t>
      </w:r>
    </w:p>
    <w:p>
      <w:pPr>
        <w:pStyle w:val="Footnotesection"/>
      </w:pPr>
      <w:r>
        <w:tab/>
        <w:t>[Regulation 89N inserted: Gazette 5 Mar 2019 p. 606.]</w:t>
      </w:r>
    </w:p>
    <w:p>
      <w:pPr>
        <w:pStyle w:val="Heading2"/>
      </w:pPr>
      <w:bookmarkStart w:id="212" w:name="_Toc5353027"/>
      <w:bookmarkStart w:id="213" w:name="_Toc5353656"/>
      <w:bookmarkStart w:id="214" w:name="_Toc8742721"/>
      <w:bookmarkStart w:id="215" w:name="_Toc11053457"/>
      <w:bookmarkStart w:id="216" w:name="_Toc11744543"/>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212"/>
      <w:bookmarkEnd w:id="213"/>
      <w:bookmarkEnd w:id="214"/>
      <w:bookmarkEnd w:id="215"/>
      <w:bookmarkEnd w:id="216"/>
    </w:p>
    <w:p>
      <w:pPr>
        <w:pStyle w:val="Heading5"/>
      </w:pPr>
      <w:bookmarkStart w:id="217" w:name="_Toc11744544"/>
      <w:r>
        <w:rPr>
          <w:rStyle w:val="CharSectno"/>
        </w:rPr>
        <w:t>89</w:t>
      </w:r>
      <w:r>
        <w:t>.</w:t>
      </w:r>
      <w:r>
        <w:tab/>
        <w:t>Terms used</w:t>
      </w:r>
      <w:bookmarkEnd w:id="217"/>
    </w:p>
    <w:p>
      <w:pPr>
        <w:pStyle w:val="Subsection"/>
      </w:pPr>
      <w:r>
        <w:tab/>
      </w:r>
      <w:r>
        <w:tab/>
        <w:t>In this Part —</w:t>
      </w:r>
    </w:p>
    <w:p>
      <w:pPr>
        <w:pStyle w:val="Defstart"/>
        <w:rPr>
          <w:iCs/>
        </w:rPr>
      </w:pPr>
      <w:r>
        <w:rPr>
          <w:b/>
        </w:rPr>
        <w:tab/>
      </w:r>
      <w:r>
        <w:rPr>
          <w:rStyle w:val="CharDefText"/>
        </w:rPr>
        <w:t>appeal against removal action</w:t>
      </w:r>
      <w:r>
        <w:t xml:space="preserve"> means an appeal under the </w:t>
      </w:r>
      <w:r>
        <w:rPr>
          <w:i/>
        </w:rPr>
        <w:t>Police Act 1892</w:t>
      </w:r>
      <w:r>
        <w:t xml:space="preserve"> section 33P</w:t>
      </w:r>
      <w:r>
        <w:rPr>
          <w:iCs/>
        </w:rPr>
        <w:t>;</w:t>
      </w:r>
    </w:p>
    <w:p>
      <w:pPr>
        <w:pStyle w:val="Defstart"/>
      </w:pPr>
      <w:r>
        <w:rPr>
          <w:b/>
        </w:rPr>
        <w:tab/>
      </w:r>
      <w:r>
        <w:rPr>
          <w:rStyle w:val="CharDefText"/>
        </w:rPr>
        <w:t>appellant</w:t>
      </w:r>
      <w:r>
        <w:t xml:space="preserve"> means a police officer who institutes an appeal against removal action;</w:t>
      </w:r>
    </w:p>
    <w:p>
      <w:pPr>
        <w:pStyle w:val="Defstart"/>
      </w:pPr>
      <w:r>
        <w:rPr>
          <w:b/>
        </w:rPr>
        <w:tab/>
      </w:r>
      <w:r>
        <w:rPr>
          <w:rStyle w:val="CharDefText"/>
        </w:rPr>
        <w:t>Commissioner of Police</w:t>
      </w:r>
      <w:r>
        <w:t xml:space="preserve"> means the person holding or acting in the office of Commissioner of Police under the </w:t>
      </w:r>
      <w:r>
        <w:rPr>
          <w:i/>
          <w:iCs/>
        </w:rPr>
        <w:t>Police Act 1892</w:t>
      </w:r>
      <w:r>
        <w:t>;</w:t>
      </w:r>
    </w:p>
    <w:p>
      <w:pPr>
        <w:pStyle w:val="Defstart"/>
        <w:rPr>
          <w:iCs/>
        </w:rPr>
      </w:pPr>
      <w:r>
        <w:rPr>
          <w:b/>
        </w:rPr>
        <w:tab/>
      </w:r>
      <w:r>
        <w:rPr>
          <w:rStyle w:val="CharDefText"/>
        </w:rPr>
        <w:t>police officer</w:t>
      </w:r>
      <w:r>
        <w:t xml:space="preserve"> has the meaning given to </w:t>
      </w:r>
      <w:r>
        <w:rPr>
          <w:b/>
          <w:bCs/>
          <w:i/>
          <w:iCs/>
        </w:rPr>
        <w:t>member</w:t>
      </w:r>
      <w:r>
        <w:t xml:space="preserve"> in the </w:t>
      </w:r>
      <w:r>
        <w:rPr>
          <w:i/>
        </w:rPr>
        <w:t>Police Act 1892</w:t>
      </w:r>
      <w:r>
        <w:t xml:space="preserve"> section 33K</w:t>
      </w:r>
      <w:r>
        <w:rPr>
          <w:iCs/>
        </w:rPr>
        <w:t>;</w:t>
      </w:r>
    </w:p>
    <w:p>
      <w:pPr>
        <w:pStyle w:val="Defstart"/>
        <w:rPr>
          <w:iCs/>
        </w:rPr>
      </w:pPr>
      <w:r>
        <w:rPr>
          <w:b/>
        </w:rPr>
        <w:tab/>
      </w:r>
      <w:r>
        <w:rPr>
          <w:rStyle w:val="CharDefText"/>
        </w:rPr>
        <w:t>removal action</w:t>
      </w:r>
      <w:r>
        <w:t xml:space="preserve"> has the meaning given to that term in the </w:t>
      </w:r>
      <w:r>
        <w:rPr>
          <w:i/>
        </w:rPr>
        <w:t>Police Act 1892</w:t>
      </w:r>
      <w:r>
        <w:t xml:space="preserve"> section 33K</w:t>
      </w:r>
      <w:r>
        <w:rPr>
          <w:iCs/>
        </w:rPr>
        <w:t>.</w:t>
      </w:r>
    </w:p>
    <w:p>
      <w:pPr>
        <w:pStyle w:val="Heading5"/>
      </w:pPr>
      <w:bookmarkStart w:id="218" w:name="_Toc11744545"/>
      <w:r>
        <w:rPr>
          <w:rStyle w:val="CharSectno"/>
        </w:rPr>
        <w:t>90</w:t>
      </w:r>
      <w:r>
        <w:t>.</w:t>
      </w:r>
      <w:r>
        <w:tab/>
        <w:t>Notice of appeal against removal action</w:t>
      </w:r>
      <w:bookmarkEnd w:id="218"/>
    </w:p>
    <w:p>
      <w:pPr>
        <w:pStyle w:val="Subsection"/>
      </w:pPr>
      <w:r>
        <w:tab/>
      </w:r>
      <w:r>
        <w:tab/>
        <w:t xml:space="preserve">An appeal by a police officer against removal action is instituted under the </w:t>
      </w:r>
      <w:r>
        <w:rPr>
          <w:i/>
          <w:iCs/>
        </w:rPr>
        <w:t>Police Act 1892</w:t>
      </w:r>
      <w:r>
        <w:t xml:space="preserve"> section 33P(2) if the police officer completes and files in the office of the Registrar 3 copies of a notice of appeal to the Commissioner of Police in the approved form.</w:t>
      </w:r>
    </w:p>
    <w:p>
      <w:pPr>
        <w:pStyle w:val="Footnotesection"/>
      </w:pPr>
      <w:r>
        <w:tab/>
        <w:t>[Regulation 90 inserted: Gazette 22 Dec 2009 p. 5271; amended: Gazette 5 Mar 2019 p. 622</w:t>
      </w:r>
      <w:r>
        <w:noBreakHyphen/>
        <w:t>4.]</w:t>
      </w:r>
    </w:p>
    <w:p>
      <w:pPr>
        <w:pStyle w:val="Heading5"/>
      </w:pPr>
      <w:bookmarkStart w:id="219" w:name="_Toc11744546"/>
      <w:r>
        <w:rPr>
          <w:rStyle w:val="CharSectno"/>
        </w:rPr>
        <w:t>91A</w:t>
      </w:r>
      <w:r>
        <w:t>.</w:t>
      </w:r>
      <w:r>
        <w:tab/>
        <w:t>Service of notice of appeal against removal action</w:t>
      </w:r>
      <w:bookmarkEnd w:id="219"/>
    </w:p>
    <w:p>
      <w:pPr>
        <w:pStyle w:val="Subsection"/>
      </w:pPr>
      <w:r>
        <w:tab/>
      </w:r>
      <w:r>
        <w:tab/>
        <w:t>Within 7 days after an appeal against removal action is instituted, the Registrar must serve a copy of the notice instituting the appeal on the Commissioner of Police.</w:t>
      </w:r>
    </w:p>
    <w:p>
      <w:pPr>
        <w:pStyle w:val="Footnotesection"/>
      </w:pPr>
      <w:r>
        <w:tab/>
        <w:t>[Regulation 91A inserted: Gazette 22 Dec 2009 p. 5271; amended: Gazette 5 Mar 2019 p. 621.]</w:t>
      </w:r>
    </w:p>
    <w:p>
      <w:pPr>
        <w:pStyle w:val="Heading5"/>
        <w:pageBreakBefore/>
        <w:spacing w:before="0"/>
      </w:pPr>
      <w:bookmarkStart w:id="220" w:name="_Toc11744547"/>
      <w:r>
        <w:rPr>
          <w:rStyle w:val="CharSectno"/>
        </w:rPr>
        <w:t>91</w:t>
      </w:r>
      <w:r>
        <w:t>.</w:t>
      </w:r>
      <w:r>
        <w:tab/>
        <w:t>Response by Commissioner of Police</w:t>
      </w:r>
      <w:bookmarkEnd w:id="220"/>
    </w:p>
    <w:p>
      <w:pPr>
        <w:pStyle w:val="Subsection"/>
      </w:pPr>
      <w:r>
        <w:tab/>
        <w:t>(1)</w:t>
      </w:r>
      <w:r>
        <w:tab/>
        <w:t xml:space="preserve">Except as otherwise directed by the Commission, the Commissioner of Police must respond to the notice of appeal within 28 days after the service of the notice of appeal by completing and filing in the office of the Registrar 3 copies of — </w:t>
      </w:r>
    </w:p>
    <w:p>
      <w:pPr>
        <w:pStyle w:val="Indenta"/>
      </w:pPr>
      <w:r>
        <w:tab/>
        <w:t>(a)</w:t>
      </w:r>
      <w:r>
        <w:tab/>
        <w:t>a response stating the Commissioner of Police’s reasons for deciding to take removal action; and</w:t>
      </w:r>
    </w:p>
    <w:p>
      <w:pPr>
        <w:pStyle w:val="Indenta"/>
      </w:pPr>
      <w:r>
        <w:tab/>
        <w:t>(b)</w:t>
      </w:r>
      <w:r>
        <w:tab/>
        <w:t>a list of all documents, as defined in regulation 20(1), that the Commissioner of Police considered before making the decision; and</w:t>
      </w:r>
    </w:p>
    <w:p>
      <w:pPr>
        <w:pStyle w:val="Indenta"/>
      </w:pPr>
      <w:r>
        <w:tab/>
        <w:t>(c)</w:t>
      </w:r>
      <w:r>
        <w:tab/>
        <w:t xml:space="preserve">a summary of facts or issues of law relied upon by the Commissioner of Police, including any relevant matters set out in the </w:t>
      </w:r>
      <w:r>
        <w:rPr>
          <w:i/>
        </w:rPr>
        <w:t>Police Act 1892</w:t>
      </w:r>
      <w:r>
        <w:t xml:space="preserve"> section 33Q(4); and</w:t>
      </w:r>
    </w:p>
    <w:p>
      <w:pPr>
        <w:pStyle w:val="Indenta"/>
      </w:pPr>
      <w:r>
        <w:tab/>
        <w:t>(d)</w:t>
      </w:r>
      <w:r>
        <w:tab/>
        <w:t>a reply containing any matters the Commissioner of Police wishes to raise in relation to the appellant’s case.</w:t>
      </w:r>
    </w:p>
    <w:p>
      <w:pPr>
        <w:pStyle w:val="Subsection"/>
      </w:pPr>
      <w:r>
        <w:tab/>
        <w:t>(2)</w:t>
      </w:r>
      <w:r>
        <w:tab/>
        <w:t>The response, the list of documents, the summary of facts and the reply</w:t>
      </w:r>
      <w:r>
        <w:rPr>
          <w:snapToGrid w:val="0"/>
        </w:rPr>
        <w:t xml:space="preserve"> must</w:t>
      </w:r>
      <w:r>
        <w:t xml:space="preserve"> be in an approved form.</w:t>
      </w:r>
    </w:p>
    <w:p>
      <w:pPr>
        <w:pStyle w:val="Subsection"/>
      </w:pPr>
      <w:r>
        <w:tab/>
        <w:t>(3)</w:t>
      </w:r>
      <w:r>
        <w:tab/>
        <w:t>The Registrar must serve a copy of the response, the list of documents, the summary of facts and the reply on the appellant.</w:t>
      </w:r>
    </w:p>
    <w:p>
      <w:pPr>
        <w:pStyle w:val="Footnotesection"/>
      </w:pPr>
      <w:r>
        <w:tab/>
        <w:t>[Regulation 91 amended: Gazette 22 Dec 2009 p. 5271; 5 Mar 2019 p. 607 and 619</w:t>
      </w:r>
      <w:r>
        <w:noBreakHyphen/>
        <w:t>20.]</w:t>
      </w:r>
    </w:p>
    <w:p>
      <w:pPr>
        <w:pStyle w:val="Heading5"/>
      </w:pPr>
      <w:bookmarkStart w:id="221" w:name="_Toc11744548"/>
      <w:r>
        <w:rPr>
          <w:rStyle w:val="CharSectno"/>
        </w:rPr>
        <w:t>92</w:t>
      </w:r>
      <w:r>
        <w:t>.</w:t>
      </w:r>
      <w:r>
        <w:tab/>
        <w:t>Documents relied on to be filed and served</w:t>
      </w:r>
      <w:bookmarkEnd w:id="221"/>
    </w:p>
    <w:p>
      <w:pPr>
        <w:pStyle w:val="Subsection"/>
      </w:pPr>
      <w:r>
        <w:tab/>
        <w:t>(1)</w:t>
      </w:r>
      <w:r>
        <w:tab/>
        <w:t xml:space="preserve">Except as otherwise directed by the Commission, within 28 days of the service on the appellant of the documents referred to in regulation 91 — </w:t>
      </w:r>
    </w:p>
    <w:p>
      <w:pPr>
        <w:pStyle w:val="Indenta"/>
      </w:pPr>
      <w:r>
        <w:tab/>
        <w:t>(a)</w:t>
      </w:r>
      <w:r>
        <w:tab/>
        <w:t>both the Commissioner of Police and the appellant must file in the office of the Registrar 3 copies of every document relied upon by that party in its case; and</w:t>
      </w:r>
    </w:p>
    <w:p>
      <w:pPr>
        <w:pStyle w:val="Indenta"/>
      </w:pPr>
      <w:r>
        <w:tab/>
        <w:t>(b)</w:t>
      </w:r>
      <w:r>
        <w:tab/>
        <w:t>the Registrar must serve a copy of those documents on the other party.</w:t>
      </w:r>
    </w:p>
    <w:p>
      <w:pPr>
        <w:pStyle w:val="Subsection"/>
      </w:pPr>
      <w:r>
        <w:tab/>
        <w:t>(2)</w:t>
      </w:r>
      <w:r>
        <w:tab/>
        <w:t>If, under an agreement between the Commissioner of Police and the appellant, one party files a document on behalf of both parties, the requirements of subregulation (1) in relation to that document are taken to have been satisfied.</w:t>
      </w:r>
    </w:p>
    <w:p>
      <w:pPr>
        <w:pStyle w:val="Footnotesection"/>
      </w:pPr>
      <w:r>
        <w:tab/>
        <w:t>[Regulation 92 amended: Gazette 5 Mar 2019 p. 608.]</w:t>
      </w:r>
    </w:p>
    <w:p>
      <w:pPr>
        <w:pStyle w:val="Heading5"/>
      </w:pPr>
      <w:bookmarkStart w:id="222" w:name="_Toc11744549"/>
      <w:r>
        <w:rPr>
          <w:rStyle w:val="CharSectno"/>
        </w:rPr>
        <w:t>93</w:t>
      </w:r>
      <w:r>
        <w:t>.</w:t>
      </w:r>
      <w:r>
        <w:tab/>
        <w:t xml:space="preserve">Notice of reformulated reasons under </w:t>
      </w:r>
      <w:r>
        <w:rPr>
          <w:i/>
          <w:iCs/>
        </w:rPr>
        <w:t>Police Act 1892</w:t>
      </w:r>
      <w:r>
        <w:rPr>
          <w:b w:val="0"/>
          <w:i/>
        </w:rPr>
        <w:t xml:space="preserve"> </w:t>
      </w:r>
      <w:r>
        <w:t>s. 33R(10)</w:t>
      </w:r>
      <w:bookmarkEnd w:id="222"/>
    </w:p>
    <w:p>
      <w:pPr>
        <w:pStyle w:val="Subsection"/>
      </w:pPr>
      <w:r>
        <w:tab/>
        <w:t>(1)</w:t>
      </w:r>
      <w:r>
        <w:tab/>
        <w:t xml:space="preserve">The notice of the reformulated reasons required under the </w:t>
      </w:r>
      <w:r>
        <w:rPr>
          <w:i/>
        </w:rPr>
        <w:t>Police Act 1892</w:t>
      </w:r>
      <w:r>
        <w:t xml:space="preserve"> section 33R(10)(a) to be given to the Commission by the Commissioner of Police is to be given by completing and filing in the office of the Registrar 3 copies of — </w:t>
      </w:r>
    </w:p>
    <w:p>
      <w:pPr>
        <w:pStyle w:val="Indenta"/>
      </w:pPr>
      <w:r>
        <w:tab/>
        <w:t>(a)</w:t>
      </w:r>
      <w:r>
        <w:tab/>
        <w:t>a statement of the Commissioner of Police’s reformulated reasons; and</w:t>
      </w:r>
    </w:p>
    <w:p>
      <w:pPr>
        <w:pStyle w:val="Indenta"/>
      </w:pPr>
      <w:r>
        <w:tab/>
        <w:t>(b)</w:t>
      </w:r>
      <w:r>
        <w:tab/>
        <w:t xml:space="preserve">a summary of facts or issues of law relied upon by the Commissioner of Police in reformulating the reasons, including any relevant matters set out in the </w:t>
      </w:r>
      <w:r>
        <w:rPr>
          <w:i/>
        </w:rPr>
        <w:t>Police Act 1892</w:t>
      </w:r>
      <w:r>
        <w:t xml:space="preserve"> section 33Q(4); and</w:t>
      </w:r>
    </w:p>
    <w:p>
      <w:pPr>
        <w:pStyle w:val="Indenta"/>
      </w:pPr>
      <w:r>
        <w:tab/>
        <w:t>(c)</w:t>
      </w:r>
      <w:r>
        <w:tab/>
        <w:t>a reply containing any matters the Commissioner of Police wishes to raise in relation to the appellant’s case.</w:t>
      </w:r>
    </w:p>
    <w:p>
      <w:pPr>
        <w:pStyle w:val="Subsection"/>
      </w:pPr>
      <w:r>
        <w:tab/>
        <w:t>(2)</w:t>
      </w:r>
      <w:r>
        <w:tab/>
        <w:t>The statement, the summary of facts and the reply</w:t>
      </w:r>
      <w:r>
        <w:rPr>
          <w:snapToGrid w:val="0"/>
        </w:rPr>
        <w:t xml:space="preserve"> must</w:t>
      </w:r>
      <w:r>
        <w:t xml:space="preserve"> be in an approved form.</w:t>
      </w:r>
    </w:p>
    <w:p>
      <w:pPr>
        <w:pStyle w:val="Subsection"/>
      </w:pPr>
      <w:r>
        <w:tab/>
        <w:t>(2A)</w:t>
      </w:r>
      <w:r>
        <w:tab/>
        <w:t>The Registrar must serve a copy of the statement, the summary of facts and the reply on the appellant.</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93 amended: Gazette 22 Dec 2009 p. 5271; 5 Mar 2019 p. 608</w:t>
      </w:r>
      <w:r>
        <w:noBreakHyphen/>
        <w:t>9.]</w:t>
      </w:r>
    </w:p>
    <w:p>
      <w:pPr>
        <w:pStyle w:val="Heading5"/>
        <w:pageBreakBefore/>
        <w:spacing w:before="0"/>
      </w:pPr>
      <w:bookmarkStart w:id="223" w:name="_Toc11744550"/>
      <w:r>
        <w:rPr>
          <w:rStyle w:val="CharSectno"/>
        </w:rPr>
        <w:t>94</w:t>
      </w:r>
      <w:r>
        <w:t>.</w:t>
      </w:r>
      <w:r>
        <w:tab/>
        <w:t>Withdrawal or discontinuance of appeal against removal</w:t>
      </w:r>
      <w:bookmarkEnd w:id="223"/>
    </w:p>
    <w:p>
      <w:pPr>
        <w:pStyle w:val="Subsection"/>
      </w:pPr>
      <w:r>
        <w:tab/>
        <w:t>(1)</w:t>
      </w:r>
      <w:r>
        <w:tab/>
        <w:t>An appellant may withdraw or wholly discontinue an appeal against removal action, or withdraw any part of the appeal, by completing and filing in the office of the Registrar 3 copies of a notice of withdrawal or discontinuance in the approved form.</w:t>
      </w:r>
    </w:p>
    <w:p>
      <w:pPr>
        <w:pStyle w:val="Subsection"/>
      </w:pPr>
      <w:r>
        <w:tab/>
        <w:t>(2)</w:t>
      </w:r>
      <w:r>
        <w:tab/>
        <w:t>The Registrar must serve a copy of the notice on the Commissioner of Police.</w:t>
      </w:r>
    </w:p>
    <w:p>
      <w:pPr>
        <w:pStyle w:val="Footnotesection"/>
      </w:pPr>
      <w:r>
        <w:tab/>
        <w:t>[Regulation 94 inserted: Gazette 5 Mar 2019 p. 609.]</w:t>
      </w:r>
    </w:p>
    <w:p>
      <w:pPr>
        <w:pStyle w:val="Heading2"/>
      </w:pPr>
      <w:bookmarkStart w:id="224" w:name="_Toc5353035"/>
      <w:bookmarkStart w:id="225" w:name="_Toc5353664"/>
      <w:bookmarkStart w:id="226" w:name="_Toc8742729"/>
      <w:bookmarkStart w:id="227" w:name="_Toc11053465"/>
      <w:bookmarkStart w:id="228" w:name="_Toc11744551"/>
      <w:r>
        <w:rPr>
          <w:rStyle w:val="CharPartNo"/>
        </w:rPr>
        <w:t>Part 10</w:t>
      </w:r>
      <w:r>
        <w:rPr>
          <w:rStyle w:val="CharDivNo"/>
        </w:rPr>
        <w:t> </w:t>
      </w:r>
      <w:r>
        <w:t>—</w:t>
      </w:r>
      <w:r>
        <w:rPr>
          <w:rStyle w:val="CharDivText"/>
        </w:rPr>
        <w:t> </w:t>
      </w:r>
      <w:r>
        <w:rPr>
          <w:rStyle w:val="CharPartText"/>
        </w:rPr>
        <w:t>Occupational Safety and Health Tribunal</w:t>
      </w:r>
      <w:bookmarkEnd w:id="224"/>
      <w:bookmarkEnd w:id="225"/>
      <w:bookmarkEnd w:id="226"/>
      <w:bookmarkEnd w:id="227"/>
      <w:bookmarkEnd w:id="228"/>
    </w:p>
    <w:p>
      <w:pPr>
        <w:pStyle w:val="Heading5"/>
        <w:spacing w:before="180"/>
      </w:pPr>
      <w:bookmarkStart w:id="229" w:name="_Toc11744552"/>
      <w:r>
        <w:rPr>
          <w:rStyle w:val="CharSectno"/>
        </w:rPr>
        <w:t>95</w:t>
      </w:r>
      <w:r>
        <w:t>.</w:t>
      </w:r>
      <w:r>
        <w:tab/>
        <w:t>Referral of matter and term used: Tribunal</w:t>
      </w:r>
      <w:bookmarkEnd w:id="229"/>
    </w:p>
    <w:p>
      <w:pPr>
        <w:pStyle w:val="Subsection"/>
        <w:spacing w:before="120"/>
      </w:pPr>
      <w:r>
        <w:tab/>
        <w:t>(1)</w:t>
      </w:r>
      <w:r>
        <w:tab/>
        <w:t>In this Part —</w:t>
      </w:r>
    </w:p>
    <w:p>
      <w:pPr>
        <w:pStyle w:val="Defstart"/>
      </w:pPr>
      <w:r>
        <w:rPr>
          <w:b/>
        </w:rPr>
        <w:tab/>
      </w:r>
      <w:r>
        <w:rPr>
          <w:rStyle w:val="CharDefText"/>
        </w:rPr>
        <w:t>Tribunal</w:t>
      </w:r>
      <w:r>
        <w:t xml:space="preserve"> has the meaning given to that term in the </w:t>
      </w:r>
      <w:r>
        <w:rPr>
          <w:i/>
        </w:rPr>
        <w:t>Occupational Safety and Health Act 1984</w:t>
      </w:r>
      <w:r>
        <w:t xml:space="preserve"> section 51G(2).</w:t>
      </w:r>
    </w:p>
    <w:p>
      <w:pPr>
        <w:pStyle w:val="Subsection"/>
        <w:spacing w:before="120"/>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p>
    <w:p>
      <w:pPr>
        <w:pStyle w:val="Indenta"/>
      </w:pPr>
      <w:r>
        <w:tab/>
        <w:t>(d)</w:t>
      </w:r>
      <w:r>
        <w:tab/>
        <w:t xml:space="preserve">an application under the </w:t>
      </w:r>
      <w:r>
        <w:rPr>
          <w:i/>
        </w:rPr>
        <w:t>Petroleum Pipelines Act 1969</w:t>
      </w:r>
      <w:r>
        <w:t xml:space="preserve"> Schedule 1 clause 30;</w:t>
      </w:r>
    </w:p>
    <w:p>
      <w:pPr>
        <w:pStyle w:val="Indenta"/>
      </w:pPr>
      <w:r>
        <w:tab/>
        <w:t>(e)</w:t>
      </w:r>
      <w:r>
        <w:tab/>
        <w:t xml:space="preserve">an application under the </w:t>
      </w:r>
      <w:r>
        <w:rPr>
          <w:i/>
        </w:rPr>
        <w:t>Petroleum and Geothermal Energy Resources Act 1967</w:t>
      </w:r>
      <w:r>
        <w:t xml:space="preserve"> Schedule 1 clause 30.</w:t>
      </w:r>
    </w:p>
    <w:p>
      <w:pPr>
        <w:pStyle w:val="Footnotesection"/>
      </w:pPr>
      <w:r>
        <w:tab/>
        <w:t>[Regulation 95 amended: Gazette 27 Mar 2007 p. 1406; 6 May 2008 p. 1757; 29 Jul 2008 p. 3420.]</w:t>
      </w:r>
    </w:p>
    <w:p>
      <w:pPr>
        <w:pStyle w:val="Heading5"/>
      </w:pPr>
      <w:bookmarkStart w:id="230" w:name="_Toc11744553"/>
      <w:r>
        <w:rPr>
          <w:rStyle w:val="CharSectno"/>
        </w:rPr>
        <w:t>96</w:t>
      </w:r>
      <w:r>
        <w:t>.</w:t>
      </w:r>
      <w:r>
        <w:tab/>
        <w:t>Referrals to Tribunal</w:t>
      </w:r>
      <w:bookmarkEnd w:id="230"/>
    </w:p>
    <w:p>
      <w:pPr>
        <w:pStyle w:val="Subsection"/>
        <w:spacing w:before="120"/>
      </w:pPr>
      <w:r>
        <w:tab/>
        <w:t>(1)</w:t>
      </w:r>
      <w:r>
        <w:tab/>
        <w:t>The referral of a matter to the Tribunal for determination is to be by way of Notice of referral in the approved form.</w:t>
      </w:r>
    </w:p>
    <w:p>
      <w:pPr>
        <w:pStyle w:val="Subsection"/>
        <w:spacing w:before="120"/>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w:t>
      </w:r>
    </w:p>
    <w:p>
      <w:pPr>
        <w:pStyle w:val="Ednotepara"/>
        <w:keepNext/>
      </w:pPr>
      <w:r>
        <w:tab/>
        <w:t>[(b)</w:t>
      </w:r>
      <w:r>
        <w:tab/>
        <w:t>deleted]</w:t>
      </w:r>
    </w:p>
    <w:p>
      <w:pPr>
        <w:pStyle w:val="Footnotesection"/>
      </w:pPr>
      <w:r>
        <w:tab/>
        <w:t>[Regulation 96 amended: Gazette 9 Jul 2010 p. 3240; 5 Mar 2019 p. 622</w:t>
      </w:r>
      <w:r>
        <w:noBreakHyphen/>
        <w:t>5.]</w:t>
      </w:r>
    </w:p>
    <w:p>
      <w:pPr>
        <w:pStyle w:val="Heading5"/>
      </w:pPr>
      <w:bookmarkStart w:id="231" w:name="_Toc11744554"/>
      <w:r>
        <w:rPr>
          <w:rStyle w:val="CharSectno"/>
        </w:rPr>
        <w:t>97</w:t>
      </w:r>
      <w:r>
        <w:t>.</w:t>
      </w:r>
      <w:r>
        <w:tab/>
        <w:t>Application of certain regulations</w:t>
      </w:r>
      <w:bookmarkEnd w:id="231"/>
    </w:p>
    <w:p>
      <w:pPr>
        <w:pStyle w:val="Subsection"/>
      </w:pPr>
      <w:r>
        <w:tab/>
        <w:t>(1)</w:t>
      </w:r>
      <w:r>
        <w:tab/>
        <w:t>The provisions of these regulations that are set out in the Table to this subregulation apply to the referral of matters to, or the hearing or determination of matters by, the Tribunal as if the references in the provisions to the Commission were references to the Tribunal.</w:t>
      </w:r>
    </w:p>
    <w:p>
      <w:pPr>
        <w:pStyle w:val="THeadingNAm"/>
      </w:pPr>
      <w:r>
        <w:t>Table</w:t>
      </w:r>
    </w:p>
    <w:tbl>
      <w:tblPr>
        <w:tblW w:w="0" w:type="auto"/>
        <w:tblInd w:w="959" w:type="dxa"/>
        <w:tblLayout w:type="fixed"/>
        <w:tblLook w:val="0000" w:firstRow="0" w:lastRow="0" w:firstColumn="0" w:lastColumn="0" w:noHBand="0" w:noVBand="0"/>
      </w:tblPr>
      <w:tblGrid>
        <w:gridCol w:w="3829"/>
        <w:gridCol w:w="1274"/>
      </w:tblGrid>
      <w:tr>
        <w:tc>
          <w:tcPr>
            <w:tcW w:w="3829" w:type="dxa"/>
          </w:tcPr>
          <w:p>
            <w:pPr>
              <w:pStyle w:val="TableNAm"/>
            </w:pPr>
            <w:r>
              <w:t>Part 2 except r. 8(1), (3) and (4)</w:t>
            </w:r>
          </w:p>
        </w:tc>
        <w:tc>
          <w:tcPr>
            <w:tcW w:w="1274" w:type="dxa"/>
          </w:tcPr>
          <w:p>
            <w:pPr>
              <w:pStyle w:val="TableNAm"/>
            </w:pPr>
            <w:r>
              <w:t>r. 102</w:t>
            </w:r>
          </w:p>
        </w:tc>
      </w:tr>
      <w:tr>
        <w:tc>
          <w:tcPr>
            <w:tcW w:w="3829" w:type="dxa"/>
          </w:tcPr>
          <w:p>
            <w:pPr>
              <w:pStyle w:val="TableNAm"/>
            </w:pPr>
            <w:r>
              <w:t>Part 3 except r. 13(3)(a)</w:t>
            </w:r>
          </w:p>
        </w:tc>
        <w:tc>
          <w:tcPr>
            <w:tcW w:w="1274" w:type="dxa"/>
          </w:tcPr>
          <w:p>
            <w:pPr>
              <w:pStyle w:val="TableNAm"/>
            </w:pPr>
            <w:r>
              <w:t>r. 103</w:t>
            </w:r>
          </w:p>
        </w:tc>
      </w:tr>
      <w:tr>
        <w:tc>
          <w:tcPr>
            <w:tcW w:w="3829" w:type="dxa"/>
          </w:tcPr>
          <w:p>
            <w:pPr>
              <w:pStyle w:val="TableNAm"/>
            </w:pPr>
            <w:r>
              <w:t>Part 4</w:t>
            </w:r>
          </w:p>
        </w:tc>
        <w:tc>
          <w:tcPr>
            <w:tcW w:w="1274" w:type="dxa"/>
          </w:tcPr>
          <w:p>
            <w:pPr>
              <w:pStyle w:val="TableNAm"/>
            </w:pP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Footnotesection"/>
      </w:pPr>
      <w:r>
        <w:tab/>
        <w:t>[Regulation 97 amended: Gazette 16 Mar 2012 p. 1252; 5 Mar 2019 p. 610.]</w:t>
      </w:r>
    </w:p>
    <w:p>
      <w:pPr>
        <w:pStyle w:val="Heading5"/>
      </w:pPr>
      <w:bookmarkStart w:id="232" w:name="_Toc11744555"/>
      <w:r>
        <w:rPr>
          <w:rStyle w:val="CharSectno"/>
        </w:rPr>
        <w:t>98</w:t>
      </w:r>
      <w:r>
        <w:t>.</w:t>
      </w:r>
      <w:r>
        <w:tab/>
        <w:t>Procedures specific to Tribunal proceedings</w:t>
      </w:r>
      <w:bookmarkEnd w:id="232"/>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to the Registrar directions, by way of endorsement on the reverse of, or by attachment to, the Notice of referral, as to service of copies of the Notice.</w:t>
      </w:r>
    </w:p>
    <w:p>
      <w:pPr>
        <w:pStyle w:val="Ednotesubsection"/>
      </w:pPr>
      <w:r>
        <w:tab/>
        <w:t>[(4), (5)</w:t>
      </w:r>
      <w:r>
        <w:tab/>
        <w:t>deleted]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Footnotesection"/>
      </w:pPr>
      <w:r>
        <w:tab/>
        <w:t>[Regulation 98 amended: Gazette 5 Mar 2019 p. 610.]</w:t>
      </w:r>
    </w:p>
    <w:p>
      <w:pPr>
        <w:pStyle w:val="Heading5"/>
      </w:pPr>
      <w:bookmarkStart w:id="233" w:name="_Toc11744556"/>
      <w:r>
        <w:rPr>
          <w:rStyle w:val="CharSectno"/>
        </w:rPr>
        <w:t>99</w:t>
      </w:r>
      <w:r>
        <w:t>.</w:t>
      </w:r>
      <w:r>
        <w:tab/>
        <w:t>Chief Commissioner may approve modified form of summons</w:t>
      </w:r>
      <w:bookmarkEnd w:id="233"/>
    </w:p>
    <w:p>
      <w:pPr>
        <w:pStyle w:val="Subsection"/>
      </w:pPr>
      <w:r>
        <w:tab/>
        <w:t>(1)</w:t>
      </w:r>
      <w:r>
        <w:tab/>
        <w:t xml:space="preserve">For the purposes of this Part, the Chief Commissioner may approve a modified version of the form set out in Schedule 1 Division 1 (a </w:t>
      </w:r>
      <w:r>
        <w:rPr>
          <w:rStyle w:val="CharDefText"/>
        </w:rPr>
        <w:t>modified form</w:t>
      </w:r>
      <w:r>
        <w:t xml:space="preserve">) in which any reference in that form to the Commission is changed to a reference to either of the following, as the Chief Commissioner considers appropriate — </w:t>
      </w:r>
    </w:p>
    <w:p>
      <w:pPr>
        <w:pStyle w:val="Indenta"/>
      </w:pPr>
      <w:r>
        <w:tab/>
        <w:t>(a)</w:t>
      </w:r>
      <w:r>
        <w:tab/>
        <w:t>the Commission sitting as the Occupational Safety and Health Tribunal;</w:t>
      </w:r>
    </w:p>
    <w:p>
      <w:pPr>
        <w:pStyle w:val="Indenta"/>
      </w:pPr>
      <w:r>
        <w:tab/>
        <w:t>(b)</w:t>
      </w:r>
      <w:r>
        <w:tab/>
        <w:t>the Tribunal.</w:t>
      </w:r>
    </w:p>
    <w:p>
      <w:pPr>
        <w:pStyle w:val="Subsection"/>
      </w:pPr>
      <w:r>
        <w:tab/>
        <w:t>(2)</w:t>
      </w:r>
      <w:r>
        <w:tab/>
        <w:t>If the Chief Commissioner approves a modified form for the purposes of this Part, the Commission must publish the modified form on the Commission’s website.</w:t>
      </w:r>
    </w:p>
    <w:p>
      <w:pPr>
        <w:pStyle w:val="Footnotesection"/>
      </w:pPr>
      <w:r>
        <w:tab/>
        <w:t>[Regulation 99 inserted: Gazette 5 Mar 2019 p. 610</w:t>
      </w:r>
      <w:r>
        <w:noBreakHyphen/>
        <w:t>11.]</w:t>
      </w:r>
    </w:p>
    <w:p>
      <w:pPr>
        <w:pStyle w:val="Heading2"/>
      </w:pPr>
      <w:bookmarkStart w:id="234" w:name="_Toc5353041"/>
      <w:bookmarkStart w:id="235" w:name="_Toc5353670"/>
      <w:bookmarkStart w:id="236" w:name="_Toc8742735"/>
      <w:bookmarkStart w:id="237" w:name="_Toc11053471"/>
      <w:bookmarkStart w:id="238" w:name="_Toc11744557"/>
      <w:r>
        <w:rPr>
          <w:rStyle w:val="CharPartNo"/>
        </w:rPr>
        <w:t>Part 10A</w:t>
      </w:r>
      <w:r>
        <w:rPr>
          <w:rStyle w:val="CharDivNo"/>
        </w:rPr>
        <w:t> </w:t>
      </w:r>
      <w:r>
        <w:t>—</w:t>
      </w:r>
      <w:r>
        <w:rPr>
          <w:rStyle w:val="CharDivText"/>
        </w:rPr>
        <w:t> </w:t>
      </w:r>
      <w:r>
        <w:rPr>
          <w:rStyle w:val="CharPartText"/>
        </w:rPr>
        <w:t>Road Freight Transport Industry Tribunal</w:t>
      </w:r>
      <w:bookmarkEnd w:id="234"/>
      <w:bookmarkEnd w:id="235"/>
      <w:bookmarkEnd w:id="236"/>
      <w:bookmarkEnd w:id="237"/>
      <w:bookmarkEnd w:id="238"/>
    </w:p>
    <w:p>
      <w:pPr>
        <w:pStyle w:val="Footnoteheading"/>
      </w:pPr>
      <w:r>
        <w:tab/>
        <w:t>[Heading inserted: Gazette 10 Jun 2008 p. 2492.]</w:t>
      </w:r>
    </w:p>
    <w:p>
      <w:pPr>
        <w:pStyle w:val="Heading5"/>
        <w:spacing w:before="240"/>
      </w:pPr>
      <w:bookmarkStart w:id="239" w:name="_Toc11744558"/>
      <w:r>
        <w:rPr>
          <w:rStyle w:val="CharSectno"/>
        </w:rPr>
        <w:t>99A</w:t>
      </w:r>
      <w:r>
        <w:t>.</w:t>
      </w:r>
      <w:r>
        <w:tab/>
        <w:t>Terms used</w:t>
      </w:r>
      <w:bookmarkEnd w:id="239"/>
    </w:p>
    <w:p>
      <w:pPr>
        <w:pStyle w:val="Subsection"/>
      </w:pPr>
      <w:r>
        <w:tab/>
      </w:r>
      <w:r>
        <w:tab/>
        <w:t xml:space="preserve">In this Part — </w:t>
      </w:r>
    </w:p>
    <w:p>
      <w:pPr>
        <w:pStyle w:val="Defstart"/>
      </w:pPr>
      <w:r>
        <w:rPr>
          <w:b/>
        </w:rPr>
        <w:tab/>
      </w:r>
      <w:r>
        <w:rPr>
          <w:rStyle w:val="CharDefText"/>
        </w:rPr>
        <w:t>applicant</w:t>
      </w:r>
      <w:r>
        <w:t xml:space="preserve"> means a person who refers a dispute or matter to the Tribunal under the </w:t>
      </w:r>
      <w:r>
        <w:rPr>
          <w:i/>
          <w:iCs/>
        </w:rPr>
        <w:t>Owner</w:t>
      </w:r>
      <w:r>
        <w:rPr>
          <w:i/>
          <w:iCs/>
        </w:rPr>
        <w:noBreakHyphen/>
        <w:t>Drivers (Contracts and Disputes) Act 2007</w:t>
      </w:r>
      <w:r>
        <w:t xml:space="preserve"> section 40;</w:t>
      </w:r>
    </w:p>
    <w:p>
      <w:pPr>
        <w:pStyle w:val="Defstart"/>
      </w:pPr>
      <w:r>
        <w:rPr>
          <w:b/>
        </w:rPr>
        <w:tab/>
      </w:r>
      <w:r>
        <w:rPr>
          <w:rStyle w:val="CharDefText"/>
        </w:rPr>
        <w:t>Tribunal</w:t>
      </w:r>
      <w:r>
        <w:t xml:space="preserve"> has the meaning given to that term in the </w:t>
      </w:r>
      <w:r>
        <w:rPr>
          <w:i/>
          <w:iCs/>
        </w:rPr>
        <w:t>Owner</w:t>
      </w:r>
      <w:r>
        <w:rPr>
          <w:i/>
          <w:iCs/>
        </w:rPr>
        <w:noBreakHyphen/>
        <w:t>Drivers (Contracts and Disputes) Act 2007</w:t>
      </w:r>
      <w:r>
        <w:t xml:space="preserve"> section 38(2).</w:t>
      </w:r>
    </w:p>
    <w:p>
      <w:pPr>
        <w:pStyle w:val="Footnotesection"/>
      </w:pPr>
      <w:r>
        <w:tab/>
        <w:t>[Regulation 99A inserted: Gazette 10 Jun 2008 p. 2492.]</w:t>
      </w:r>
    </w:p>
    <w:p>
      <w:pPr>
        <w:pStyle w:val="Heading5"/>
        <w:spacing w:before="240"/>
      </w:pPr>
      <w:bookmarkStart w:id="240" w:name="_Toc11744559"/>
      <w:r>
        <w:rPr>
          <w:rStyle w:val="CharSectno"/>
        </w:rPr>
        <w:t>99B</w:t>
      </w:r>
      <w:r>
        <w:t>.</w:t>
      </w:r>
      <w:r>
        <w:tab/>
        <w:t>Referrals to Tribunal</w:t>
      </w:r>
      <w:bookmarkEnd w:id="240"/>
    </w:p>
    <w:p>
      <w:pPr>
        <w:pStyle w:val="Subsection"/>
      </w:pPr>
      <w:r>
        <w:tab/>
      </w:r>
      <w:r>
        <w:tab/>
        <w:t xml:space="preserve">The referral of a dispute or matter to the Tribunal under the </w:t>
      </w:r>
      <w:r>
        <w:rPr>
          <w:i/>
          <w:iCs/>
        </w:rPr>
        <w:t>Owner</w:t>
      </w:r>
      <w:r>
        <w:rPr>
          <w:i/>
          <w:iCs/>
        </w:rPr>
        <w:noBreakHyphen/>
        <w:t xml:space="preserve">Drivers (Contracts and Disputes) Act 2007 </w:t>
      </w:r>
      <w:r>
        <w:t>is to be by way of notice of referral in the approved form.</w:t>
      </w:r>
    </w:p>
    <w:p>
      <w:pPr>
        <w:pStyle w:val="Footnotesection"/>
      </w:pPr>
      <w:r>
        <w:tab/>
        <w:t>[Regulation 99B inserted: Gazette 10 Jun 2008 p. 2492; amended: Gazette 5 Mar 2019 p. 622</w:t>
      </w:r>
      <w:r>
        <w:noBreakHyphen/>
        <w:t>5.]</w:t>
      </w:r>
    </w:p>
    <w:p>
      <w:pPr>
        <w:pStyle w:val="Heading5"/>
        <w:spacing w:before="240"/>
      </w:pPr>
      <w:bookmarkStart w:id="241" w:name="_Toc11744560"/>
      <w:r>
        <w:rPr>
          <w:rStyle w:val="CharSectno"/>
        </w:rPr>
        <w:t>99C</w:t>
      </w:r>
      <w:r>
        <w:t>.</w:t>
      </w:r>
      <w:r>
        <w:tab/>
        <w:t>Application of certain regulations</w:t>
      </w:r>
      <w:bookmarkEnd w:id="241"/>
    </w:p>
    <w:p>
      <w:pPr>
        <w:pStyle w:val="Subsection"/>
      </w:pPr>
      <w:r>
        <w:tab/>
        <w:t>(1)</w:t>
      </w:r>
      <w:r>
        <w:tab/>
        <w:t>The provisions of these regulations that are set out in the Table to this subregulation apply to the referral of disputes or matters to, or the hearing or determination of disputes or matters by, the Tribunal as if the references in the provisions to the Commission were references to the Tribunal.</w:t>
      </w:r>
    </w:p>
    <w:p>
      <w:pPr>
        <w:pStyle w:val="THeadingNAm"/>
      </w:pPr>
      <w:r>
        <w:t>Table</w:t>
      </w:r>
    </w:p>
    <w:tbl>
      <w:tblPr>
        <w:tblW w:w="0" w:type="auto"/>
        <w:tblInd w:w="959" w:type="dxa"/>
        <w:tblLayout w:type="fixed"/>
        <w:tblLook w:val="0000" w:firstRow="0" w:lastRow="0" w:firstColumn="0" w:lastColumn="0" w:noHBand="0" w:noVBand="0"/>
      </w:tblPr>
      <w:tblGrid>
        <w:gridCol w:w="3829"/>
        <w:gridCol w:w="1274"/>
      </w:tblGrid>
      <w:tr>
        <w:tc>
          <w:tcPr>
            <w:tcW w:w="3829" w:type="dxa"/>
          </w:tcPr>
          <w:p>
            <w:pPr>
              <w:pStyle w:val="TableNAm"/>
            </w:pPr>
            <w:r>
              <w:t>Part 2 except r. 8(1), (3) and (4)</w:t>
            </w:r>
          </w:p>
        </w:tc>
        <w:tc>
          <w:tcPr>
            <w:tcW w:w="1274" w:type="dxa"/>
          </w:tcPr>
          <w:p>
            <w:pPr>
              <w:pStyle w:val="TableNAm"/>
            </w:pPr>
            <w:r>
              <w:t>r. 102</w:t>
            </w:r>
          </w:p>
        </w:tc>
      </w:tr>
      <w:tr>
        <w:tc>
          <w:tcPr>
            <w:tcW w:w="3829" w:type="dxa"/>
          </w:tcPr>
          <w:p>
            <w:pPr>
              <w:pStyle w:val="TableNAm"/>
            </w:pPr>
            <w:r>
              <w:t>Part 3 except r. 13(3)(a)</w:t>
            </w:r>
          </w:p>
        </w:tc>
        <w:tc>
          <w:tcPr>
            <w:tcW w:w="1274" w:type="dxa"/>
          </w:tcPr>
          <w:p>
            <w:pPr>
              <w:pStyle w:val="TableNAm"/>
            </w:pPr>
            <w:r>
              <w:t>r. 103</w:t>
            </w:r>
          </w:p>
        </w:tc>
      </w:tr>
      <w:tr>
        <w:tc>
          <w:tcPr>
            <w:tcW w:w="3829" w:type="dxa"/>
          </w:tcPr>
          <w:p>
            <w:pPr>
              <w:pStyle w:val="TableNAm"/>
            </w:pPr>
            <w:r>
              <w:t>Part 4</w:t>
            </w:r>
          </w:p>
        </w:tc>
        <w:tc>
          <w:tcPr>
            <w:tcW w:w="1274" w:type="dxa"/>
          </w:tcPr>
          <w:p>
            <w:pPr>
              <w:pStyle w:val="TableNAm"/>
            </w:pPr>
          </w:p>
        </w:tc>
      </w:tr>
    </w:tbl>
    <w:p>
      <w:pPr>
        <w:pStyle w:val="Subsection"/>
        <w:keepNext/>
        <w:keepLines/>
      </w:pPr>
      <w:r>
        <w:tab/>
        <w:t>(2)</w:t>
      </w:r>
      <w:r>
        <w:tab/>
        <w:t xml:space="preserve">Subregulation (1) applies — </w:t>
      </w:r>
    </w:p>
    <w:p>
      <w:pPr>
        <w:pStyle w:val="Indenta"/>
        <w:keepNext/>
        <w:keepLines/>
      </w:pPr>
      <w:r>
        <w:tab/>
        <w:t>(a)</w:t>
      </w:r>
      <w:r>
        <w:tab/>
        <w:t>except as otherwise provided by this Part; and</w:t>
      </w:r>
    </w:p>
    <w:p>
      <w:pPr>
        <w:pStyle w:val="Indenta"/>
      </w:pPr>
      <w:r>
        <w:tab/>
        <w:t>(b)</w:t>
      </w:r>
      <w:r>
        <w:tab/>
        <w:t>in a particular case subject to the direction of the Tribunal.</w:t>
      </w:r>
    </w:p>
    <w:p>
      <w:pPr>
        <w:pStyle w:val="Footnotesection"/>
        <w:rPr>
          <w:rStyle w:val="DraftersNotes"/>
        </w:rPr>
      </w:pPr>
      <w:r>
        <w:tab/>
        <w:t>[Regulation 99C inserted: Gazette 16 Mar 2012 p. 1252</w:t>
      </w:r>
      <w:r>
        <w:noBreakHyphen/>
        <w:t>3; amended: Gazette 5 Mar 2019 p. 611.]</w:t>
      </w:r>
    </w:p>
    <w:p>
      <w:pPr>
        <w:pStyle w:val="Heading5"/>
      </w:pPr>
      <w:bookmarkStart w:id="242" w:name="_Toc11744561"/>
      <w:r>
        <w:rPr>
          <w:rStyle w:val="CharSectno"/>
        </w:rPr>
        <w:t>99D</w:t>
      </w:r>
      <w:r>
        <w:t>.</w:t>
      </w:r>
      <w:r>
        <w:tab/>
        <w:t>Procedures specific to Tribunal proceedings</w:t>
      </w:r>
      <w:bookmarkEnd w:id="242"/>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The Registrar is to endorse on the notice of referral the time for lodging a response under regulation 14.</w:t>
      </w:r>
    </w:p>
    <w:p>
      <w:pPr>
        <w:pStyle w:val="Subsection"/>
      </w:pPr>
      <w:r>
        <w:tab/>
        <w:t>(4)</w:t>
      </w:r>
      <w:r>
        <w:tab/>
        <w:t>Unless an ex parte application for a shortened time period within which a response is to be filed and such application granted, the Respondent is to file any response within 21 days of the date of service of the notice of referral.</w:t>
      </w:r>
    </w:p>
    <w:p>
      <w:pPr>
        <w:pStyle w:val="Ednotesubsection"/>
      </w:pPr>
      <w:r>
        <w:tab/>
        <w:t>[(5)</w:t>
      </w:r>
      <w:r>
        <w:tab/>
        <w:t>deleted]</w:t>
      </w:r>
    </w:p>
    <w:p>
      <w:pPr>
        <w:pStyle w:val="Subsection"/>
        <w:rPr>
          <w:snapToGrid w:val="0"/>
        </w:rPr>
      </w:pPr>
      <w:r>
        <w:tab/>
        <w:t>(6)</w:t>
      </w:r>
      <w:r>
        <w:tab/>
      </w:r>
      <w:r>
        <w:rPr>
          <w:snapToGrid w:val="0"/>
        </w:rPr>
        <w:t xml:space="preserve">A </w:t>
      </w:r>
      <w:r>
        <w:t>response</w:t>
      </w:r>
      <w:r>
        <w:rPr>
          <w:snapToGrid w:val="0"/>
        </w:rPr>
        <w:t xml:space="preserve"> must be in the </w:t>
      </w:r>
      <w:r>
        <w:t>approved form</w:t>
      </w:r>
      <w:r>
        <w:rPr>
          <w:snapToGrid w:val="0"/>
        </w:rPr>
        <w:t xml:space="preserve"> and must specify with particularity </w:t>
      </w:r>
      <w:r>
        <w:t>the response</w:t>
      </w:r>
      <w:r>
        <w:rPr>
          <w:snapToGrid w:val="0"/>
        </w:rPr>
        <w:t xml:space="preserve"> and the basis on which it is given.</w:t>
      </w:r>
    </w:p>
    <w:p>
      <w:pPr>
        <w:pStyle w:val="Ednotesubsection"/>
      </w:pPr>
      <w:r>
        <w:tab/>
        <w:t>[(7)</w:t>
      </w:r>
      <w:r>
        <w:tab/>
        <w:t>deleted]</w:t>
      </w:r>
    </w:p>
    <w:p>
      <w:pPr>
        <w:pStyle w:val="Subsection"/>
      </w:pPr>
      <w:r>
        <w:tab/>
        <w:t>(8)</w:t>
      </w:r>
      <w:r>
        <w:tab/>
        <w:t xml:space="preserve">The Tribunal may orally, in writing, by telephone or email issue a summons to attend conciliation proceedings under the </w:t>
      </w:r>
      <w:r>
        <w:rPr>
          <w:i/>
          <w:iCs/>
        </w:rPr>
        <w:t>Owner</w:t>
      </w:r>
      <w:r>
        <w:rPr>
          <w:i/>
          <w:iCs/>
        </w:rPr>
        <w:noBreakHyphen/>
        <w:t>Drivers (Contracts and Disputes) Act 2007</w:t>
      </w:r>
      <w:r>
        <w:t xml:space="preserve"> section 45.</w:t>
      </w:r>
    </w:p>
    <w:p>
      <w:pPr>
        <w:pStyle w:val="Subsection"/>
      </w:pPr>
      <w:r>
        <w:tab/>
        <w:t>(9)</w:t>
      </w:r>
      <w:r>
        <w:tab/>
        <w:t xml:space="preserve">If a copy of the notice of Referral has been sent by email to the Respondent by an officer of the Commission at the direction of the Tribunal, the Tribunal may, before the response is lodged, arrange a conference under the </w:t>
      </w:r>
      <w:r>
        <w:rPr>
          <w:i/>
        </w:rPr>
        <w:t>Owner-Drivers (Contracts and Disputes) Act 2007</w:t>
      </w:r>
      <w:r>
        <w:t xml:space="preserve"> section 44(2)(b).</w:t>
      </w:r>
    </w:p>
    <w:p>
      <w:pPr>
        <w:pStyle w:val="Subsection"/>
      </w:pPr>
      <w:r>
        <w:tab/>
        <w:t>(10)</w:t>
      </w:r>
      <w:r>
        <w:tab/>
        <w:t xml:space="preserve">A direction, order or declaration of the Tribunal under the </w:t>
      </w:r>
      <w:r>
        <w:rPr>
          <w:i/>
          <w:iCs/>
        </w:rPr>
        <w:t>Owner</w:t>
      </w:r>
      <w:r>
        <w:rPr>
          <w:i/>
          <w:iCs/>
        </w:rPr>
        <w:noBreakHyphen/>
        <w:t>Drivers (Contracts and Disputes) Act 2007</w:t>
      </w:r>
      <w:r>
        <w:t xml:space="preserve"> section 44(3) when committed to writing and sealed is to be served by the Registrar or such other person as the Tribunal may direct, on such person or persons as the Tribunal may direct.</w:t>
      </w:r>
    </w:p>
    <w:p>
      <w:pPr>
        <w:pStyle w:val="Footnotesection"/>
      </w:pPr>
      <w:r>
        <w:tab/>
        <w:t>[Regulation 99D inserted: Gazette 10 Jun 2008 p. 2492-3; amended: Gazette 4 Jul 2014 p. 2390; 5 Mar 2019 p. 611, 619</w:t>
      </w:r>
      <w:r>
        <w:noBreakHyphen/>
        <w:t>20 and 622</w:t>
      </w:r>
      <w:r>
        <w:noBreakHyphen/>
        <w:t>5.]</w:t>
      </w:r>
    </w:p>
    <w:p>
      <w:pPr>
        <w:pStyle w:val="Heading5"/>
      </w:pPr>
      <w:bookmarkStart w:id="243" w:name="_Toc11744562"/>
      <w:r>
        <w:rPr>
          <w:rStyle w:val="CharSectno"/>
        </w:rPr>
        <w:t>99E</w:t>
      </w:r>
      <w:r>
        <w:t>.</w:t>
      </w:r>
      <w:r>
        <w:tab/>
        <w:t>Chief Commissioner may approve modified form of summons</w:t>
      </w:r>
      <w:bookmarkEnd w:id="243"/>
    </w:p>
    <w:p>
      <w:pPr>
        <w:pStyle w:val="Subsection"/>
      </w:pPr>
      <w:r>
        <w:tab/>
        <w:t>(1)</w:t>
      </w:r>
      <w:r>
        <w:tab/>
        <w:t xml:space="preserve">For the purposes of this Part, the Chief Commissioner may approve a modified version of the form set out in Schedule 1 Division 1 (a </w:t>
      </w:r>
      <w:r>
        <w:rPr>
          <w:rStyle w:val="CharDefText"/>
        </w:rPr>
        <w:t>modified form</w:t>
      </w:r>
      <w:r>
        <w:t xml:space="preserve">) in which any reference in that form to the Commission is changed to a reference to either of the following, as the Chief Commissioner considers appropriate — </w:t>
      </w:r>
    </w:p>
    <w:p>
      <w:pPr>
        <w:pStyle w:val="Indenta"/>
      </w:pPr>
      <w:r>
        <w:tab/>
        <w:t>(a)</w:t>
      </w:r>
      <w:r>
        <w:tab/>
        <w:t>the Commission sitting as the Road Freight Transport Industry Tribunal;</w:t>
      </w:r>
    </w:p>
    <w:p>
      <w:pPr>
        <w:pStyle w:val="Indenta"/>
      </w:pPr>
      <w:r>
        <w:tab/>
        <w:t>(b)</w:t>
      </w:r>
      <w:r>
        <w:tab/>
        <w:t>the Tribunal.</w:t>
      </w:r>
    </w:p>
    <w:p>
      <w:pPr>
        <w:pStyle w:val="Subsection"/>
      </w:pPr>
      <w:r>
        <w:tab/>
        <w:t>(2)</w:t>
      </w:r>
      <w:r>
        <w:tab/>
        <w:t>If the Chief Commissioner approves a modified form for the purposes of this Part, the Commission must publish the modified form on the Commission’s website.</w:t>
      </w:r>
    </w:p>
    <w:p>
      <w:pPr>
        <w:pStyle w:val="Footnotesection"/>
      </w:pPr>
      <w:r>
        <w:tab/>
        <w:t>[Regulation 99E inserted: Gazette 5 Mar 2019 p. 612.]</w:t>
      </w:r>
    </w:p>
    <w:p>
      <w:pPr>
        <w:pStyle w:val="Heading2"/>
      </w:pPr>
      <w:bookmarkStart w:id="244" w:name="_Toc5353047"/>
      <w:bookmarkStart w:id="245" w:name="_Toc5353676"/>
      <w:bookmarkStart w:id="246" w:name="_Toc8742741"/>
      <w:bookmarkStart w:id="247" w:name="_Toc11053477"/>
      <w:bookmarkStart w:id="248" w:name="_Toc11744563"/>
      <w:r>
        <w:rPr>
          <w:rStyle w:val="CharPartNo"/>
        </w:rPr>
        <w:t>Part 11</w:t>
      </w:r>
      <w:r>
        <w:t> — </w:t>
      </w:r>
      <w:r>
        <w:rPr>
          <w:rStyle w:val="CharPartText"/>
        </w:rPr>
        <w:t>Appeals generally</w:t>
      </w:r>
      <w:bookmarkEnd w:id="244"/>
      <w:bookmarkEnd w:id="245"/>
      <w:bookmarkEnd w:id="246"/>
      <w:bookmarkEnd w:id="247"/>
      <w:bookmarkEnd w:id="248"/>
    </w:p>
    <w:p>
      <w:pPr>
        <w:pStyle w:val="Heading3"/>
      </w:pPr>
      <w:bookmarkStart w:id="249" w:name="_Toc5353048"/>
      <w:bookmarkStart w:id="250" w:name="_Toc5353677"/>
      <w:bookmarkStart w:id="251" w:name="_Toc8742742"/>
      <w:bookmarkStart w:id="252" w:name="_Toc11053478"/>
      <w:bookmarkStart w:id="253" w:name="_Toc11744564"/>
      <w:r>
        <w:rPr>
          <w:rStyle w:val="CharDivNo"/>
        </w:rPr>
        <w:t>Division 1</w:t>
      </w:r>
      <w:r>
        <w:t> — </w:t>
      </w:r>
      <w:r>
        <w:rPr>
          <w:rStyle w:val="CharDivText"/>
        </w:rPr>
        <w:t>Appeals to Commission</w:t>
      </w:r>
      <w:bookmarkEnd w:id="249"/>
      <w:bookmarkEnd w:id="250"/>
      <w:bookmarkEnd w:id="251"/>
      <w:bookmarkEnd w:id="252"/>
      <w:bookmarkEnd w:id="253"/>
    </w:p>
    <w:p>
      <w:pPr>
        <w:pStyle w:val="Heading5"/>
        <w:spacing w:before="240"/>
      </w:pPr>
      <w:bookmarkStart w:id="254" w:name="_Toc11744565"/>
      <w:r>
        <w:rPr>
          <w:rStyle w:val="CharSectno"/>
        </w:rPr>
        <w:t>100</w:t>
      </w:r>
      <w:r>
        <w:t>.</w:t>
      </w:r>
      <w:r>
        <w:tab/>
        <w:t>Appeals under section 97VM</w:t>
      </w:r>
      <w:bookmarkEnd w:id="254"/>
    </w:p>
    <w:p>
      <w:pPr>
        <w:pStyle w:val="Subsection"/>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approved form.</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Footnotesection"/>
      </w:pPr>
      <w:r>
        <w:tab/>
        <w:t>[Regulation 100 amended: Gazette 5 Mar 2019 p. 622</w:t>
      </w:r>
      <w:r>
        <w:noBreakHyphen/>
        <w:t>5.]</w:t>
      </w:r>
    </w:p>
    <w:p>
      <w:pPr>
        <w:pStyle w:val="Heading5"/>
        <w:spacing w:before="240"/>
        <w:rPr>
          <w:snapToGrid w:val="0"/>
        </w:rPr>
      </w:pPr>
      <w:bookmarkStart w:id="255" w:name="_Toc11744566"/>
      <w:r>
        <w:rPr>
          <w:rStyle w:val="CharSectno"/>
        </w:rPr>
        <w:t>101</w:t>
      </w:r>
      <w:r>
        <w:t>.</w:t>
      </w:r>
      <w:r>
        <w:tab/>
        <w:t xml:space="preserve">Appeal under </w:t>
      </w:r>
      <w:r>
        <w:rPr>
          <w:i/>
        </w:rPr>
        <w:t>Vocational Education and Training Act 1996</w:t>
      </w:r>
      <w:bookmarkEnd w:id="255"/>
    </w:p>
    <w:p>
      <w:pPr>
        <w:pStyle w:val="Subsection"/>
        <w:spacing w:before="180"/>
      </w:pPr>
      <w:r>
        <w:tab/>
        <w:t>(1)</w:t>
      </w:r>
      <w:r>
        <w:tab/>
        <w:t xml:space="preserve">An appeal to the Commission made under the </w:t>
      </w:r>
      <w:r>
        <w:rPr>
          <w:i/>
          <w:iCs/>
        </w:rPr>
        <w:t>Vocational Education and Training Act 1996</w:t>
      </w:r>
      <w:r>
        <w:t xml:space="preserve"> section 60F(8) or 60G(4) or under regulations made under section 60(f)(ii) of that Act may be commenced by lodging in the office of the Registrar a notice of appeal in the approved form.</w:t>
      </w:r>
    </w:p>
    <w:p>
      <w:pPr>
        <w:pStyle w:val="Subsection"/>
        <w:spacing w:before="180"/>
      </w:pPr>
      <w:r>
        <w:tab/>
        <w:t>(2)</w:t>
      </w:r>
      <w:r>
        <w:tab/>
        <w:t>The notice of appeal must be lodged within 14 days from the date of the decision against which the appeal is brought or such longer period as the Commission may allow.</w:t>
      </w:r>
    </w:p>
    <w:p>
      <w:pPr>
        <w:pStyle w:val="Subsection"/>
        <w:spacing w:before="180"/>
      </w:pPr>
      <w:r>
        <w:tab/>
        <w:t>(3A)</w:t>
      </w:r>
      <w:r>
        <w:tab/>
        <w:t xml:space="preserve">The Registrar is to — </w:t>
      </w:r>
    </w:p>
    <w:p>
      <w:pPr>
        <w:pStyle w:val="Indenta"/>
      </w:pPr>
      <w:r>
        <w:tab/>
        <w:t>(a)</w:t>
      </w:r>
      <w:r>
        <w:tab/>
        <w:t>serve a copy of the notice of appeal on each of the parties, other than the appellant; and</w:t>
      </w:r>
    </w:p>
    <w:p>
      <w:pPr>
        <w:pStyle w:val="Indenta"/>
      </w:pPr>
      <w:r>
        <w:tab/>
        <w:t>(b)</w:t>
      </w:r>
      <w:r>
        <w:tab/>
        <w:t>forward the notice of appeal to the Chief Commissioner for allocation.</w:t>
      </w:r>
    </w:p>
    <w:p>
      <w:pPr>
        <w:pStyle w:val="Subsection"/>
        <w:spacing w:before="180"/>
      </w:pPr>
      <w:r>
        <w:tab/>
        <w:t>(3B)</w:t>
      </w:r>
      <w:r>
        <w:tab/>
        <w:t>The appeal is not to be listed for hearing until subregulation (3A) has been complied with.</w:t>
      </w:r>
    </w:p>
    <w:p>
      <w:pPr>
        <w:pStyle w:val="Subsection"/>
        <w:spacing w:before="180"/>
      </w:pPr>
      <w:r>
        <w:tab/>
        <w:t>(3C)</w:t>
      </w:r>
      <w:r>
        <w:tab/>
        <w:t>An appeal against a decision does not stay the operation of the decision unless the Commission orders otherwise.</w:t>
      </w:r>
    </w:p>
    <w:p>
      <w:pPr>
        <w:pStyle w:val="Subsection"/>
        <w:keepNext/>
        <w:keepLines/>
        <w:spacing w:before="180"/>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pPr>
      <w:r>
        <w:tab/>
        <w:t>(5)</w:t>
      </w:r>
      <w:r>
        <w:tab/>
        <w:t>On determination of the appeal the Registrar is to notify the parties to the appeal of the Commission’s decision.</w:t>
      </w:r>
    </w:p>
    <w:p>
      <w:pPr>
        <w:pStyle w:val="Footnotesection"/>
      </w:pPr>
      <w:r>
        <w:tab/>
        <w:t>[Regulation 101 amended: Gazette 16 Jun 2009 p. 2189</w:t>
      </w:r>
      <w:r>
        <w:noBreakHyphen/>
        <w:t>90; 5 Mar 2019 p. 612 and 622</w:t>
      </w:r>
      <w:r>
        <w:noBreakHyphen/>
        <w:t>5.]</w:t>
      </w:r>
    </w:p>
    <w:p>
      <w:pPr>
        <w:pStyle w:val="Heading5"/>
      </w:pPr>
      <w:bookmarkStart w:id="256" w:name="_Toc11744567"/>
      <w:r>
        <w:rPr>
          <w:rStyle w:val="CharSectno"/>
        </w:rPr>
        <w:t>102A</w:t>
      </w:r>
      <w:r>
        <w:t>.</w:t>
      </w:r>
      <w:r>
        <w:tab/>
        <w:t>Review of decisions of Construction Industry Long Service Leave Payments Board</w:t>
      </w:r>
      <w:bookmarkEnd w:id="256"/>
    </w:p>
    <w:p>
      <w:pPr>
        <w:pStyle w:val="Subsection"/>
      </w:pPr>
      <w:r>
        <w:tab/>
        <w:t>(1)</w:t>
      </w:r>
      <w:r>
        <w:tab/>
        <w:t xml:space="preserve">In this regulation — </w:t>
      </w:r>
    </w:p>
    <w:p>
      <w:pPr>
        <w:pStyle w:val="Defstart"/>
      </w:pPr>
      <w:r>
        <w:tab/>
      </w:r>
      <w:r>
        <w:rPr>
          <w:rStyle w:val="CharDefText"/>
        </w:rPr>
        <w:t>Board</w:t>
      </w:r>
      <w:r>
        <w:t xml:space="preserve"> has the meaning given in the </w:t>
      </w:r>
      <w:r>
        <w:rPr>
          <w:i/>
        </w:rPr>
        <w:t>Construction Industry Portable Paid Long Service Leave Act 1985</w:t>
      </w:r>
      <w:r>
        <w:t xml:space="preserve"> section 3(1);</w:t>
      </w:r>
    </w:p>
    <w:p>
      <w:pPr>
        <w:pStyle w:val="Defstart"/>
      </w:pPr>
      <w:r>
        <w:tab/>
      </w:r>
      <w:r>
        <w:rPr>
          <w:rStyle w:val="CharDefText"/>
        </w:rPr>
        <w:t>reviewable decision</w:t>
      </w:r>
      <w:r>
        <w:t xml:space="preserve"> has the meaning given in the </w:t>
      </w:r>
      <w:r>
        <w:rPr>
          <w:i/>
        </w:rPr>
        <w:t>Construction Industry Portable Paid Long Service Leave Act 1985</w:t>
      </w:r>
      <w:r>
        <w:t xml:space="preserve"> section 50(1).</w:t>
      </w:r>
    </w:p>
    <w:p>
      <w:pPr>
        <w:pStyle w:val="Subsection"/>
      </w:pPr>
      <w:r>
        <w:tab/>
        <w:t>(2)</w:t>
      </w:r>
      <w:r>
        <w:tab/>
        <w:t xml:space="preserve">A reviewable decision may be referred for review to the Commission under the </w:t>
      </w:r>
      <w:r>
        <w:rPr>
          <w:i/>
        </w:rPr>
        <w:t>Construction Industry Portable Paid Long Service Leave Act 1985</w:t>
      </w:r>
      <w:r>
        <w:t xml:space="preserve"> section 50 by lodging, within 21 days from the date of that decision, a notice of referral in the approved form.</w:t>
      </w:r>
    </w:p>
    <w:p>
      <w:pPr>
        <w:pStyle w:val="Subsection"/>
      </w:pPr>
      <w:r>
        <w:tab/>
        <w:t>(3)</w:t>
      </w:r>
      <w:r>
        <w:tab/>
        <w:t xml:space="preserve">After a notice of referral is lodged under subregulation (2), the Registrar must serve a copy of the notice on — </w:t>
      </w:r>
    </w:p>
    <w:p>
      <w:pPr>
        <w:pStyle w:val="Indenta"/>
      </w:pPr>
      <w:r>
        <w:tab/>
        <w:t>(a)</w:t>
      </w:r>
      <w:r>
        <w:tab/>
        <w:t>the chief executive officer of the Board; and</w:t>
      </w:r>
    </w:p>
    <w:p>
      <w:pPr>
        <w:pStyle w:val="Indenta"/>
      </w:pPr>
      <w:r>
        <w:tab/>
        <w:t>(b)</w:t>
      </w:r>
      <w:r>
        <w:tab/>
        <w:t>each other person who was a party to the proceedings before the Board.</w:t>
      </w:r>
    </w:p>
    <w:p>
      <w:pPr>
        <w:pStyle w:val="Subsection"/>
      </w:pPr>
      <w:r>
        <w:tab/>
        <w:t>(4)</w:t>
      </w:r>
      <w:r>
        <w:tab/>
        <w:t>Unless in a particular case the Chief Commissioner otherwise directs, the Registrar is to present a notice of referral to the Chief Commissioner for allocation of the matter as soon as practicable after the notice is lodged.</w:t>
      </w:r>
    </w:p>
    <w:p>
      <w:pPr>
        <w:pStyle w:val="Subsection"/>
      </w:pPr>
      <w:r>
        <w:tab/>
        <w:t>(5)</w:t>
      </w:r>
      <w:r>
        <w:tab/>
        <w:t>Subject to subregulation (6), the filing of a notice of referral lodged under subregulation (2) stays the operation of the reviewable decision concerned pending the determination of the review of that decision.</w:t>
      </w:r>
    </w:p>
    <w:p>
      <w:pPr>
        <w:pStyle w:val="Subsection"/>
      </w:pPr>
      <w:r>
        <w:tab/>
        <w:t>(6)</w:t>
      </w:r>
      <w:r>
        <w:tab/>
        <w:t>On application by any person referred to in subregulation (3)(b), the Commission may, subject to such conditions as it may determine, direct that a reviewable decision that is referred for review continues to operate according to its tenor pending the determination of the review.</w:t>
      </w:r>
    </w:p>
    <w:p>
      <w:pPr>
        <w:pStyle w:val="Subsection"/>
      </w:pPr>
      <w:r>
        <w:tab/>
        <w:t>(7)</w:t>
      </w:r>
      <w:r>
        <w:tab/>
        <w:t xml:space="preserve">After an application is lodged under subregulation (6), the Registrar must serve a copy of the application on — </w:t>
      </w:r>
    </w:p>
    <w:p>
      <w:pPr>
        <w:pStyle w:val="Indenta"/>
      </w:pPr>
      <w:r>
        <w:tab/>
        <w:t>(a)</w:t>
      </w:r>
      <w:r>
        <w:tab/>
        <w:t>the chief executive officer of the Board; and</w:t>
      </w:r>
    </w:p>
    <w:p>
      <w:pPr>
        <w:pStyle w:val="Indenta"/>
      </w:pPr>
      <w:r>
        <w:tab/>
        <w:t>(b)</w:t>
      </w:r>
      <w:r>
        <w:tab/>
        <w:t>each other person who was a party to the proceedings before the Board.</w:t>
      </w:r>
    </w:p>
    <w:p>
      <w:pPr>
        <w:pStyle w:val="Footnotesection"/>
      </w:pPr>
      <w:r>
        <w:tab/>
        <w:t>[Regulation 102A inserted: Gazette 16 Mar 2012 p. 1253</w:t>
      </w:r>
      <w:r>
        <w:noBreakHyphen/>
        <w:t>4; amended: Gazette 5 Mar 2019 p. 613 and 622</w:t>
      </w:r>
      <w:r>
        <w:noBreakHyphen/>
        <w:t>5.]</w:t>
      </w:r>
    </w:p>
    <w:p>
      <w:pPr>
        <w:pStyle w:val="Heading3"/>
      </w:pPr>
      <w:bookmarkStart w:id="257" w:name="_Toc5353052"/>
      <w:bookmarkStart w:id="258" w:name="_Toc5353681"/>
      <w:bookmarkStart w:id="259" w:name="_Toc8742746"/>
      <w:bookmarkStart w:id="260" w:name="_Toc11053482"/>
      <w:bookmarkStart w:id="261" w:name="_Toc11744568"/>
      <w:r>
        <w:rPr>
          <w:rStyle w:val="CharDivNo"/>
        </w:rPr>
        <w:t>Division 2</w:t>
      </w:r>
      <w:r>
        <w:t> — </w:t>
      </w:r>
      <w:r>
        <w:rPr>
          <w:rStyle w:val="CharDivText"/>
        </w:rPr>
        <w:t>Appeals to Full Bench</w:t>
      </w:r>
      <w:bookmarkEnd w:id="257"/>
      <w:bookmarkEnd w:id="258"/>
      <w:bookmarkEnd w:id="259"/>
      <w:bookmarkEnd w:id="260"/>
      <w:bookmarkEnd w:id="261"/>
    </w:p>
    <w:p>
      <w:pPr>
        <w:pStyle w:val="Heading5"/>
        <w:rPr>
          <w:snapToGrid w:val="0"/>
        </w:rPr>
      </w:pPr>
      <w:bookmarkStart w:id="262" w:name="_Toc11744569"/>
      <w:r>
        <w:rPr>
          <w:rStyle w:val="CharSectno"/>
        </w:rPr>
        <w:t>102</w:t>
      </w:r>
      <w:r>
        <w:t>.</w:t>
      </w:r>
      <w:r>
        <w:tab/>
      </w:r>
      <w:r>
        <w:rPr>
          <w:snapToGrid w:val="0"/>
        </w:rPr>
        <w:t>Appeals to Full Bench</w:t>
      </w:r>
      <w:bookmarkEnd w:id="262"/>
    </w:p>
    <w:p>
      <w:pPr>
        <w:pStyle w:val="Subsection"/>
        <w:rPr>
          <w:snapToGrid w:val="0"/>
        </w:rPr>
      </w:pPr>
      <w:r>
        <w:rPr>
          <w:snapToGrid w:val="0"/>
        </w:rPr>
        <w:tab/>
        <w:t>(1)</w:t>
      </w:r>
      <w:r>
        <w:rPr>
          <w:snapToGrid w:val="0"/>
        </w:rPr>
        <w:tab/>
        <w:t xml:space="preserve">An appeal to the Full Bench from a decision of the Commission may be commenced by filing a notice of appeal in the </w:t>
      </w:r>
      <w:r>
        <w:t>approved form.</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pPr>
      <w:r>
        <w:tab/>
        <w:t>(5)</w:t>
      </w:r>
      <w:r>
        <w:tab/>
        <w:t>After the notice of appeal is filed, the Registrar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 xml:space="preserve">On application made by any person who has a sufficient interest the </w:t>
      </w:r>
      <w:r>
        <w:t>presiding commissioner</w:t>
      </w:r>
      <w:r>
        <w:rPr>
          <w:snapToGrid w:val="0"/>
        </w:rPr>
        <w:t xml:space="preserve"> may, subject to such conditions as the </w:t>
      </w:r>
      <w:r>
        <w:t>presiding commissioner</w:t>
      </w:r>
      <w:r>
        <w:rPr>
          <w:snapToGrid w:val="0"/>
        </w:rPr>
        <w:t xml:space="preserve">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 xml:space="preserve">be in the form of a notice of application in the approved form; and </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 xml:space="preserve">Before returning the stamped copies of the application for an order staying the operation of a decision the </w:t>
      </w:r>
      <w:r>
        <w:t>presiding commissioner</w:t>
      </w:r>
      <w:r>
        <w:rPr>
          <w:snapToGrid w:val="0"/>
        </w:rPr>
        <w:t xml:space="preserve"> is to endorse the same with the date of hearing and any necessary directions.</w:t>
      </w:r>
    </w:p>
    <w:p>
      <w:pPr>
        <w:pStyle w:val="Subsection"/>
      </w:pPr>
      <w:r>
        <w:tab/>
        <w:t>(9)</w:t>
      </w:r>
      <w:r>
        <w:tab/>
        <w:t>After an application is made under subregulation (6), the Registrar must serve a copy of the application on each person referred to in subregulation (5).</w:t>
      </w:r>
    </w:p>
    <w:p>
      <w:pPr>
        <w:pStyle w:val="Subsection"/>
      </w:pPr>
      <w:r>
        <w:tab/>
        <w:t>(10)</w:t>
      </w:r>
      <w:r>
        <w:tab/>
        <w:t xml:space="preserve">Within 14 days of filing a notice of appeal, the appellant must — </w:t>
      </w:r>
    </w:p>
    <w:p>
      <w:pPr>
        <w:pStyle w:val="Indenta"/>
      </w:pPr>
      <w:r>
        <w:tab/>
        <w:t>(a)</w:t>
      </w:r>
      <w:r>
        <w:tab/>
        <w:t>lodge 3 copies of an appeal book prepared and bound in an approved form; and</w:t>
      </w:r>
    </w:p>
    <w:p>
      <w:pPr>
        <w:pStyle w:val="Indenta"/>
      </w:pPr>
      <w:r>
        <w:tab/>
        <w:t>(b)</w:t>
      </w:r>
      <w:r>
        <w:tab/>
        <w:t>serve a copy of the appeal book on each person referred to in subregulation (5).</w:t>
      </w:r>
    </w:p>
    <w:p>
      <w:pPr>
        <w:pStyle w:val="Subsection"/>
      </w:pPr>
      <w:r>
        <w:tab/>
        <w:t>(10A)</w:t>
      </w:r>
      <w:r>
        <w:tab/>
        <w:t>If a decision of the Commission that is the subject of an appeal was made in respect of proceedings that were formally joined and matters that were heard and determined together, the appellant may lodge and serve under subregulation (10) the required copies of 1 appeal book that contains the documents required under subregulation (11A) for all of those matters.</w:t>
      </w:r>
    </w:p>
    <w:p>
      <w:pPr>
        <w:pStyle w:val="Subsection"/>
        <w:keepNext/>
      </w:pPr>
      <w:r>
        <w:tab/>
        <w:t>(11A)</w:t>
      </w:r>
      <w:r>
        <w:tab/>
        <w:t xml:space="preserve">Unless in a particular case the presiding commissioner directs otherwise, each appeal book must contain the following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response or counter</w:t>
      </w:r>
      <w:r>
        <w:noBreakHyphen/>
        <w:t>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(e)</w:t>
      </w:r>
      <w:r>
        <w:tab/>
        <w:t>any written submissions, or outline of submissions, provided to the Commission;</w:t>
      </w:r>
    </w:p>
    <w:p>
      <w:pPr>
        <w:pStyle w:val="Indenta"/>
      </w:pPr>
      <w:r>
        <w:tab/>
        <w:t>(f)</w:t>
      </w:r>
      <w:r>
        <w:tab/>
        <w:t>a copy of the decision that is the subject of the appeal and the Commission’s reasons for that decision;</w:t>
      </w:r>
    </w:p>
    <w:p>
      <w:pPr>
        <w:pStyle w:val="Indenta"/>
      </w:pPr>
      <w:r>
        <w:tab/>
        <w:t>(g)</w:t>
      </w:r>
      <w:r>
        <w:tab/>
        <w:t>a list of the page numbers of the transcript of the proceedings at which reference is made to the subject matter of the appeal;</w:t>
      </w:r>
    </w:p>
    <w:p>
      <w:pPr>
        <w:pStyle w:val="Indenta"/>
      </w:pPr>
      <w:r>
        <w:tab/>
        <w:t>(h)</w:t>
      </w:r>
      <w:r>
        <w:tab/>
        <w:t>a copy of all relevant exhibits tendered during the proceedings;</w:t>
      </w:r>
    </w:p>
    <w:p>
      <w:pPr>
        <w:pStyle w:val="Indenta"/>
      </w:pPr>
      <w:r>
        <w:tab/>
        <w:t>(i)</w:t>
      </w:r>
      <w:r>
        <w:tab/>
        <w:t>a copy of any other document which will be required by the Full Bench to determine the appeal, including any further particulars of the claim or response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Subsection"/>
      </w:pPr>
      <w:r>
        <w:tab/>
        <w:t>(12)</w:t>
      </w:r>
      <w:r>
        <w:tab/>
        <w:t>If a person who was a party to the proceedings before the Commission proposes to argue at the hearing of the appeal that the decision of the Commission should be upheld on grounds other than those relied on by the Commission in that decision, the person must, within 14 days after service of a copy of the appeal book, file a notice of contention in the approved form that sets out those other grounds.</w:t>
      </w:r>
    </w:p>
    <w:p>
      <w:pPr>
        <w:pStyle w:val="Subsection"/>
        <w:rPr>
          <w:snapToGrid w:val="0"/>
        </w:rPr>
      </w:pPr>
      <w:r>
        <w:rPr>
          <w:snapToGrid w:val="0"/>
        </w:rPr>
        <w:tab/>
        <w:t>(13)</w:t>
      </w:r>
      <w:r>
        <w:rPr>
          <w:snapToGrid w:val="0"/>
        </w:rPr>
        <w:tab/>
        <w:t xml:space="preserve">The provisions of these regulations relating to appeals to the Full Bench from a decision of the Commission apply, so far as is practicable and with such modifications to forms as are necessary, to and in relation to appeals to the Full Bench from a decision of an </w:t>
      </w:r>
      <w:r>
        <w:t>industrial magistrates court.</w:t>
      </w:r>
    </w:p>
    <w:p>
      <w:pPr>
        <w:pStyle w:val="Footnotesection"/>
        <w:spacing w:before="80"/>
        <w:ind w:left="890" w:hanging="890"/>
      </w:pPr>
      <w:r>
        <w:tab/>
        <w:t>[Regulation 102 amended: Gazette 22 Jan 2008 p. 193; 10 Jul 2009 p. 2740; 19 Dec 2018 p. 4840; 5 Mar 2019 p. 613</w:t>
      </w:r>
      <w:r>
        <w:noBreakHyphen/>
        <w:t>14, 619</w:t>
      </w:r>
      <w:r>
        <w:noBreakHyphen/>
        <w:t>20 and 622</w:t>
      </w:r>
      <w:r>
        <w:noBreakHyphen/>
        <w:t>5.]</w:t>
      </w:r>
    </w:p>
    <w:p>
      <w:pPr>
        <w:pStyle w:val="Heading5"/>
        <w:rPr>
          <w:snapToGrid w:val="0"/>
        </w:rPr>
      </w:pPr>
      <w:bookmarkStart w:id="263" w:name="_Toc11744570"/>
      <w:r>
        <w:rPr>
          <w:rStyle w:val="CharSectno"/>
        </w:rPr>
        <w:t>103</w:t>
      </w:r>
      <w:r>
        <w:t>.</w:t>
      </w:r>
      <w:r>
        <w:tab/>
      </w:r>
      <w:r>
        <w:rPr>
          <w:snapToGrid w:val="0"/>
        </w:rPr>
        <w:t>Procedure for listing matters before Full Bench</w:t>
      </w:r>
      <w:bookmarkEnd w:id="263"/>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 xml:space="preserve">The Registrar, </w:t>
      </w:r>
      <w:r>
        <w:t>after serving</w:t>
      </w:r>
      <w:r>
        <w:rPr>
          <w:snapToGrid w:val="0"/>
        </w:rPr>
        <w:t xml:space="preserve"> the notice of appeal on the parties required to be served, and after satisfying himself or herself and certifying that </w:t>
      </w:r>
      <w:r>
        <w:t xml:space="preserve">regulation 102(10)(b), (11A) and (11) </w:t>
      </w:r>
      <w:r>
        <w:rPr>
          <w:snapToGrid w:val="0"/>
        </w:rPr>
        <w:t xml:space="preserve">have been complied with, is to transmit the file and all relevant documents as required by the </w:t>
      </w:r>
      <w:r>
        <w:t>Chief Commissioner to the Chief Commissioner.</w:t>
      </w:r>
    </w:p>
    <w:p>
      <w:pPr>
        <w:pStyle w:val="Ednotesubsection"/>
      </w:pPr>
      <w:r>
        <w:tab/>
        <w:t>[(3), (4)</w:t>
      </w:r>
      <w:r>
        <w:tab/>
        <w:t>deleted]</w:t>
      </w:r>
    </w:p>
    <w:p>
      <w:pPr>
        <w:pStyle w:val="Subsection"/>
        <w:rPr>
          <w:snapToGrid w:val="0"/>
        </w:rPr>
      </w:pPr>
      <w:r>
        <w:rPr>
          <w:snapToGrid w:val="0"/>
        </w:rPr>
        <w:tab/>
        <w:t>(5)</w:t>
      </w:r>
      <w:r>
        <w:rPr>
          <w:snapToGrid w:val="0"/>
        </w:rPr>
        <w:tab/>
        <w:t xml:space="preserve">Despite subregulation (2), the Registrar may forward the file and documents to the </w:t>
      </w:r>
      <w:r>
        <w:t>Chief Commissioner</w:t>
      </w:r>
      <w:r>
        <w:rPr>
          <w:snapToGrid w:val="0"/>
        </w:rPr>
        <w:t xml:space="preserve"> for listing where any time limit imposed by the Act or regulation 102 has not been complied with, and an application to extend time for such compliance has been filed and served.</w:t>
      </w:r>
    </w:p>
    <w:p>
      <w:pPr>
        <w:pStyle w:val="Subsection"/>
      </w:pPr>
      <w:r>
        <w:tab/>
        <w:t>(6)</w:t>
      </w:r>
      <w:r>
        <w:tab/>
        <w:t>The Chief Commissioner is to assign commissioners to the Full Bench, and the presiding commissioner is to list the appeal for hearing.</w:t>
      </w:r>
    </w:p>
    <w:p>
      <w:pPr>
        <w:pStyle w:val="Ednotesubsection"/>
      </w:pPr>
      <w:r>
        <w:tab/>
        <w:t>[(7)</w:t>
      </w:r>
      <w:r>
        <w:tab/>
        <w:t>deleted]</w:t>
      </w:r>
    </w:p>
    <w:p>
      <w:pPr>
        <w:pStyle w:val="Subsection"/>
        <w:rPr>
          <w:snapToGrid w:val="0"/>
        </w:rPr>
      </w:pPr>
      <w:r>
        <w:rPr>
          <w:snapToGrid w:val="0"/>
        </w:rPr>
        <w:tab/>
        <w:t>(8)</w:t>
      </w:r>
      <w:r>
        <w:rPr>
          <w:snapToGrid w:val="0"/>
        </w:rPr>
        <w:tab/>
        <w:t xml:space="preserve">The </w:t>
      </w:r>
      <w:r>
        <w:t>presiding commissioner</w:t>
      </w:r>
      <w:r>
        <w:rPr>
          <w:snapToGrid w:val="0"/>
        </w:rPr>
        <w:t xml:space="preserve"> is to cause the parties to be notified of the date of hearing in the </w:t>
      </w:r>
      <w:r>
        <w:t>approved form.</w:t>
      </w:r>
    </w:p>
    <w:p>
      <w:pPr>
        <w:pStyle w:val="Subsection"/>
        <w:rPr>
          <w:snapToGrid w:val="0"/>
        </w:rPr>
      </w:pPr>
      <w:r>
        <w:rPr>
          <w:snapToGrid w:val="0"/>
        </w:rPr>
        <w:tab/>
        <w:t>(9)</w:t>
      </w:r>
      <w:r>
        <w:rPr>
          <w:snapToGrid w:val="0"/>
        </w:rPr>
        <w:tab/>
        <w:t xml:space="preserve">After any such appeal is listed for hearing, a party may upon an application to the Full Bench in the </w:t>
      </w:r>
      <w:r>
        <w:t>approved form</w:t>
      </w:r>
      <w:r>
        <w:rPr>
          <w:snapToGrid w:val="0"/>
        </w:rPr>
        <w:t xml:space="preserve"> and these regulations apply to expedite the hearing of the appeal.</w:t>
      </w:r>
    </w:p>
    <w:p>
      <w:pPr>
        <w:pStyle w:val="Footnotesection"/>
      </w:pPr>
      <w:r>
        <w:tab/>
        <w:t>[Regulation 103 amended: Gazette 28 Apr 2006 p. 1652; 10 Jul 2009 p. 2741; 19 Dec 2018 p. 4840</w:t>
      </w:r>
      <w:r>
        <w:noBreakHyphen/>
        <w:t>1; 5 Mar 2019 p. 615 and 622</w:t>
      </w:r>
      <w:r>
        <w:noBreakHyphen/>
        <w:t>5.]</w:t>
      </w:r>
    </w:p>
    <w:p>
      <w:pPr>
        <w:pStyle w:val="Heading5"/>
      </w:pPr>
      <w:bookmarkStart w:id="264" w:name="_Toc11744571"/>
      <w:r>
        <w:rPr>
          <w:rStyle w:val="CharSectno"/>
        </w:rPr>
        <w:t>103A</w:t>
      </w:r>
      <w:r>
        <w:t>.</w:t>
      </w:r>
      <w:r>
        <w:tab/>
        <w:t>Discontinuance of appeal to Full Bench</w:t>
      </w:r>
      <w:bookmarkEnd w:id="264"/>
    </w:p>
    <w:p>
      <w:pPr>
        <w:pStyle w:val="Subsection"/>
      </w:pPr>
      <w:r>
        <w:tab/>
        <w:t>(1)</w:t>
      </w:r>
      <w:r>
        <w:tab/>
        <w:t>An appeal to the Full Bench cannot be discontinued other than under an order of the Full Bench.</w:t>
      </w:r>
    </w:p>
    <w:p>
      <w:pPr>
        <w:pStyle w:val="Subsection"/>
      </w:pPr>
      <w:r>
        <w:tab/>
        <w:t>(2)</w:t>
      </w:r>
      <w:r>
        <w:tab/>
        <w:t>The appellant in an appeal from a decision of the Commission may at any time apply to the Full Bench for an order discontinuing the appeal by lodging an application in the approved form.</w:t>
      </w:r>
    </w:p>
    <w:p>
      <w:pPr>
        <w:pStyle w:val="Subsection"/>
      </w:pPr>
      <w:r>
        <w:tab/>
        <w:t>(3)</w:t>
      </w:r>
      <w:r>
        <w:tab/>
        <w:t>The Registrar must serve a copy of the application on each person who was a party to the proceedings before the Commission, or on the agent or solicitor who represented that party.</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Gazette 22 Jan 2008 p. 193-4; amended: Gazette 5 Mar 2019 p. 615.]</w:t>
      </w:r>
    </w:p>
    <w:p>
      <w:pPr>
        <w:pStyle w:val="Ednotesection"/>
      </w:pPr>
      <w:r>
        <w:t>[</w:t>
      </w:r>
      <w:r>
        <w:rPr>
          <w:b/>
        </w:rPr>
        <w:t>104.</w:t>
      </w:r>
      <w:r>
        <w:tab/>
        <w:t>Deleted: Gazette 19 Dec 2018 p. 4841.]</w:t>
      </w:r>
    </w:p>
    <w:p>
      <w:pPr>
        <w:pStyle w:val="Heading2"/>
      </w:pPr>
      <w:bookmarkStart w:id="265" w:name="_Toc5353056"/>
      <w:bookmarkStart w:id="266" w:name="_Toc5353685"/>
      <w:bookmarkStart w:id="267" w:name="_Toc8742750"/>
      <w:bookmarkStart w:id="268" w:name="_Toc11053486"/>
      <w:bookmarkStart w:id="269" w:name="_Toc11744572"/>
      <w:r>
        <w:rPr>
          <w:rStyle w:val="CharPartNo"/>
        </w:rPr>
        <w:t>Part 12</w:t>
      </w:r>
      <w:r>
        <w:rPr>
          <w:rStyle w:val="CharDivNo"/>
        </w:rPr>
        <w:t> </w:t>
      </w:r>
      <w:r>
        <w:t>—</w:t>
      </w:r>
      <w:r>
        <w:rPr>
          <w:rStyle w:val="CharDivText"/>
        </w:rPr>
        <w:t> </w:t>
      </w:r>
      <w:r>
        <w:rPr>
          <w:rStyle w:val="CharPartText"/>
        </w:rPr>
        <w:t>Public service arbitration</w:t>
      </w:r>
      <w:bookmarkEnd w:id="265"/>
      <w:bookmarkEnd w:id="266"/>
      <w:bookmarkEnd w:id="267"/>
      <w:bookmarkEnd w:id="268"/>
      <w:bookmarkEnd w:id="269"/>
    </w:p>
    <w:p>
      <w:pPr>
        <w:pStyle w:val="Heading5"/>
        <w:rPr>
          <w:snapToGrid w:val="0"/>
        </w:rPr>
      </w:pPr>
      <w:bookmarkStart w:id="270" w:name="_Toc11744573"/>
      <w:r>
        <w:rPr>
          <w:rStyle w:val="CharSectno"/>
        </w:rPr>
        <w:t>105</w:t>
      </w:r>
      <w:r>
        <w:t>.</w:t>
      </w:r>
      <w:r>
        <w:tab/>
      </w:r>
      <w:r>
        <w:rPr>
          <w:snapToGrid w:val="0"/>
        </w:rPr>
        <w:t>Terms used</w:t>
      </w:r>
      <w:bookmarkEnd w:id="270"/>
    </w:p>
    <w:p>
      <w:pPr>
        <w:pStyle w:val="Subsection"/>
        <w:rPr>
          <w:snapToGrid w:val="0"/>
        </w:rPr>
      </w:pPr>
      <w:r>
        <w:rPr>
          <w:snapToGrid w:val="0"/>
        </w:rPr>
        <w:tab/>
      </w:r>
      <w:r>
        <w:rPr>
          <w:snapToGrid w:val="0"/>
        </w:rPr>
        <w:tab/>
        <w:t xml:space="preserve">In this Part, unless the contrary intention appears, </w:t>
      </w:r>
      <w:r>
        <w:rPr>
          <w:rStyle w:val="CharDefText"/>
        </w:rPr>
        <w:t>Arbitrator</w:t>
      </w:r>
      <w:r>
        <w:rPr>
          <w:snapToGrid w:val="0"/>
        </w:rPr>
        <w:t xml:space="preserve">, </w:t>
      </w:r>
      <w:r>
        <w:rPr>
          <w:rStyle w:val="CharDefText"/>
        </w:rPr>
        <w:t>Board</w:t>
      </w:r>
      <w:r>
        <w:rPr>
          <w:snapToGrid w:val="0"/>
        </w:rPr>
        <w:t xml:space="preserve">, </w:t>
      </w:r>
      <w:r>
        <w:rPr>
          <w:rStyle w:val="CharDefText"/>
        </w:rPr>
        <w:t>employer</w:t>
      </w:r>
      <w:r>
        <w:rPr>
          <w:snapToGrid w:val="0"/>
        </w:rPr>
        <w:t xml:space="preserve"> and </w:t>
      </w:r>
      <w:r>
        <w:rPr>
          <w:rStyle w:val="CharDefText"/>
        </w:rPr>
        <w:t>government officer</w:t>
      </w:r>
      <w:r>
        <w:rPr>
          <w:snapToGrid w:val="0"/>
        </w:rPr>
        <w:t xml:space="preserve"> have the meanings given to those terms in Part IIA Division 2 of the Act.</w:t>
      </w:r>
    </w:p>
    <w:p>
      <w:pPr>
        <w:pStyle w:val="Heading5"/>
        <w:rPr>
          <w:snapToGrid w:val="0"/>
        </w:rPr>
      </w:pPr>
      <w:bookmarkStart w:id="271" w:name="_Toc11744574"/>
      <w:r>
        <w:rPr>
          <w:rStyle w:val="CharSectno"/>
        </w:rPr>
        <w:t>106</w:t>
      </w:r>
      <w:r>
        <w:t>.</w:t>
      </w:r>
      <w:r>
        <w:tab/>
        <w:t>Reclassification applications</w:t>
      </w:r>
      <w:bookmarkEnd w:id="271"/>
    </w:p>
    <w:p>
      <w:pPr>
        <w:pStyle w:val="Subsection"/>
        <w:rPr>
          <w:snapToGrid w:val="0"/>
        </w:rPr>
      </w:pPr>
      <w:r>
        <w:rPr>
          <w:snapToGrid w:val="0"/>
        </w:rPr>
        <w:tab/>
        <w:t>(1)</w:t>
      </w:r>
      <w:r>
        <w:rPr>
          <w:snapToGrid w:val="0"/>
        </w:rPr>
        <w:tab/>
        <w:t xml:space="preserve">An application in respect of a claim under section 80E(2)(a) and (b) of the Act may be commenced by filing </w:t>
      </w:r>
      <w:r>
        <w:t>an application in the approved form.</w:t>
      </w:r>
    </w:p>
    <w:p>
      <w:pPr>
        <w:pStyle w:val="Subsection"/>
      </w:pPr>
      <w:r>
        <w:tab/>
        <w:t>(2)</w:t>
      </w:r>
      <w:r>
        <w:tab/>
        <w:t>The application must clearly and concisely set out the grounds of the application and must be signed by the applicant or the applicant’s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pPr>
      <w:r>
        <w:tab/>
        <w:t>(4)</w:t>
      </w:r>
      <w:r>
        <w:tab/>
        <w:t>The Registrar must serve a copy of the application on the applicant’s employer.</w:t>
      </w:r>
    </w:p>
    <w:p>
      <w:pPr>
        <w:pStyle w:val="Subsection"/>
      </w:pPr>
      <w:r>
        <w:tab/>
        <w:t>(5)</w:t>
      </w:r>
      <w:r>
        <w:tab/>
        <w:t>The applicant may apply to the Registrar for a date of hearing.</w:t>
      </w:r>
    </w:p>
    <w:p>
      <w:pPr>
        <w:pStyle w:val="Subsection"/>
        <w:rPr>
          <w:snapToGrid w:val="0"/>
        </w:rPr>
      </w:pPr>
      <w:r>
        <w:rPr>
          <w:snapToGrid w:val="0"/>
        </w:rPr>
        <w:tab/>
        <w:t>(6)</w:t>
      </w:r>
      <w:r>
        <w:rPr>
          <w:snapToGrid w:val="0"/>
        </w:rPr>
        <w:tab/>
        <w:t xml:space="preserve">An </w:t>
      </w:r>
      <w:r>
        <w:t>applicant</w:t>
      </w:r>
      <w:r>
        <w:rPr>
          <w:snapToGrid w:val="0"/>
        </w:rPr>
        <w:t xml:space="preserve"> must lodge in the office of the Registrar a written resume of the evidence the </w:t>
      </w:r>
      <w:r>
        <w:t>applicant</w:t>
      </w:r>
      <w:r>
        <w:rPr>
          <w:snapToGrid w:val="0"/>
        </w:rPr>
        <w:t xml:space="preserve"> intends to adduce in support of the </w:t>
      </w:r>
      <w:r>
        <w:t>application</w:t>
      </w:r>
      <w:r>
        <w:rPr>
          <w:snapToGrid w:val="0"/>
        </w:rPr>
        <w:t xml:space="preserve"> at least 3 working days before the date fixed for hearing the </w:t>
      </w:r>
      <w:r>
        <w:t>application.</w:t>
      </w:r>
    </w:p>
    <w:p>
      <w:pPr>
        <w:pStyle w:val="Footnotesection"/>
      </w:pPr>
      <w:r>
        <w:tab/>
        <w:t>[Regulation 106 amended: Gazette 5 Mar 2019 p. 615</w:t>
      </w:r>
      <w:r>
        <w:noBreakHyphen/>
        <w:t>16.]</w:t>
      </w:r>
    </w:p>
    <w:p>
      <w:pPr>
        <w:pStyle w:val="Heading5"/>
        <w:keepNext w:val="0"/>
        <w:keepLines w:val="0"/>
        <w:rPr>
          <w:snapToGrid w:val="0"/>
        </w:rPr>
      </w:pPr>
      <w:bookmarkStart w:id="272" w:name="_Toc11744575"/>
      <w:r>
        <w:rPr>
          <w:rStyle w:val="CharSectno"/>
        </w:rPr>
        <w:t>107</w:t>
      </w:r>
      <w:r>
        <w:t>.</w:t>
      </w:r>
      <w:r>
        <w:tab/>
      </w:r>
      <w:r>
        <w:rPr>
          <w:snapToGrid w:val="0"/>
        </w:rPr>
        <w:t>Public Service Appeal Board</w:t>
      </w:r>
      <w:bookmarkEnd w:id="272"/>
    </w:p>
    <w:p>
      <w:pPr>
        <w:pStyle w:val="Subsection"/>
        <w:rPr>
          <w:snapToGrid w:val="0"/>
        </w:rPr>
      </w:pPr>
      <w:r>
        <w:rPr>
          <w:snapToGrid w:val="0"/>
        </w:rPr>
        <w:tab/>
        <w:t>(1)</w:t>
      </w:r>
      <w:r>
        <w:rPr>
          <w:snapToGrid w:val="0"/>
        </w:rPr>
        <w:tab/>
        <w:t xml:space="preserve">An appeal to the Board under section 80I(1) of the Act may be commenced by filing a notice of appeal in the </w:t>
      </w:r>
      <w:r>
        <w:t>approved form</w:t>
      </w:r>
      <w:r>
        <w:rPr>
          <w:snapToGrid w:val="0"/>
        </w:rPr>
        <w:t xml:space="preserve"> </w:t>
      </w:r>
      <w:r>
        <w:t>that has attached to it a schedule that includes such particulars as are approved by the Chief Commissioner from time to time.</w:t>
      </w:r>
    </w:p>
    <w:p>
      <w:pPr>
        <w:pStyle w:val="Subsection"/>
        <w:spacing w:before="100"/>
        <w:rPr>
          <w:snapToGrid w:val="0"/>
        </w:rPr>
      </w:pPr>
      <w:r>
        <w:rPr>
          <w:snapToGrid w:val="0"/>
        </w:rPr>
        <w:tab/>
        <w:t>(2)</w:t>
      </w:r>
      <w:r>
        <w:rPr>
          <w:snapToGrid w:val="0"/>
        </w:rPr>
        <w:tab/>
        <w:t xml:space="preserve">An appeal may be commenced within 21 days after the date of the decision, </w:t>
      </w:r>
      <w:r>
        <w:t xml:space="preserve">finding, </w:t>
      </w:r>
      <w:r>
        <w:rPr>
          <w:snapToGrid w:val="0"/>
        </w:rPr>
        <w:t xml:space="preserve">determination or recommendation in respect of which the appeal is made or where that decision, </w:t>
      </w:r>
      <w:r>
        <w:t xml:space="preserve">finding, </w:t>
      </w:r>
      <w:r>
        <w:rPr>
          <w:snapToGrid w:val="0"/>
        </w:rPr>
        <w:t xml:space="preserve">determination or recommendation is published in the </w:t>
      </w:r>
      <w:r>
        <w:rPr>
          <w:i/>
          <w:snapToGrid w:val="0"/>
        </w:rPr>
        <w:t>Government Gazette</w:t>
      </w:r>
      <w:r>
        <w:rPr>
          <w:snapToGrid w:val="0"/>
        </w:rPr>
        <w:t xml:space="preserve"> within one month of the date of that publication.</w:t>
      </w:r>
    </w:p>
    <w:p>
      <w:pPr>
        <w:pStyle w:val="Subsection"/>
      </w:pPr>
      <w:r>
        <w:tab/>
        <w:t>(3)</w:t>
      </w:r>
      <w:r>
        <w:tab/>
        <w:t>The notice of appeal and the attached schedule must be signed by the appellant.</w:t>
      </w:r>
    </w:p>
    <w:p>
      <w:pPr>
        <w:pStyle w:val="Subsection"/>
      </w:pPr>
      <w:r>
        <w:tab/>
        <w:t>(4)</w:t>
      </w:r>
      <w:r>
        <w:tab/>
        <w:t>At the time of filing the notice of appeal the appellant must lodge in the office of the Registrar 3 copies of the notice for use of the Board and one copy for the respondent.</w:t>
      </w:r>
    </w:p>
    <w:p>
      <w:pPr>
        <w:pStyle w:val="Subsection"/>
      </w:pPr>
      <w:r>
        <w:tab/>
        <w:t>(5)</w:t>
      </w:r>
      <w:r>
        <w:tab/>
        <w:t>The Registrar must serve a copy of the notice of appeal on the respondent.</w:t>
      </w:r>
    </w:p>
    <w:p>
      <w:pPr>
        <w:pStyle w:val="Subsection"/>
      </w:pPr>
      <w:r>
        <w:tab/>
        <w:t>(6A)</w:t>
      </w:r>
      <w:r>
        <w:tab/>
        <w:t>A respondent that is served with the notice of appeal and that wants to respond to it may file a response in the approved form within 21 days of being served with the notice of appeal.</w:t>
      </w:r>
    </w:p>
    <w:p>
      <w:pPr>
        <w:pStyle w:val="Subsection"/>
      </w:pPr>
      <w:r>
        <w:tab/>
        <w:t>(6)</w:t>
      </w:r>
      <w:r>
        <w:tab/>
        <w:t>The appellant may request that the appeal be set down for hearing.</w:t>
      </w:r>
    </w:p>
    <w:p>
      <w:pPr>
        <w:pStyle w:val="Subsection"/>
        <w:spacing w:before="100"/>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spacing w:before="100"/>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spacing w:before="100"/>
        <w:rPr>
          <w:snapToGrid w:val="0"/>
        </w:rPr>
      </w:pPr>
      <w:r>
        <w:rPr>
          <w:snapToGrid w:val="0"/>
        </w:rPr>
        <w:tab/>
        <w:t>(9)</w:t>
      </w:r>
      <w:r>
        <w:rPr>
          <w:snapToGrid w:val="0"/>
        </w:rPr>
        <w:tab/>
        <w:t xml:space="preserve">An appeal cannot be heard by the Board unless the appellant supplies the Board at least 4 days prior to the hearing with 3 copies of a statement in writing of the facts on which the appellant </w:t>
      </w:r>
      <w:r>
        <w:t>relies.</w:t>
      </w:r>
    </w:p>
    <w:p>
      <w:pPr>
        <w:pStyle w:val="Subsection"/>
        <w:keepNext/>
      </w:pPr>
      <w:r>
        <w:tab/>
        <w:t>(10)</w:t>
      </w:r>
      <w:r>
        <w:tab/>
        <w:t>The Registrar must serve a copy of the statement on the other party to the appeal or the party’s representative.</w:t>
      </w:r>
    </w:p>
    <w:p>
      <w:pPr>
        <w:pStyle w:val="Footnotesection"/>
      </w:pPr>
      <w:r>
        <w:tab/>
        <w:t>[Regulation 107 amended: Gazette 21 Aug 2015 p. 3343; 5 Mar 2019 p. 616</w:t>
      </w:r>
      <w:r>
        <w:noBreakHyphen/>
        <w:t>17, 619</w:t>
      </w:r>
      <w:r>
        <w:noBreakHyphen/>
        <w:t>20 and 622</w:t>
      </w:r>
      <w:r>
        <w:noBreakHyphen/>
        <w:t>5.]</w:t>
      </w:r>
    </w:p>
    <w:p>
      <w:pPr>
        <w:pStyle w:val="Heading5"/>
        <w:spacing w:before="160"/>
        <w:rPr>
          <w:snapToGrid w:val="0"/>
        </w:rPr>
      </w:pPr>
      <w:bookmarkStart w:id="273" w:name="_Toc11744576"/>
      <w:r>
        <w:rPr>
          <w:rStyle w:val="CharSectno"/>
        </w:rPr>
        <w:t>108</w:t>
      </w:r>
      <w:r>
        <w:t>.</w:t>
      </w:r>
      <w:r>
        <w:tab/>
        <w:t>Nomination of agent for claim under s. 80E(2)</w:t>
      </w:r>
      <w:bookmarkEnd w:id="273"/>
    </w:p>
    <w:p>
      <w:pPr>
        <w:pStyle w:val="Subsection"/>
        <w:spacing w:before="100"/>
        <w:rPr>
          <w:snapToGrid w:val="0"/>
        </w:rPr>
      </w:pPr>
      <w:r>
        <w:rPr>
          <w:snapToGrid w:val="0"/>
        </w:rPr>
        <w:tab/>
      </w:r>
      <w:r>
        <w:rPr>
          <w:snapToGrid w:val="0"/>
        </w:rPr>
        <w:tab/>
        <w:t xml:space="preserve">Where an </w:t>
      </w:r>
      <w:r>
        <w:t>applicant in the application nominates a person to act as the applicant’s</w:t>
      </w:r>
      <w:r>
        <w:rPr>
          <w:snapToGrid w:val="0"/>
        </w:rPr>
        <w:t xml:space="preserve">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Footnotesection"/>
      </w:pPr>
      <w:r>
        <w:tab/>
        <w:t>[Regulation 108 amended: Gazette 5 Mar 2019 p. 617.]</w:t>
      </w:r>
    </w:p>
    <w:p>
      <w:pPr>
        <w:pStyle w:val="Heading2"/>
      </w:pPr>
      <w:bookmarkStart w:id="274" w:name="_Toc5353061"/>
      <w:bookmarkStart w:id="275" w:name="_Toc5353690"/>
      <w:bookmarkStart w:id="276" w:name="_Toc8742755"/>
      <w:bookmarkStart w:id="277" w:name="_Toc11053491"/>
      <w:bookmarkStart w:id="278" w:name="_Toc11744577"/>
      <w:r>
        <w:rPr>
          <w:rStyle w:val="CharPartNo"/>
        </w:rPr>
        <w:t>Part 13</w:t>
      </w:r>
      <w:r>
        <w:rPr>
          <w:rStyle w:val="CharDivNo"/>
        </w:rPr>
        <w:t> </w:t>
      </w:r>
      <w:r>
        <w:t>—</w:t>
      </w:r>
      <w:r>
        <w:rPr>
          <w:rStyle w:val="CharDivText"/>
        </w:rPr>
        <w:t> </w:t>
      </w:r>
      <w:r>
        <w:rPr>
          <w:rStyle w:val="CharPartText"/>
        </w:rPr>
        <w:t>Railways Classification Board</w:t>
      </w:r>
      <w:bookmarkEnd w:id="274"/>
      <w:bookmarkEnd w:id="275"/>
      <w:bookmarkEnd w:id="276"/>
      <w:bookmarkEnd w:id="277"/>
      <w:bookmarkEnd w:id="278"/>
    </w:p>
    <w:p>
      <w:pPr>
        <w:pStyle w:val="Heading5"/>
        <w:rPr>
          <w:snapToGrid w:val="0"/>
        </w:rPr>
      </w:pPr>
      <w:bookmarkStart w:id="279" w:name="_Toc11744578"/>
      <w:r>
        <w:rPr>
          <w:rStyle w:val="CharSectno"/>
        </w:rPr>
        <w:t>109</w:t>
      </w:r>
      <w:r>
        <w:t>.</w:t>
      </w:r>
      <w:r>
        <w:tab/>
      </w:r>
      <w:r>
        <w:rPr>
          <w:snapToGrid w:val="0"/>
        </w:rPr>
        <w:t>Terms used</w:t>
      </w:r>
      <w:bookmarkEnd w:id="279"/>
    </w:p>
    <w:p>
      <w:pPr>
        <w:pStyle w:val="Subsection"/>
        <w:rPr>
          <w:snapToGrid w:val="0"/>
        </w:rPr>
      </w:pPr>
      <w:r>
        <w:rPr>
          <w:snapToGrid w:val="0"/>
        </w:rPr>
        <w:tab/>
      </w:r>
      <w:r>
        <w:rPr>
          <w:snapToGrid w:val="0"/>
        </w:rPr>
        <w:tab/>
        <w:t xml:space="preserve">In this Part, unless the contrary intention appears, </w:t>
      </w:r>
      <w:r>
        <w:rPr>
          <w:rStyle w:val="CharDefText"/>
        </w:rPr>
        <w:t>Board</w:t>
      </w:r>
      <w:r>
        <w:rPr>
          <w:snapToGrid w:val="0"/>
        </w:rPr>
        <w:t xml:space="preserve">, </w:t>
      </w:r>
      <w:r>
        <w:rPr>
          <w:rStyle w:val="CharDefText"/>
        </w:rPr>
        <w:t>Public Transport Authority</w:t>
      </w:r>
      <w:r>
        <w:rPr>
          <w:bCs/>
          <w:snapToGrid w:val="0"/>
        </w:rPr>
        <w:t xml:space="preserve">, </w:t>
      </w:r>
      <w:r>
        <w:rPr>
          <w:rStyle w:val="CharDefText"/>
        </w:rPr>
        <w:t>railway officer</w:t>
      </w:r>
      <w:r>
        <w:rPr>
          <w:bCs/>
          <w:snapToGrid w:val="0"/>
        </w:rPr>
        <w:t xml:space="preserve"> and</w:t>
      </w:r>
      <w:r>
        <w:rPr>
          <w:snapToGrid w:val="0"/>
        </w:rPr>
        <w:t xml:space="preserve"> </w:t>
      </w:r>
      <w:r>
        <w:rPr>
          <w:rStyle w:val="CharDefText"/>
        </w:rPr>
        <w:t>salaried position</w:t>
      </w:r>
      <w:r>
        <w:rPr>
          <w:bCs/>
          <w:snapToGrid w:val="0"/>
        </w:rPr>
        <w:t xml:space="preserve"> </w:t>
      </w:r>
      <w:r>
        <w:rPr>
          <w:snapToGrid w:val="0"/>
        </w:rPr>
        <w:t>have the meanings given to those terms in Part IIA Division 3 of the Act.</w:t>
      </w:r>
    </w:p>
    <w:p>
      <w:pPr>
        <w:pStyle w:val="Heading5"/>
        <w:rPr>
          <w:snapToGrid w:val="0"/>
        </w:rPr>
      </w:pPr>
      <w:bookmarkStart w:id="280" w:name="_Toc11744579"/>
      <w:r>
        <w:rPr>
          <w:rStyle w:val="CharSectno"/>
        </w:rPr>
        <w:t>110</w:t>
      </w:r>
      <w:r>
        <w:t>.</w:t>
      </w:r>
      <w:r>
        <w:tab/>
      </w:r>
      <w:r>
        <w:rPr>
          <w:snapToGrid w:val="0"/>
        </w:rPr>
        <w:t>Number of copies of documents for Board</w:t>
      </w:r>
      <w:bookmarkEnd w:id="280"/>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281" w:name="_Toc11744580"/>
      <w:r>
        <w:rPr>
          <w:rStyle w:val="CharSectno"/>
        </w:rPr>
        <w:t>111</w:t>
      </w:r>
      <w:r>
        <w:t>.</w:t>
      </w:r>
      <w:r>
        <w:tab/>
      </w:r>
      <w:r>
        <w:rPr>
          <w:snapToGrid w:val="0"/>
        </w:rPr>
        <w:t>Classification appeals</w:t>
      </w:r>
      <w:bookmarkEnd w:id="281"/>
    </w:p>
    <w:p>
      <w:pPr>
        <w:pStyle w:val="Subsection"/>
        <w:rPr>
          <w:snapToGrid w:val="0"/>
        </w:rPr>
      </w:pPr>
      <w:r>
        <w:rPr>
          <w:snapToGrid w:val="0"/>
        </w:rPr>
        <w:tab/>
        <w:t>(1)</w:t>
      </w:r>
      <w:r>
        <w:rPr>
          <w:snapToGrid w:val="0"/>
        </w:rPr>
        <w:tab/>
        <w:t xml:space="preserve">An application in respect of a matter referred to in section 80R(2) of the Act may be commenced by notice of appeal in the </w:t>
      </w:r>
      <w:r>
        <w:t>approved form.</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pPr>
      <w:r>
        <w:tab/>
        <w:t>(4)</w:t>
      </w:r>
      <w:r>
        <w:tab/>
        <w:t>The Registrar must serve a copy of the notice of appeal on the Public Transport Authority.</w:t>
      </w:r>
    </w:p>
    <w:p>
      <w:pPr>
        <w:pStyle w:val="Subsection"/>
      </w:pPr>
      <w:r>
        <w:tab/>
        <w:t>(5)</w:t>
      </w:r>
      <w:r>
        <w:tab/>
        <w:t>The appellant may apply to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Footnotesection"/>
      </w:pPr>
      <w:r>
        <w:tab/>
        <w:t>[Regulation 111 amended: Gazette 5 Mar 2019 p. 618 and 622</w:t>
      </w:r>
      <w:r>
        <w:noBreakHyphen/>
        <w:t>5.]</w:t>
      </w:r>
    </w:p>
    <w:p>
      <w:pPr>
        <w:pStyle w:val="Heading5"/>
        <w:rPr>
          <w:snapToGrid w:val="0"/>
        </w:rPr>
      </w:pPr>
      <w:bookmarkStart w:id="282" w:name="_Toc11744581"/>
      <w:r>
        <w:rPr>
          <w:rStyle w:val="CharSectno"/>
        </w:rPr>
        <w:t>112</w:t>
      </w:r>
      <w:r>
        <w:t>.</w:t>
      </w:r>
      <w:r>
        <w:tab/>
      </w:r>
      <w:r>
        <w:rPr>
          <w:snapToGrid w:val="0"/>
        </w:rPr>
        <w:t>Nomination of agent for appeal of claim under section 80R(2)</w:t>
      </w:r>
      <w:bookmarkEnd w:id="282"/>
    </w:p>
    <w:p>
      <w:pPr>
        <w:pStyle w:val="Subsection"/>
        <w:spacing w:before="12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283" w:name="_Toc11744582"/>
      <w:r>
        <w:rPr>
          <w:rStyle w:val="CharSectno"/>
        </w:rPr>
        <w:t>113</w:t>
      </w:r>
      <w:r>
        <w:t>.</w:t>
      </w:r>
      <w:r>
        <w:tab/>
      </w:r>
      <w:r>
        <w:rPr>
          <w:snapToGrid w:val="0"/>
        </w:rPr>
        <w:t>Conferences</w:t>
      </w:r>
      <w:bookmarkEnd w:id="283"/>
    </w:p>
    <w:p>
      <w:pPr>
        <w:pStyle w:val="Subsection"/>
        <w:spacing w:before="120"/>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284" w:name="_Toc11744583"/>
      <w:r>
        <w:rPr>
          <w:rStyle w:val="CharSectno"/>
        </w:rPr>
        <w:t>114</w:t>
      </w:r>
      <w:r>
        <w:t>.</w:t>
      </w:r>
      <w:r>
        <w:tab/>
      </w:r>
      <w:r>
        <w:rPr>
          <w:snapToGrid w:val="0"/>
        </w:rPr>
        <w:t>Chambers</w:t>
      </w:r>
      <w:bookmarkEnd w:id="284"/>
    </w:p>
    <w:p>
      <w:pPr>
        <w:pStyle w:val="Subsection"/>
        <w:spacing w:before="120"/>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285" w:name="_Toc11744584"/>
      <w:r>
        <w:rPr>
          <w:rStyle w:val="CharSectno"/>
        </w:rPr>
        <w:t>115</w:t>
      </w:r>
      <w:r>
        <w:t>.</w:t>
      </w:r>
      <w:r>
        <w:tab/>
      </w:r>
      <w:r>
        <w:rPr>
          <w:snapToGrid w:val="0"/>
        </w:rPr>
        <w:t>Service on Public Transport Authority</w:t>
      </w:r>
      <w:bookmarkEnd w:id="285"/>
    </w:p>
    <w:p>
      <w:pPr>
        <w:pStyle w:val="Subsection"/>
        <w:spacing w:before="120"/>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286" w:name="_Toc11744585"/>
      <w:r>
        <w:rPr>
          <w:rStyle w:val="CharSectno"/>
        </w:rPr>
        <w:t>116</w:t>
      </w:r>
      <w:r>
        <w:t>.</w:t>
      </w:r>
      <w:r>
        <w:tab/>
      </w:r>
      <w:r>
        <w:rPr>
          <w:snapToGrid w:val="0"/>
        </w:rPr>
        <w:t>Directions</w:t>
      </w:r>
      <w:bookmarkEnd w:id="286"/>
    </w:p>
    <w:p>
      <w:pPr>
        <w:pStyle w:val="Subsection"/>
        <w:spacing w:before="120"/>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287" w:name="_Toc5353070"/>
      <w:bookmarkStart w:id="288" w:name="_Toc5353699"/>
      <w:bookmarkStart w:id="289" w:name="_Toc8742764"/>
      <w:bookmarkStart w:id="290" w:name="_Toc11053500"/>
      <w:bookmarkStart w:id="291" w:name="_Toc11744586"/>
      <w:r>
        <w:rPr>
          <w:rStyle w:val="CharPartNo"/>
        </w:rPr>
        <w:t>Part 14</w:t>
      </w:r>
      <w:r>
        <w:rPr>
          <w:rStyle w:val="CharDivNo"/>
        </w:rPr>
        <w:t> </w:t>
      </w:r>
      <w:r>
        <w:t>—</w:t>
      </w:r>
      <w:r>
        <w:rPr>
          <w:rStyle w:val="CharDivText"/>
        </w:rPr>
        <w:t> </w:t>
      </w:r>
      <w:r>
        <w:rPr>
          <w:rStyle w:val="CharPartText"/>
        </w:rPr>
        <w:t>Miscellaneous</w:t>
      </w:r>
      <w:bookmarkEnd w:id="287"/>
      <w:bookmarkEnd w:id="288"/>
      <w:bookmarkEnd w:id="289"/>
      <w:bookmarkEnd w:id="290"/>
      <w:bookmarkEnd w:id="291"/>
    </w:p>
    <w:p>
      <w:pPr>
        <w:pStyle w:val="Heading5"/>
        <w:rPr>
          <w:snapToGrid w:val="0"/>
        </w:rPr>
      </w:pPr>
      <w:bookmarkStart w:id="292" w:name="_Toc11744587"/>
      <w:r>
        <w:rPr>
          <w:rStyle w:val="CharSectno"/>
        </w:rPr>
        <w:t>117</w:t>
      </w:r>
      <w:r>
        <w:t>.</w:t>
      </w:r>
      <w:r>
        <w:tab/>
      </w:r>
      <w:r>
        <w:rPr>
          <w:snapToGrid w:val="0"/>
        </w:rPr>
        <w:t>Nomination of employees’ representative</w:t>
      </w:r>
      <w:bookmarkEnd w:id="292"/>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293" w:name="_Toc11744588"/>
      <w:r>
        <w:rPr>
          <w:rStyle w:val="CharSectno"/>
        </w:rPr>
        <w:t>118</w:t>
      </w:r>
      <w:r>
        <w:t>.</w:t>
      </w:r>
      <w:r>
        <w:tab/>
      </w:r>
      <w:r>
        <w:rPr>
          <w:snapToGrid w:val="0"/>
        </w:rPr>
        <w:t>Appeals from Boards of Reference</w:t>
      </w:r>
      <w:bookmarkEnd w:id="293"/>
    </w:p>
    <w:p>
      <w:pPr>
        <w:pStyle w:val="Subsection"/>
      </w:pPr>
      <w:r>
        <w:tab/>
        <w:t>(1)</w:t>
      </w:r>
      <w:r>
        <w:tab/>
        <w:t>An appeal from a decision of a Board of Reference must be in the approved form and, as soon as practicable after the appeal is filed, the Registrar must serve a copy of it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 xml:space="preserve">After being filed, an application under subregulation (3) must be served </w:t>
      </w:r>
      <w:r>
        <w:t>by the Registrar</w:t>
      </w:r>
      <w:r>
        <w:rPr>
          <w:snapToGrid w:val="0"/>
        </w:rPr>
        <w:t xml:space="preserve"> as soon as practicable on each other person referred to in subregulation (1) but before effecting service the </w:t>
      </w:r>
      <w:r>
        <w:t>Registrar</w:t>
      </w:r>
      <w:r>
        <w:rPr>
          <w:snapToGrid w:val="0"/>
        </w:rPr>
        <w:t xml:space="preserve"> must ascertain the date of hearing and endorse it on the notice of application.</w:t>
      </w:r>
    </w:p>
    <w:p>
      <w:pPr>
        <w:pStyle w:val="Footnotesection"/>
      </w:pPr>
      <w:r>
        <w:tab/>
        <w:t>[Regulation 118 amended: Gazette 5 Mar 2019 p. 618.]</w:t>
      </w:r>
    </w:p>
    <w:p>
      <w:pPr>
        <w:pStyle w:val="Heading5"/>
        <w:rPr>
          <w:snapToGrid w:val="0"/>
        </w:rPr>
      </w:pPr>
      <w:bookmarkStart w:id="294" w:name="_Toc11744589"/>
      <w:r>
        <w:rPr>
          <w:rStyle w:val="CharSectno"/>
        </w:rPr>
        <w:t>119</w:t>
      </w:r>
      <w:r>
        <w:t>.</w:t>
      </w:r>
      <w:r>
        <w:tab/>
      </w:r>
      <w:r>
        <w:rPr>
          <w:snapToGrid w:val="0"/>
        </w:rPr>
        <w:t>Notice of certain orders</w:t>
      </w:r>
      <w:bookmarkEnd w:id="294"/>
    </w:p>
    <w:p>
      <w:pPr>
        <w:pStyle w:val="Subsection"/>
        <w:rPr>
          <w:snapToGrid w:val="0"/>
        </w:rPr>
      </w:pPr>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295" w:name="_Toc11744590"/>
      <w:r>
        <w:rPr>
          <w:rStyle w:val="CharSectno"/>
        </w:rPr>
        <w:t>120</w:t>
      </w:r>
      <w:r>
        <w:t>.</w:t>
      </w:r>
      <w:r>
        <w:tab/>
      </w:r>
      <w:r>
        <w:rPr>
          <w:snapToGrid w:val="0"/>
        </w:rPr>
        <w:t>Remuneration and reimbursement of expenses for members of constituent authorities</w:t>
      </w:r>
      <w:bookmarkEnd w:id="295"/>
    </w:p>
    <w:p>
      <w:pPr>
        <w:pStyle w:val="Subsection"/>
      </w:pPr>
      <w:r>
        <w:tab/>
        <w:t>(1)</w:t>
      </w:r>
      <w:r>
        <w:tab/>
        <w:t>Subject to this regulation, a member of a constituent authority is entitled to be paid such remuneration as the Chief Commissioner from time to time determines.</w:t>
      </w:r>
    </w:p>
    <w:p>
      <w:pPr>
        <w:pStyle w:val="Subsection"/>
      </w:pPr>
      <w:r>
        <w:tab/>
        <w:t>(2A)</w:t>
      </w:r>
      <w:r>
        <w:tab/>
        <w:t>The Chief Commissioner is to cause notice of each determination under subregulation (1) to be published in the required manner.</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spacing w:before="200"/>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determined under subregulation (1).</w:t>
      </w:r>
    </w:p>
    <w:p>
      <w:pPr>
        <w:pStyle w:val="Subsection"/>
        <w:spacing w:before="200"/>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spacing w:before="200"/>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spacing w:before="200"/>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w:t>
      </w:r>
      <w:r>
        <w:t>as determined from time to time by the Chief Commissioner.</w:t>
      </w:r>
    </w:p>
    <w:p>
      <w:pPr>
        <w:pStyle w:val="Subsection"/>
        <w:spacing w:before="200"/>
        <w:rPr>
          <w:snapToGrid w:val="0"/>
        </w:rPr>
      </w:pPr>
      <w:r>
        <w:rPr>
          <w:snapToGrid w:val="0"/>
        </w:rPr>
        <w:tab/>
        <w:t>(7)</w:t>
      </w:r>
      <w:r>
        <w:rPr>
          <w:snapToGrid w:val="0"/>
        </w:rPr>
        <w:tab/>
        <w:t>The provisions of this regulation do not apply to a member of a constituent authority who is a Commissioner.</w:t>
      </w:r>
    </w:p>
    <w:p>
      <w:pPr>
        <w:pStyle w:val="Subsection"/>
        <w:keepNext/>
        <w:keepLines/>
        <w:rPr>
          <w:snapToGrid w:val="0"/>
        </w:rPr>
      </w:pPr>
      <w:r>
        <w:rPr>
          <w:snapToGrid w:val="0"/>
        </w:rPr>
        <w:tab/>
        <w:t>(8)</w:t>
      </w:r>
      <w:r>
        <w:rPr>
          <w:snapToGrid w:val="0"/>
        </w:rPr>
        <w:tab/>
        <w:t>In this regulation —</w:t>
      </w:r>
    </w:p>
    <w:p>
      <w:pPr>
        <w:pStyle w:val="Defstart"/>
        <w:keepNext/>
        <w:keepLines/>
      </w:pPr>
      <w:r>
        <w:rPr>
          <w:b/>
        </w:rPr>
        <w:tab/>
      </w:r>
      <w:r>
        <w:rPr>
          <w:rStyle w:val="CharDefText"/>
        </w:rPr>
        <w:t>member of a constituent authority</w:t>
      </w:r>
      <w:r>
        <w:t xml:space="preserve"> includes the member’s deputy when and so often as the deputy acts in the place of that member.</w:t>
      </w:r>
    </w:p>
    <w:p>
      <w:pPr>
        <w:pStyle w:val="Footnotesection"/>
      </w:pPr>
      <w:r>
        <w:tab/>
        <w:t>[Regulation 120 amended: Gazette 31 Oct 2008 p. 4767-8; 5 Mar 2019 p. 618</w:t>
      </w:r>
      <w:r>
        <w:noBreakHyphen/>
        <w:t>19.]</w:t>
      </w:r>
    </w:p>
    <w:p>
      <w:pPr>
        <w:pStyle w:val="Ednotesection"/>
      </w:pPr>
      <w:r>
        <w:t>[</w:t>
      </w:r>
      <w:r>
        <w:rPr>
          <w:b/>
          <w:bCs/>
        </w:rPr>
        <w:t>121.</w:t>
      </w:r>
      <w:r>
        <w:tab/>
        <w:t>Omitted under the Reprints Act 1984 s. 7(4)(f).]</w:t>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96" w:name="_Toc5353075"/>
      <w:bookmarkStart w:id="297" w:name="_Toc5353704"/>
      <w:bookmarkStart w:id="298" w:name="_Toc8742769"/>
      <w:bookmarkStart w:id="299" w:name="_Toc11053505"/>
      <w:bookmarkStart w:id="300" w:name="_Toc11744591"/>
      <w:r>
        <w:rPr>
          <w:rStyle w:val="CharSchNo"/>
        </w:rPr>
        <w:t>Schedule 1</w:t>
      </w:r>
      <w:r>
        <w:t> — </w:t>
      </w:r>
      <w:r>
        <w:rPr>
          <w:rStyle w:val="CharSchText"/>
        </w:rPr>
        <w:t>Forms</w:t>
      </w:r>
      <w:bookmarkEnd w:id="296"/>
      <w:bookmarkEnd w:id="297"/>
      <w:bookmarkEnd w:id="298"/>
      <w:bookmarkEnd w:id="299"/>
      <w:bookmarkEnd w:id="300"/>
    </w:p>
    <w:p>
      <w:pPr>
        <w:pStyle w:val="yShoulderClause"/>
      </w:pPr>
      <w:r>
        <w:t>[r. 3]</w:t>
      </w:r>
    </w:p>
    <w:p>
      <w:pPr>
        <w:pStyle w:val="yFootnoteheading"/>
      </w:pPr>
      <w:r>
        <w:tab/>
        <w:t>[Heading inserted: Gazette 5 Mar 2019 p. 626.]</w:t>
      </w:r>
    </w:p>
    <w:p>
      <w:pPr>
        <w:pStyle w:val="yHeading3"/>
      </w:pPr>
      <w:bookmarkStart w:id="301" w:name="_Toc5353076"/>
      <w:bookmarkStart w:id="302" w:name="_Toc5353705"/>
      <w:bookmarkStart w:id="303" w:name="_Toc8742770"/>
      <w:bookmarkStart w:id="304" w:name="_Toc11053506"/>
      <w:bookmarkStart w:id="305" w:name="_Toc11744592"/>
      <w:r>
        <w:rPr>
          <w:rStyle w:val="CharSDivNo"/>
        </w:rPr>
        <w:t>Division 1</w:t>
      </w:r>
      <w:r>
        <w:rPr>
          <w:b w:val="0"/>
        </w:rPr>
        <w:t> — </w:t>
      </w:r>
      <w:r>
        <w:rPr>
          <w:rStyle w:val="CharSDivText"/>
        </w:rPr>
        <w:t>Summons</w:t>
      </w:r>
      <w:bookmarkEnd w:id="301"/>
      <w:bookmarkEnd w:id="302"/>
      <w:bookmarkEnd w:id="303"/>
      <w:bookmarkEnd w:id="304"/>
      <w:bookmarkEnd w:id="305"/>
    </w:p>
    <w:p>
      <w:pPr>
        <w:pStyle w:val="yShoulderClause"/>
      </w:pPr>
      <w:r>
        <w:t>[r. 41(1), 99(1) and 99E(1)]</w:t>
      </w:r>
    </w:p>
    <w:p>
      <w:pPr>
        <w:pStyle w:val="yFootnoteheading"/>
      </w:pPr>
      <w:r>
        <w:tab/>
        <w:t>[Heading inserted: Gazette 5 Mar 2019 p. 626.]</w:t>
      </w:r>
    </w:p>
    <w:p>
      <w:pPr>
        <w:pStyle w:val="yMiscellaneousHeading"/>
      </w:pPr>
      <w:r>
        <w:rPr>
          <w:i/>
        </w:rPr>
        <w:t>Industrial Relations Act 1979</w:t>
      </w:r>
    </w:p>
    <w:p>
      <w:pPr>
        <w:pStyle w:val="yMiscellaneousHeading"/>
      </w:pPr>
      <w:r>
        <w:rPr>
          <w:i/>
        </w:rPr>
        <w:t>Industrial Relations Commission Regulations 2005</w:t>
      </w:r>
    </w:p>
    <w:p>
      <w:pPr>
        <w:pStyle w:val="yMiscellaneousHeading"/>
        <w:rPr>
          <w:szCs w:val="22"/>
        </w:rPr>
      </w:pPr>
      <w:r>
        <w:rPr>
          <w:b/>
          <w:szCs w:val="22"/>
        </w:rPr>
        <w:t>Summons to give evidence and/or produce documents</w:t>
      </w:r>
    </w:p>
    <w:p>
      <w:pPr>
        <w:pStyle w:val="yMiscellaneousBody"/>
        <w:spacing w:before="0"/>
      </w:pPr>
    </w:p>
    <w:tbl>
      <w:tblPr>
        <w:tblStyle w:val="TableGrid"/>
        <w:tblW w:w="0" w:type="auto"/>
        <w:tblLook w:val="04A0" w:firstRow="1" w:lastRow="0" w:firstColumn="1" w:lastColumn="0" w:noHBand="0" w:noVBand="1"/>
      </w:tblPr>
      <w:tblGrid>
        <w:gridCol w:w="5353"/>
        <w:gridCol w:w="1950"/>
      </w:tblGrid>
      <w:tr>
        <w:tc>
          <w:tcPr>
            <w:tcW w:w="5353" w:type="dxa"/>
            <w:tcBorders>
              <w:top w:val="nil"/>
              <w:left w:val="nil"/>
              <w:bottom w:val="nil"/>
            </w:tcBorders>
          </w:tcPr>
          <w:p>
            <w:pPr>
              <w:pStyle w:val="yTableNAm"/>
              <w:jc w:val="right"/>
              <w:rPr>
                <w:b/>
              </w:rPr>
            </w:pPr>
            <w:r>
              <w:rPr>
                <w:b/>
              </w:rPr>
              <w:t>Application No.</w:t>
            </w:r>
          </w:p>
        </w:tc>
        <w:tc>
          <w:tcPr>
            <w:tcW w:w="1950" w:type="dxa"/>
          </w:tcPr>
          <w:p>
            <w:pPr>
              <w:pStyle w:val="yTableNAm"/>
            </w:pPr>
          </w:p>
        </w:tc>
      </w:tr>
    </w:tbl>
    <w:p>
      <w:pPr>
        <w:pStyle w:val="yMiscellaneousBody"/>
        <w:spacing w:before="0"/>
      </w:pPr>
    </w:p>
    <w:p>
      <w:pPr>
        <w:pStyle w:val="yMiscellaneousBody"/>
        <w:jc w:val="center"/>
      </w:pPr>
      <w:r>
        <w:t>This Summons is issued by the Western Australian Industrial Relations Commission</w:t>
      </w:r>
    </w:p>
    <w:p>
      <w:pPr>
        <w:pStyle w:val="yMiscellaneousBody"/>
        <w:spacing w:before="0"/>
      </w:pPr>
    </w:p>
    <w:p>
      <w:pPr>
        <w:pStyle w:val="yMiscellaneousBody"/>
        <w:rPr>
          <w:b/>
          <w:u w:val="single"/>
        </w:rPr>
      </w:pPr>
      <w:r>
        <w:rPr>
          <w:b/>
          <w:u w:val="single"/>
        </w:rPr>
        <w:t>PARTY DETAILS IN THE MATTER TO WHICH THE SUMMONS RELATES</w:t>
      </w:r>
    </w:p>
    <w:p>
      <w:pPr>
        <w:pStyle w:val="yMiscellaneousBody"/>
        <w:spacing w:before="0"/>
      </w:pPr>
    </w:p>
    <w:tbl>
      <w:tblPr>
        <w:tblStyle w:val="TableGrid"/>
        <w:tblW w:w="6946" w:type="dxa"/>
        <w:tblInd w:w="108" w:type="dxa"/>
        <w:tblLook w:val="04A0" w:firstRow="1" w:lastRow="0" w:firstColumn="1" w:lastColumn="0" w:noHBand="0" w:noVBand="1"/>
      </w:tblPr>
      <w:tblGrid>
        <w:gridCol w:w="3001"/>
        <w:gridCol w:w="3945"/>
      </w:tblGrid>
      <w:tr>
        <w:tc>
          <w:tcPr>
            <w:tcW w:w="3001" w:type="dxa"/>
            <w:tcBorders>
              <w:top w:val="nil"/>
              <w:left w:val="nil"/>
              <w:bottom w:val="nil"/>
              <w:right w:val="single" w:sz="4" w:space="0" w:color="auto"/>
            </w:tcBorders>
          </w:tcPr>
          <w:p>
            <w:pPr>
              <w:pStyle w:val="yTableNAm"/>
              <w:spacing w:before="0"/>
            </w:pPr>
            <w:r>
              <w:rPr>
                <w:b/>
              </w:rPr>
              <w:t>Applicant / Appellant:</w:t>
            </w:r>
          </w:p>
        </w:tc>
        <w:tc>
          <w:tcPr>
            <w:tcW w:w="3945" w:type="dxa"/>
            <w:tcBorders>
              <w:left w:val="single" w:sz="4" w:space="0" w:color="auto"/>
              <w:bottom w:val="single" w:sz="4" w:space="0" w:color="auto"/>
            </w:tcBorders>
          </w:tcPr>
          <w:p>
            <w:pPr>
              <w:pStyle w:val="yTableNAm"/>
              <w:spacing w:before="0"/>
            </w:pPr>
          </w:p>
        </w:tc>
      </w:tr>
      <w:tr>
        <w:tc>
          <w:tcPr>
            <w:tcW w:w="3001" w:type="dxa"/>
            <w:tcBorders>
              <w:top w:val="nil"/>
              <w:left w:val="nil"/>
              <w:bottom w:val="nil"/>
              <w:right w:val="single" w:sz="4" w:space="0" w:color="auto"/>
            </w:tcBorders>
          </w:tcPr>
          <w:p>
            <w:pPr>
              <w:pStyle w:val="yTableNAm"/>
              <w:spacing w:before="0"/>
            </w:pPr>
            <w:r>
              <w:rPr>
                <w:b/>
              </w:rPr>
              <w:t>Respondent / Other Party:</w:t>
            </w:r>
          </w:p>
        </w:tc>
        <w:tc>
          <w:tcPr>
            <w:tcW w:w="3945" w:type="dxa"/>
            <w:tcBorders>
              <w:left w:val="single" w:sz="4" w:space="0" w:color="auto"/>
              <w:bottom w:val="single" w:sz="4" w:space="0" w:color="auto"/>
            </w:tcBorders>
          </w:tcPr>
          <w:p>
            <w:pPr>
              <w:pStyle w:val="yTableNAm"/>
              <w:spacing w:before="0"/>
            </w:pPr>
          </w:p>
        </w:tc>
      </w:tr>
    </w:tbl>
    <w:p>
      <w:pPr>
        <w:pStyle w:val="yMiscellaneousBody"/>
        <w:spacing w:before="0"/>
      </w:pPr>
    </w:p>
    <w:p>
      <w:pPr>
        <w:pStyle w:val="yMiscellaneousBody"/>
        <w:tabs>
          <w:tab w:val="left" w:pos="567"/>
        </w:tabs>
        <w:spacing w:before="80"/>
        <w:ind w:left="454" w:right="397" w:hanging="454"/>
        <w:rPr>
          <w:sz w:val="20"/>
        </w:rPr>
      </w:pPr>
      <w:r>
        <w:rPr>
          <w:sz w:val="20"/>
        </w:rPr>
        <w:sym w:font="Webdings" w:char="F069"/>
      </w:r>
      <w:r>
        <w:rPr>
          <w:sz w:val="20"/>
        </w:rPr>
        <w:tab/>
        <w:t>If there is more than 1 applicant/appellant or respondent/other party, please attach a separate page which contains the names of those parties.</w:t>
      </w:r>
    </w:p>
    <w:p>
      <w:pPr>
        <w:pStyle w:val="yMiscellaneousBody"/>
        <w:spacing w:before="0"/>
      </w:pPr>
    </w:p>
    <w:p>
      <w:pPr>
        <w:pStyle w:val="yMiscellaneousBody"/>
        <w:rPr>
          <w:b/>
          <w:u w:val="single"/>
        </w:rPr>
      </w:pPr>
      <w:r>
        <w:rPr>
          <w:b/>
          <w:u w:val="single"/>
        </w:rPr>
        <w:t>PERSON SUMMONED</w:t>
      </w:r>
    </w:p>
    <w:p>
      <w:pPr>
        <w:pStyle w:val="yMiscellaneousBody"/>
        <w:spacing w:before="0"/>
      </w:pPr>
    </w:p>
    <w:tbl>
      <w:tblPr>
        <w:tblStyle w:val="TableGrid"/>
        <w:tblW w:w="0" w:type="auto"/>
        <w:tblLook w:val="04A0" w:firstRow="1" w:lastRow="0" w:firstColumn="1" w:lastColumn="0" w:noHBand="0" w:noVBand="1"/>
      </w:tblPr>
      <w:tblGrid>
        <w:gridCol w:w="2773"/>
        <w:gridCol w:w="4521"/>
        <w:gridCol w:w="14"/>
      </w:tblGrid>
      <w:tr>
        <w:tc>
          <w:tcPr>
            <w:tcW w:w="2773" w:type="dxa"/>
            <w:tcBorders>
              <w:top w:val="nil"/>
              <w:left w:val="nil"/>
              <w:bottom w:val="nil"/>
              <w:right w:val="single" w:sz="4" w:space="0" w:color="auto"/>
            </w:tcBorders>
          </w:tcPr>
          <w:p>
            <w:pPr>
              <w:pStyle w:val="yTableNAm"/>
              <w:spacing w:before="0"/>
            </w:pPr>
            <w:r>
              <w:rPr>
                <w:b/>
              </w:rPr>
              <w:t>Name:</w:t>
            </w:r>
          </w:p>
        </w:tc>
        <w:tc>
          <w:tcPr>
            <w:tcW w:w="4530" w:type="dxa"/>
            <w:gridSpan w:val="2"/>
            <w:tcBorders>
              <w:left w:val="single" w:sz="4" w:space="0" w:color="auto"/>
            </w:tcBorders>
          </w:tcPr>
          <w:p>
            <w:pPr>
              <w:pStyle w:val="yTableNAm"/>
              <w:spacing w:before="0"/>
            </w:pPr>
          </w:p>
        </w:tc>
      </w:tr>
      <w:tr>
        <w:trPr>
          <w:trHeight w:val="737"/>
        </w:trPr>
        <w:tc>
          <w:tcPr>
            <w:tcW w:w="2773" w:type="dxa"/>
            <w:tcBorders>
              <w:top w:val="nil"/>
              <w:left w:val="nil"/>
              <w:bottom w:val="nil"/>
              <w:right w:val="single" w:sz="4" w:space="0" w:color="auto"/>
            </w:tcBorders>
          </w:tcPr>
          <w:p>
            <w:pPr>
              <w:pStyle w:val="yTableNAm"/>
              <w:spacing w:before="0"/>
            </w:pPr>
            <w:r>
              <w:rPr>
                <w:b/>
              </w:rPr>
              <w:t>Postal address:</w:t>
            </w:r>
          </w:p>
        </w:tc>
        <w:tc>
          <w:tcPr>
            <w:tcW w:w="4530" w:type="dxa"/>
            <w:gridSpan w:val="2"/>
            <w:tcBorders>
              <w:left w:val="single" w:sz="4" w:space="0" w:color="auto"/>
            </w:tcBorders>
          </w:tcPr>
          <w:p>
            <w:pPr>
              <w:pStyle w:val="yTableNAm"/>
              <w:spacing w:before="0"/>
            </w:pPr>
          </w:p>
        </w:tc>
      </w:tr>
      <w:tr>
        <w:tc>
          <w:tcPr>
            <w:tcW w:w="2773" w:type="dxa"/>
            <w:tcBorders>
              <w:top w:val="nil"/>
              <w:left w:val="nil"/>
              <w:bottom w:val="nil"/>
              <w:right w:val="single" w:sz="4" w:space="0" w:color="auto"/>
            </w:tcBorders>
          </w:tcPr>
          <w:p>
            <w:pPr>
              <w:pStyle w:val="yTableNAm"/>
              <w:spacing w:before="0"/>
            </w:pPr>
            <w:r>
              <w:rPr>
                <w:b/>
                <w:szCs w:val="20"/>
              </w:rPr>
              <w:t>Email address:</w:t>
            </w:r>
          </w:p>
        </w:tc>
        <w:tc>
          <w:tcPr>
            <w:tcW w:w="4530" w:type="dxa"/>
            <w:gridSpan w:val="2"/>
            <w:tcBorders>
              <w:left w:val="single" w:sz="4" w:space="0" w:color="auto"/>
            </w:tcBorders>
          </w:tcPr>
          <w:p>
            <w:pPr>
              <w:pStyle w:val="yTableNAm"/>
              <w:spacing w:before="0"/>
            </w:pPr>
          </w:p>
        </w:tc>
      </w:tr>
      <w:tr>
        <w:tc>
          <w:tcPr>
            <w:tcW w:w="2773" w:type="dxa"/>
            <w:tcBorders>
              <w:top w:val="nil"/>
              <w:left w:val="nil"/>
              <w:bottom w:val="nil"/>
              <w:right w:val="single" w:sz="4" w:space="0" w:color="auto"/>
            </w:tcBorders>
          </w:tcPr>
          <w:p>
            <w:pPr>
              <w:pStyle w:val="yTableNAm"/>
              <w:spacing w:before="0"/>
            </w:pPr>
            <w:r>
              <w:rPr>
                <w:b/>
              </w:rPr>
              <w:t>Telephone number:</w:t>
            </w:r>
          </w:p>
        </w:tc>
        <w:tc>
          <w:tcPr>
            <w:tcW w:w="4530" w:type="dxa"/>
            <w:gridSpan w:val="2"/>
            <w:tcBorders>
              <w:left w:val="single" w:sz="4" w:space="0" w:color="auto"/>
            </w:tcBorders>
          </w:tcPr>
          <w:p>
            <w:pPr>
              <w:pStyle w:val="yTableNAm"/>
              <w:spacing w:before="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421"/>
        </w:trPr>
        <w:tc>
          <w:tcPr>
            <w:tcW w:w="7294" w:type="dxa"/>
            <w:gridSpan w:val="2"/>
          </w:tcPr>
          <w:p>
            <w:pPr>
              <w:pStyle w:val="yTableNAm"/>
              <w:spacing w:before="80"/>
            </w:pPr>
          </w:p>
          <w:p>
            <w:pPr>
              <w:pStyle w:val="yMiscellaneousBody"/>
              <w:tabs>
                <w:tab w:val="left" w:pos="567"/>
              </w:tabs>
              <w:spacing w:before="80"/>
              <w:ind w:left="454" w:right="397" w:hanging="454"/>
              <w:rPr>
                <w:szCs w:val="20"/>
              </w:rPr>
            </w:pPr>
            <w:r>
              <w:rPr>
                <w:sz w:val="20"/>
              </w:rPr>
              <w:sym w:font="Webdings" w:char="F069"/>
            </w:r>
            <w:r>
              <w:rPr>
                <w:rFonts w:eastAsia="Times New Roman"/>
                <w:sz w:val="20"/>
                <w:szCs w:val="20"/>
              </w:rPr>
              <w:tab/>
            </w:r>
            <w:r>
              <w:rPr>
                <w:rFonts w:eastAsia="Times New Roman"/>
                <w:sz w:val="20"/>
              </w:rPr>
              <w:t xml:space="preserve">The postal address provided must be a street address.  A </w:t>
            </w:r>
            <w:r>
              <w:rPr>
                <w:rFonts w:eastAsia="Times New Roman"/>
                <w:b/>
                <w:sz w:val="20"/>
              </w:rPr>
              <w:t>PO Box</w:t>
            </w:r>
            <w:r>
              <w:rPr>
                <w:rFonts w:eastAsia="Times New Roman"/>
                <w:sz w:val="20"/>
              </w:rPr>
              <w:t xml:space="preserve"> or </w:t>
            </w:r>
            <w:r>
              <w:rPr>
                <w:rFonts w:eastAsia="Times New Roman"/>
                <w:b/>
                <w:sz w:val="20"/>
              </w:rPr>
              <w:t>Locked Bag</w:t>
            </w:r>
            <w:r>
              <w:rPr>
                <w:rFonts w:eastAsia="Times New Roman"/>
                <w:sz w:val="20"/>
              </w:rPr>
              <w:t xml:space="preserve"> number is </w:t>
            </w:r>
            <w:r>
              <w:rPr>
                <w:rFonts w:eastAsia="Times New Roman"/>
                <w:b/>
                <w:sz w:val="20"/>
              </w:rPr>
              <w:t>not an acceptable postal address</w:t>
            </w:r>
            <w:r>
              <w:rPr>
                <w:rFonts w:eastAsia="Times New Roman"/>
                <w:sz w:val="20"/>
              </w:rPr>
              <w:t xml:space="preserve"> for the purposes of this form.</w:t>
            </w:r>
          </w:p>
        </w:tc>
      </w:tr>
    </w:tbl>
    <w:p>
      <w:pPr>
        <w:pStyle w:val="yMiscellaneousBody"/>
        <w:spacing w:before="0"/>
      </w:pPr>
    </w:p>
    <w:p>
      <w:pPr>
        <w:pStyle w:val="yMiscellaneousBody"/>
        <w:spacing w:before="0"/>
        <w:rPr>
          <w:rFonts w:eastAsiaTheme="minorHAnsi"/>
        </w:rPr>
      </w:pPr>
      <w:r>
        <w:rPr>
          <w:rFonts w:eastAsiaTheme="minorHAnsi"/>
          <w:b/>
        </w:rPr>
        <w:t>Do you believe that the person summoned may need the assistance of an interpreter and/or any special assistance when attending the Commission (such as wheelchair accessibility or a hearing loop)?</w:t>
      </w:r>
    </w:p>
    <w:p>
      <w:pPr>
        <w:pStyle w:val="yMiscellaneousBody"/>
        <w:spacing w:before="0"/>
      </w:pPr>
    </w:p>
    <w:p>
      <w:pPr>
        <w:pStyle w:val="yMiscellaneousBody"/>
        <w:tabs>
          <w:tab w:val="left" w:pos="533"/>
        </w:tabs>
        <w:spacing w:before="0"/>
      </w:pPr>
      <w:r>
        <w:sym w:font="Wingdings" w:char="F06F"/>
      </w:r>
      <w:r>
        <w:rPr>
          <w:sz w:val="48"/>
          <w:szCs w:val="48"/>
        </w:rPr>
        <w:tab/>
      </w:r>
      <w:r>
        <w:t>no</w:t>
      </w:r>
    </w:p>
    <w:p>
      <w:pPr>
        <w:pStyle w:val="yMiscellaneousBody"/>
        <w:tabs>
          <w:tab w:val="left" w:pos="533"/>
        </w:tabs>
        <w:spacing w:before="0"/>
      </w:pPr>
      <w:r>
        <w:sym w:font="Wingdings" w:char="F06F"/>
      </w:r>
      <w:r>
        <w:tab/>
        <w:t>yes — interpreter</w:t>
      </w:r>
    </w:p>
    <w:p>
      <w:pPr>
        <w:pStyle w:val="yMiscellaneousBody"/>
        <w:tabs>
          <w:tab w:val="left" w:pos="533"/>
        </w:tabs>
        <w:spacing w:before="0"/>
      </w:pPr>
      <w:r>
        <w:sym w:font="Wingdings" w:char="F06F"/>
      </w:r>
      <w:r>
        <w:tab/>
        <w:t>yes — special assistance</w:t>
      </w:r>
    </w:p>
    <w:p>
      <w:pPr>
        <w:pStyle w:val="yMiscellaneousBody"/>
        <w:spacing w:before="0"/>
      </w:pPr>
    </w:p>
    <w:p>
      <w:pPr>
        <w:pStyle w:val="yMiscellaneousBody"/>
        <w:spacing w:before="0"/>
      </w:pPr>
      <w:r>
        <w:rPr>
          <w:b/>
          <w:u w:val="single"/>
        </w:rPr>
        <w:t>Note</w:t>
      </w:r>
      <w:r>
        <w:rPr>
          <w:b/>
        </w:rPr>
        <w:t>:</w:t>
      </w:r>
      <w:r>
        <w:t xml:space="preserve">  If you have answered yes to either of the above options (i.e. the possible need for an interpreter and/or special assistance) the Commission will make contact with the person summoned to determine their specific needs prior to the listed proceedings.</w:t>
      </w:r>
    </w:p>
    <w:p>
      <w:pPr>
        <w:pStyle w:val="yMiscellaneousBody"/>
        <w:spacing w:before="0"/>
      </w:pPr>
    </w:p>
    <w:p>
      <w:pPr>
        <w:pStyle w:val="yMiscellaneousBody"/>
        <w:rPr>
          <w:b/>
          <w:u w:val="single"/>
        </w:rPr>
      </w:pPr>
      <w:r>
        <w:rPr>
          <w:b/>
          <w:u w:val="single"/>
        </w:rPr>
        <w:t>THE PERSON SUMMONED IS DIRECTED TO:</w:t>
      </w:r>
    </w:p>
    <w:p>
      <w:pPr>
        <w:pStyle w:val="yMiscellaneousBody"/>
        <w:spacing w:before="0"/>
      </w:pPr>
    </w:p>
    <w:p>
      <w:pPr>
        <w:pStyle w:val="yMiscellaneousBody"/>
        <w:tabs>
          <w:tab w:val="left" w:pos="533"/>
        </w:tabs>
        <w:spacing w:before="0"/>
        <w:ind w:left="533" w:hanging="533"/>
      </w:pPr>
      <w:r>
        <w:sym w:font="Wingdings" w:char="F06F"/>
      </w:r>
      <w:r>
        <w:tab/>
      </w:r>
      <w:r>
        <w:rPr>
          <w:b/>
        </w:rPr>
        <w:t>attend</w:t>
      </w:r>
      <w:r>
        <w:t xml:space="preserve"> before the Commission to give oral evidence at the time and date set out below, and remain until you are excused by the Commission;</w:t>
      </w:r>
    </w:p>
    <w:p>
      <w:pPr>
        <w:pStyle w:val="yMiscellaneousBody"/>
        <w:spacing w:before="0"/>
      </w:pPr>
    </w:p>
    <w:p>
      <w:pPr>
        <w:pStyle w:val="yMiscellaneousBody"/>
        <w:spacing w:before="0"/>
        <w:rPr>
          <w:rFonts w:eastAsiaTheme="minorHAnsi"/>
        </w:rPr>
      </w:pPr>
      <w:r>
        <w:rPr>
          <w:rFonts w:eastAsiaTheme="minorHAnsi"/>
          <w:b/>
        </w:rPr>
        <w:t>and / or</w:t>
      </w:r>
    </w:p>
    <w:p>
      <w:pPr>
        <w:pStyle w:val="yMiscellaneousBody"/>
        <w:spacing w:before="0"/>
      </w:pPr>
    </w:p>
    <w:p>
      <w:pPr>
        <w:pStyle w:val="yMiscellaneousBody"/>
        <w:tabs>
          <w:tab w:val="left" w:pos="533"/>
        </w:tabs>
        <w:spacing w:before="0"/>
        <w:ind w:left="533" w:hanging="533"/>
      </w:pPr>
      <w:r>
        <w:sym w:font="Wingdings" w:char="F06F"/>
      </w:r>
      <w:r>
        <w:tab/>
      </w:r>
      <w:r>
        <w:rPr>
          <w:b/>
        </w:rPr>
        <w:t>produce</w:t>
      </w:r>
      <w:r>
        <w:t xml:space="preserve"> to the Commission all books, papers or other documents in your possession, or under your control, that are relevant to the matter before the Commission, including:</w:t>
      </w:r>
    </w:p>
    <w:p>
      <w:pPr>
        <w:pStyle w:val="yMiscellaneousBody"/>
        <w:spacing w:before="0"/>
      </w:pPr>
    </w:p>
    <w:tbl>
      <w:tblPr>
        <w:tblStyle w:val="TableGrid"/>
        <w:tblW w:w="0" w:type="auto"/>
        <w:tblLook w:val="04A0" w:firstRow="1" w:lastRow="0" w:firstColumn="1" w:lastColumn="0" w:noHBand="0" w:noVBand="1"/>
      </w:tblPr>
      <w:tblGrid>
        <w:gridCol w:w="7303"/>
      </w:tblGrid>
      <w:tr>
        <w:tc>
          <w:tcPr>
            <w:tcW w:w="7303" w:type="dxa"/>
          </w:tcPr>
          <w:p>
            <w:pPr>
              <w:pStyle w:val="yTableNAm"/>
              <w:rPr>
                <w:szCs w:val="20"/>
              </w:rPr>
            </w:pPr>
            <w:r>
              <w:rPr>
                <w:rFonts w:eastAsia="Times New Roman"/>
                <w:sz w:val="20"/>
              </w:rPr>
              <w:t xml:space="preserve">Please set out the books, papers or other documents that you believe are in the possession or under the control of the person summoned.  </w:t>
            </w:r>
            <w:r>
              <w:rPr>
                <w:rFonts w:eastAsia="Times New Roman"/>
                <w:b/>
                <w:sz w:val="20"/>
              </w:rPr>
              <w:t xml:space="preserve">The items set out </w:t>
            </w:r>
            <w:r>
              <w:rPr>
                <w:rFonts w:eastAsia="Times New Roman"/>
                <w:b/>
                <w:sz w:val="20"/>
                <w:u w:val="single"/>
              </w:rPr>
              <w:t>must</w:t>
            </w:r>
            <w:r>
              <w:rPr>
                <w:rFonts w:eastAsia="Times New Roman"/>
                <w:b/>
                <w:sz w:val="20"/>
              </w:rPr>
              <w:t xml:space="preserve"> be relevant to the matter before the Commission</w:t>
            </w:r>
            <w:r>
              <w:rPr>
                <w:rFonts w:eastAsia="Times New Roman"/>
                <w:sz w:val="20"/>
              </w:rPr>
              <w:t>.</w:t>
            </w:r>
          </w:p>
          <w:p>
            <w:pPr>
              <w:pStyle w:val="yTableNAm"/>
              <w:rPr>
                <w:szCs w:val="20"/>
              </w:rPr>
            </w:pPr>
          </w:p>
          <w:p>
            <w:pPr>
              <w:pStyle w:val="yTableNAm"/>
              <w:rPr>
                <w:szCs w:val="20"/>
              </w:rPr>
            </w:pPr>
            <w:r>
              <w:rPr>
                <w:rFonts w:eastAsia="Times New Roman"/>
                <w:sz w:val="20"/>
              </w:rPr>
              <w:t>1.</w:t>
            </w:r>
          </w:p>
          <w:p>
            <w:pPr>
              <w:pStyle w:val="yTableNAm"/>
              <w:rPr>
                <w:szCs w:val="20"/>
              </w:rPr>
            </w:pPr>
          </w:p>
          <w:p>
            <w:pPr>
              <w:pStyle w:val="yTableNAm"/>
              <w:rPr>
                <w:szCs w:val="20"/>
              </w:rPr>
            </w:pPr>
            <w:r>
              <w:rPr>
                <w:rFonts w:eastAsia="Times New Roman"/>
                <w:sz w:val="20"/>
              </w:rPr>
              <w:t>2.</w:t>
            </w:r>
          </w:p>
          <w:p>
            <w:pPr>
              <w:pStyle w:val="yTableNAm"/>
              <w:rPr>
                <w:szCs w:val="20"/>
              </w:rPr>
            </w:pPr>
          </w:p>
          <w:p>
            <w:pPr>
              <w:pStyle w:val="yTableNAm"/>
              <w:rPr>
                <w:szCs w:val="20"/>
              </w:rPr>
            </w:pPr>
            <w:r>
              <w:rPr>
                <w:rFonts w:eastAsia="Times New Roman"/>
                <w:sz w:val="20"/>
              </w:rPr>
              <w:t>3.</w:t>
            </w: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 w:val="20"/>
                <w:szCs w:val="20"/>
              </w:rPr>
            </w:pPr>
          </w:p>
        </w:tc>
      </w:tr>
    </w:tbl>
    <w:p>
      <w:pPr>
        <w:pStyle w:val="yMiscellaneousBody"/>
        <w:spacing w:before="0"/>
      </w:pPr>
    </w:p>
    <w:p>
      <w:pPr>
        <w:pStyle w:val="yMiscellaneousBody"/>
        <w:spacing w:before="0"/>
      </w:pPr>
    </w:p>
    <w:p>
      <w:pPr>
        <w:pStyle w:val="yMiscellaneousBody"/>
        <w:rPr>
          <w:b/>
          <w:u w:val="single"/>
        </w:rPr>
      </w:pPr>
      <w:r>
        <w:rPr>
          <w:b/>
          <w:u w:val="single"/>
        </w:rPr>
        <w:t>DATE, TIME AND ADDRESS OF COMMISSION HEARING</w:t>
      </w:r>
    </w:p>
    <w:p>
      <w:pPr>
        <w:pStyle w:val="yMiscellaneousBody"/>
        <w:spacing w:before="0"/>
      </w:pPr>
    </w:p>
    <w:tbl>
      <w:tblPr>
        <w:tblStyle w:val="TableGrid"/>
        <w:tblW w:w="0" w:type="auto"/>
        <w:tblLook w:val="04A0" w:firstRow="1" w:lastRow="0" w:firstColumn="1" w:lastColumn="0" w:noHBand="0" w:noVBand="1"/>
      </w:tblPr>
      <w:tblGrid>
        <w:gridCol w:w="3369"/>
        <w:gridCol w:w="3934"/>
      </w:tblGrid>
      <w:tr>
        <w:tc>
          <w:tcPr>
            <w:tcW w:w="3369" w:type="dxa"/>
            <w:tcBorders>
              <w:top w:val="nil"/>
              <w:left w:val="nil"/>
              <w:bottom w:val="nil"/>
              <w:right w:val="single" w:sz="4" w:space="0" w:color="auto"/>
            </w:tcBorders>
          </w:tcPr>
          <w:p>
            <w:pPr>
              <w:pStyle w:val="yTableNAm"/>
              <w:spacing w:before="0"/>
            </w:pPr>
            <w:r>
              <w:rPr>
                <w:b/>
              </w:rPr>
              <w:t>Date to attend / produce:</w:t>
            </w:r>
          </w:p>
        </w:tc>
        <w:tc>
          <w:tcPr>
            <w:tcW w:w="3934" w:type="dxa"/>
            <w:tcBorders>
              <w:left w:val="single" w:sz="4" w:space="0" w:color="auto"/>
            </w:tcBorders>
          </w:tcPr>
          <w:p>
            <w:pPr>
              <w:pStyle w:val="yTableNAm"/>
              <w:spacing w:before="0"/>
            </w:pPr>
          </w:p>
        </w:tc>
      </w:tr>
      <w:tr>
        <w:tc>
          <w:tcPr>
            <w:tcW w:w="3369" w:type="dxa"/>
            <w:tcBorders>
              <w:top w:val="nil"/>
              <w:left w:val="nil"/>
              <w:bottom w:val="nil"/>
              <w:right w:val="single" w:sz="4" w:space="0" w:color="auto"/>
            </w:tcBorders>
          </w:tcPr>
          <w:p>
            <w:pPr>
              <w:pStyle w:val="yTableNAm"/>
              <w:spacing w:before="0"/>
            </w:pPr>
            <w:r>
              <w:rPr>
                <w:b/>
              </w:rPr>
              <w:t>Time to attend / produce:</w:t>
            </w:r>
          </w:p>
        </w:tc>
        <w:tc>
          <w:tcPr>
            <w:tcW w:w="3934" w:type="dxa"/>
            <w:tcBorders>
              <w:left w:val="single" w:sz="4" w:space="0" w:color="auto"/>
            </w:tcBorders>
          </w:tcPr>
          <w:p>
            <w:pPr>
              <w:pStyle w:val="yTableNAm"/>
              <w:spacing w:before="0"/>
            </w:pPr>
          </w:p>
        </w:tc>
      </w:tr>
      <w:tr>
        <w:tc>
          <w:tcPr>
            <w:tcW w:w="3369" w:type="dxa"/>
            <w:tcBorders>
              <w:top w:val="nil"/>
              <w:left w:val="nil"/>
              <w:bottom w:val="nil"/>
              <w:right w:val="single" w:sz="4" w:space="0" w:color="auto"/>
            </w:tcBorders>
          </w:tcPr>
          <w:p>
            <w:pPr>
              <w:pStyle w:val="yTableNAm"/>
              <w:spacing w:before="0"/>
            </w:pPr>
            <w:r>
              <w:rPr>
                <w:b/>
              </w:rPr>
              <w:t>Address of hearing:</w:t>
            </w:r>
          </w:p>
        </w:tc>
        <w:tc>
          <w:tcPr>
            <w:tcW w:w="3934" w:type="dxa"/>
            <w:tcBorders>
              <w:left w:val="single" w:sz="4" w:space="0" w:color="auto"/>
            </w:tcBorders>
          </w:tcPr>
          <w:p>
            <w:pPr>
              <w:pStyle w:val="yTableNAm"/>
              <w:spacing w:before="0"/>
            </w:pPr>
          </w:p>
          <w:p>
            <w:pPr>
              <w:pStyle w:val="yTableNAm"/>
              <w:spacing w:before="0"/>
            </w:pPr>
          </w:p>
        </w:tc>
      </w:tr>
    </w:tbl>
    <w:p>
      <w:pPr>
        <w:pStyle w:val="yMiscellaneousBody"/>
        <w:spacing w:before="0"/>
      </w:pPr>
    </w:p>
    <w:p>
      <w:pPr>
        <w:pStyle w:val="yMiscellaneousBody"/>
        <w:spacing w:before="0"/>
      </w:pPr>
    </w:p>
    <w:p>
      <w:pPr>
        <w:pStyle w:val="yMiscellaneousBody"/>
        <w:rPr>
          <w:b/>
          <w:u w:val="single"/>
        </w:rPr>
      </w:pPr>
      <w:r>
        <w:rPr>
          <w:b/>
          <w:u w:val="single"/>
        </w:rPr>
        <w:t>DETAILS OF PERSON ISSUING THIS SUMMONS</w:t>
      </w:r>
    </w:p>
    <w:p>
      <w:pPr>
        <w:pStyle w:val="yMiscellaneousBody"/>
        <w:spacing w:before="0"/>
      </w:pPr>
    </w:p>
    <w:p>
      <w:pPr>
        <w:pStyle w:val="yMiscellaneousBody"/>
        <w:spacing w:before="0"/>
      </w:pPr>
    </w:p>
    <w:tbl>
      <w:tblPr>
        <w:tblStyle w:val="TableGrid"/>
        <w:tblW w:w="0" w:type="auto"/>
        <w:tblLayout w:type="fixed"/>
        <w:tblLook w:val="04A0" w:firstRow="1" w:lastRow="0" w:firstColumn="1" w:lastColumn="0" w:noHBand="0" w:noVBand="1"/>
      </w:tblPr>
      <w:tblGrid>
        <w:gridCol w:w="2155"/>
        <w:gridCol w:w="5210"/>
      </w:tblGrid>
      <w:tr>
        <w:trPr>
          <w:trHeight w:val="794"/>
        </w:trPr>
        <w:tc>
          <w:tcPr>
            <w:tcW w:w="2155" w:type="dxa"/>
            <w:tcBorders>
              <w:top w:val="nil"/>
              <w:left w:val="nil"/>
              <w:bottom w:val="nil"/>
              <w:right w:val="single" w:sz="4" w:space="0" w:color="auto"/>
            </w:tcBorders>
          </w:tcPr>
          <w:p>
            <w:pPr>
              <w:pStyle w:val="yTableNAm"/>
              <w:spacing w:before="0"/>
            </w:pPr>
          </w:p>
        </w:tc>
        <w:tc>
          <w:tcPr>
            <w:tcW w:w="5210" w:type="dxa"/>
            <w:tcBorders>
              <w:left w:val="single" w:sz="4" w:space="0" w:color="auto"/>
            </w:tcBorders>
          </w:tcPr>
          <w:p>
            <w:pPr>
              <w:pStyle w:val="yTableNAm"/>
              <w:spacing w:before="0"/>
            </w:pPr>
            <w:r>
              <w:rPr>
                <w:b/>
                <w:snapToGrid w:val="0"/>
              </w:rPr>
              <w:sym w:font="Wingdings" w:char="F06F"/>
            </w:r>
            <w:r>
              <w:rPr>
                <w:b/>
                <w:szCs w:val="22"/>
              </w:rPr>
              <w:t xml:space="preserve"> Applicant    </w:t>
            </w:r>
            <w:r>
              <w:rPr>
                <w:b/>
                <w:snapToGrid w:val="0"/>
              </w:rPr>
              <w:sym w:font="Wingdings" w:char="F06F"/>
            </w:r>
            <w:r>
              <w:rPr>
                <w:b/>
                <w:szCs w:val="22"/>
              </w:rPr>
              <w:t xml:space="preserve"> Respondent     </w:t>
            </w:r>
            <w:r>
              <w:rPr>
                <w:b/>
                <w:snapToGrid w:val="0"/>
              </w:rPr>
              <w:sym w:font="Wingdings" w:char="F06F"/>
            </w:r>
            <w:r>
              <w:rPr>
                <w:b/>
                <w:szCs w:val="22"/>
              </w:rPr>
              <w:t xml:space="preserve"> Other:</w:t>
            </w:r>
          </w:p>
        </w:tc>
      </w:tr>
      <w:tr>
        <w:trPr>
          <w:trHeight w:val="414"/>
        </w:trPr>
        <w:tc>
          <w:tcPr>
            <w:tcW w:w="2155" w:type="dxa"/>
            <w:tcBorders>
              <w:top w:val="nil"/>
              <w:left w:val="nil"/>
              <w:bottom w:val="nil"/>
              <w:right w:val="single" w:sz="4" w:space="0" w:color="auto"/>
            </w:tcBorders>
          </w:tcPr>
          <w:p>
            <w:pPr>
              <w:pStyle w:val="yTableNAm"/>
              <w:spacing w:before="0"/>
            </w:pPr>
            <w:r>
              <w:rPr>
                <w:b/>
              </w:rPr>
              <w:t>Representative:</w:t>
            </w:r>
          </w:p>
        </w:tc>
        <w:tc>
          <w:tcPr>
            <w:tcW w:w="5210" w:type="dxa"/>
            <w:tcBorders>
              <w:left w:val="single" w:sz="4" w:space="0" w:color="auto"/>
            </w:tcBorders>
          </w:tcPr>
          <w:p>
            <w:pPr>
              <w:pStyle w:val="yTableNAm"/>
              <w:spacing w:before="0"/>
              <w:rPr>
                <w:szCs w:val="22"/>
              </w:rPr>
            </w:pPr>
          </w:p>
        </w:tc>
      </w:tr>
      <w:tr>
        <w:tc>
          <w:tcPr>
            <w:tcW w:w="2155" w:type="dxa"/>
            <w:tcBorders>
              <w:top w:val="nil"/>
              <w:left w:val="nil"/>
              <w:bottom w:val="nil"/>
              <w:right w:val="single" w:sz="4" w:space="0" w:color="auto"/>
            </w:tcBorders>
          </w:tcPr>
          <w:p>
            <w:pPr>
              <w:pStyle w:val="yTableNAm"/>
              <w:spacing w:before="0"/>
            </w:pPr>
            <w:r>
              <w:rPr>
                <w:b/>
              </w:rPr>
              <w:t>Contact person:</w:t>
            </w:r>
          </w:p>
        </w:tc>
        <w:tc>
          <w:tcPr>
            <w:tcW w:w="5210" w:type="dxa"/>
            <w:tcBorders>
              <w:left w:val="single" w:sz="4" w:space="0" w:color="auto"/>
            </w:tcBorders>
          </w:tcPr>
          <w:p>
            <w:pPr>
              <w:pStyle w:val="yTableNAm"/>
              <w:spacing w:before="0"/>
            </w:pPr>
          </w:p>
        </w:tc>
      </w:tr>
      <w:tr>
        <w:trPr>
          <w:trHeight w:val="907"/>
        </w:trPr>
        <w:tc>
          <w:tcPr>
            <w:tcW w:w="2155" w:type="dxa"/>
            <w:tcBorders>
              <w:top w:val="nil"/>
              <w:left w:val="nil"/>
              <w:bottom w:val="nil"/>
              <w:right w:val="single" w:sz="4" w:space="0" w:color="auto"/>
            </w:tcBorders>
          </w:tcPr>
          <w:p>
            <w:pPr>
              <w:pStyle w:val="yTableNAm"/>
              <w:spacing w:before="0"/>
            </w:pPr>
            <w:r>
              <w:rPr>
                <w:b/>
              </w:rPr>
              <w:t>Postal address:</w:t>
            </w:r>
          </w:p>
        </w:tc>
        <w:tc>
          <w:tcPr>
            <w:tcW w:w="5210" w:type="dxa"/>
            <w:tcBorders>
              <w:left w:val="single" w:sz="4" w:space="0" w:color="auto"/>
            </w:tcBorders>
          </w:tcPr>
          <w:p>
            <w:pPr>
              <w:pStyle w:val="yTableNAm"/>
              <w:spacing w:before="0"/>
            </w:pPr>
          </w:p>
        </w:tc>
      </w:tr>
      <w:tr>
        <w:tc>
          <w:tcPr>
            <w:tcW w:w="2155" w:type="dxa"/>
            <w:tcBorders>
              <w:top w:val="nil"/>
              <w:left w:val="nil"/>
              <w:bottom w:val="nil"/>
              <w:right w:val="single" w:sz="4" w:space="0" w:color="auto"/>
            </w:tcBorders>
          </w:tcPr>
          <w:p>
            <w:pPr>
              <w:pStyle w:val="yTableNAm"/>
              <w:spacing w:before="0"/>
            </w:pPr>
            <w:r>
              <w:rPr>
                <w:b/>
              </w:rPr>
              <w:t>Email address:</w:t>
            </w:r>
          </w:p>
        </w:tc>
        <w:tc>
          <w:tcPr>
            <w:tcW w:w="5210" w:type="dxa"/>
            <w:tcBorders>
              <w:left w:val="single" w:sz="4" w:space="0" w:color="auto"/>
            </w:tcBorders>
          </w:tcPr>
          <w:p>
            <w:pPr>
              <w:pStyle w:val="yTableNAm"/>
              <w:spacing w:before="0"/>
            </w:pPr>
          </w:p>
        </w:tc>
      </w:tr>
      <w:tr>
        <w:tc>
          <w:tcPr>
            <w:tcW w:w="2155" w:type="dxa"/>
            <w:tcBorders>
              <w:top w:val="nil"/>
              <w:left w:val="nil"/>
              <w:bottom w:val="nil"/>
              <w:right w:val="single" w:sz="4" w:space="0" w:color="auto"/>
            </w:tcBorders>
          </w:tcPr>
          <w:p>
            <w:pPr>
              <w:pStyle w:val="yTableNAm"/>
              <w:spacing w:before="0"/>
            </w:pPr>
            <w:r>
              <w:rPr>
                <w:b/>
              </w:rPr>
              <w:t>Telephone number:</w:t>
            </w:r>
          </w:p>
        </w:tc>
        <w:tc>
          <w:tcPr>
            <w:tcW w:w="5210" w:type="dxa"/>
            <w:tcBorders>
              <w:left w:val="single" w:sz="4" w:space="0" w:color="auto"/>
            </w:tcBorders>
          </w:tcPr>
          <w:p>
            <w:pPr>
              <w:pStyle w:val="yTableNAm"/>
              <w:spacing w:before="0"/>
            </w:pPr>
          </w:p>
        </w:tc>
      </w:tr>
      <w:tr>
        <w:trPr>
          <w:trHeight w:val="567"/>
        </w:trPr>
        <w:tc>
          <w:tcPr>
            <w:tcW w:w="2155" w:type="dxa"/>
            <w:tcBorders>
              <w:top w:val="nil"/>
              <w:left w:val="nil"/>
              <w:bottom w:val="nil"/>
              <w:right w:val="single" w:sz="4" w:space="0" w:color="auto"/>
            </w:tcBorders>
          </w:tcPr>
          <w:p>
            <w:pPr>
              <w:pStyle w:val="yTableNAm"/>
              <w:spacing w:before="0"/>
            </w:pPr>
            <w:r>
              <w:rPr>
                <w:b/>
              </w:rPr>
              <w:t>Signature:</w:t>
            </w:r>
          </w:p>
        </w:tc>
        <w:tc>
          <w:tcPr>
            <w:tcW w:w="5210" w:type="dxa"/>
            <w:tcBorders>
              <w:left w:val="single" w:sz="4" w:space="0" w:color="auto"/>
            </w:tcBorders>
          </w:tcPr>
          <w:p>
            <w:pPr>
              <w:pStyle w:val="yTableNAm"/>
              <w:spacing w:before="0"/>
            </w:pPr>
          </w:p>
        </w:tc>
      </w:tr>
    </w:tbl>
    <w:p>
      <w:pPr>
        <w:pStyle w:val="yMiscellaneousBody"/>
        <w:spacing w:before="0"/>
      </w:pPr>
    </w:p>
    <w:p>
      <w:pPr>
        <w:pStyle w:val="yMiscellaneousBody"/>
        <w:spacing w:before="0"/>
      </w:pPr>
    </w:p>
    <w:p>
      <w:pPr>
        <w:pStyle w:val="yMiscellaneousBody"/>
        <w:tabs>
          <w:tab w:val="left" w:pos="567"/>
        </w:tabs>
        <w:spacing w:before="80"/>
        <w:ind w:left="454" w:right="397" w:hanging="454"/>
        <w:rPr>
          <w:sz w:val="20"/>
        </w:rPr>
      </w:pPr>
      <w:r>
        <w:rPr>
          <w:sz w:val="20"/>
        </w:rPr>
        <w:sym w:font="Webdings" w:char="F069"/>
      </w:r>
      <w:r>
        <w:rPr>
          <w:sz w:val="20"/>
        </w:rPr>
        <w:tab/>
        <w:t>If you are lodging this form using the Commission’s online lodgment system, please type your name in full in the signature box above.  If you are submitting this form in person, by post or via email, it must be signed.</w:t>
      </w:r>
    </w:p>
    <w:p>
      <w:pPr>
        <w:pStyle w:val="yMiscellaneousBody"/>
        <w:spacing w:before="0"/>
      </w:pPr>
    </w:p>
    <w:p>
      <w:pPr>
        <w:pStyle w:val="yMiscellaneousBody"/>
        <w:spacing w:before="0"/>
        <w:rPr>
          <w:b/>
          <w:bCs/>
          <w:szCs w:val="22"/>
        </w:rPr>
      </w:pPr>
      <w:r>
        <w:rPr>
          <w:b/>
          <w:bCs/>
          <w:szCs w:val="22"/>
        </w:rPr>
        <w:t>If you do not comply with this summons consequences may follow, which can include the Commission imposing penalties on you.</w:t>
      </w:r>
    </w:p>
    <w:p>
      <w:pPr>
        <w:pStyle w:val="yMiscellaneousBody"/>
        <w:spacing w:before="0"/>
      </w:pPr>
    </w:p>
    <w:p>
      <w:pPr>
        <w:pStyle w:val="yMiscellaneousBody"/>
        <w:spacing w:before="0"/>
      </w:pPr>
    </w:p>
    <w:p>
      <w:pPr>
        <w:pStyle w:val="yMiscellaneousBody"/>
        <w:jc w:val="center"/>
        <w:rPr>
          <w:b/>
        </w:rPr>
      </w:pPr>
      <w:r>
        <w:rPr>
          <w:b/>
        </w:rPr>
        <w:t>FOR INFORMATION ABOUT THIS SUMMONS AND HOW TO COMPLY WITH IT, PLEASE SEE THE FOLLOWING</w:t>
      </w:r>
    </w:p>
    <w:p>
      <w:pPr>
        <w:pStyle w:val="yMiscellaneousBody"/>
        <w:spacing w:before="0"/>
      </w:pPr>
    </w:p>
    <w:p>
      <w:pPr>
        <w:pStyle w:val="yMiscellaneousBody"/>
        <w:spacing w:before="0"/>
      </w:pPr>
    </w:p>
    <w:p>
      <w:pPr>
        <w:pStyle w:val="yMiscellaneousBody"/>
        <w:spacing w:before="0"/>
        <w:rPr>
          <w:u w:val="single"/>
        </w:rPr>
      </w:pPr>
      <w:r>
        <w:rPr>
          <w:u w:val="single"/>
        </w:rPr>
        <w:t>INFORMATION FOR THE PERSON SUMMONED</w:t>
      </w:r>
    </w:p>
    <w:p>
      <w:pPr>
        <w:pStyle w:val="yMiscellaneousBody"/>
        <w:spacing w:before="0"/>
      </w:pPr>
    </w:p>
    <w:p>
      <w:pPr>
        <w:pStyle w:val="yMiscellaneousBody"/>
        <w:spacing w:before="0"/>
      </w:pPr>
      <w:r>
        <w:t xml:space="preserve">The form set out in the </w:t>
      </w:r>
      <w:r>
        <w:rPr>
          <w:i/>
        </w:rPr>
        <w:t xml:space="preserve">Industrial Relations Commission Regulations 2005 </w:t>
      </w:r>
      <w:r>
        <w:t xml:space="preserve">Schedule 1 Division 1 — </w:t>
      </w:r>
      <w:r>
        <w:rPr>
          <w:b/>
        </w:rPr>
        <w:t xml:space="preserve">Summons to Give Evidence and/or Produce Documents — </w:t>
      </w:r>
      <w:r>
        <w:t>is the prescribed form for requiring a person to attend a hearing before the Western Australian Industrial Relations Commission to give oral evidence, or to produce the documents set out within the summons, or to do both of those things.</w:t>
      </w:r>
    </w:p>
    <w:p>
      <w:pPr>
        <w:pStyle w:val="yMiscellaneousBody"/>
        <w:spacing w:before="0"/>
      </w:pPr>
    </w:p>
    <w:p>
      <w:pPr>
        <w:pStyle w:val="yMiscellaneousBody"/>
        <w:spacing w:before="0"/>
      </w:pPr>
      <w:r>
        <w:t xml:space="preserve">This summons is issued under the </w:t>
      </w:r>
      <w:r>
        <w:rPr>
          <w:i/>
        </w:rPr>
        <w:t>Industrial Relations Act 1979</w:t>
      </w:r>
      <w:r>
        <w:t xml:space="preserve"> and in accordance with the </w:t>
      </w:r>
      <w:r>
        <w:rPr>
          <w:i/>
        </w:rPr>
        <w:t>Industrial Relations Commission Regulations 2005</w:t>
      </w:r>
      <w:r>
        <w:t>.  It is an important document and you must comply with the directions in it.</w:t>
      </w:r>
    </w:p>
    <w:p>
      <w:pPr>
        <w:pStyle w:val="yMiscellaneousBody"/>
      </w:pPr>
    </w:p>
    <w:p>
      <w:pPr>
        <w:pStyle w:val="yMiscellaneousBody"/>
        <w:spacing w:before="0"/>
      </w:pPr>
      <w:r>
        <w:rPr>
          <w:b/>
        </w:rPr>
        <w:t>A SUMMONS MUST BE SERVED BY DELIVERING IT TO YOU IN PERSON.</w:t>
      </w:r>
    </w:p>
    <w:p>
      <w:pPr>
        <w:pStyle w:val="yMiscellaneousBody"/>
        <w:spacing w:before="0"/>
      </w:pPr>
    </w:p>
    <w:p>
      <w:pPr>
        <w:pStyle w:val="yMiscellaneousBody"/>
        <w:spacing w:before="0"/>
      </w:pPr>
      <w:r>
        <w:rPr>
          <w:b/>
        </w:rPr>
        <w:t>In addition, at the time of service, an amount of money that is likely to be enough to meet your reasonable travel expenses to allow you to attend the hearing before the Commission must be given to you.  This is often called conduct money.  If you are located within the metropolitan area, conduct money is usually the cost of a bus or train fare from your home to the address of the Commission hearing.  If you are located outside of the metropolitan area, conduct money may be equivalent to the cost of your train, plane or bus fare.</w:t>
      </w:r>
    </w:p>
    <w:p>
      <w:pPr>
        <w:pStyle w:val="yMiscellaneousBody"/>
        <w:spacing w:before="0"/>
      </w:pPr>
    </w:p>
    <w:p>
      <w:pPr>
        <w:pStyle w:val="yMiscellaneousBody"/>
        <w:spacing w:before="0"/>
      </w:pPr>
      <w:r>
        <w:t>The summons has information in it which sets out the date, time and address of the Commission hearing.  The time stated is the scheduled commencement time of the hearing.  You may choose to contact the person who issued the summons to see if they can give you a more definite time during the hearing that you might be called to give your evidence.  Otherwise, your attendance is required at the scheduled commencement time.</w:t>
      </w:r>
    </w:p>
    <w:p>
      <w:pPr>
        <w:pStyle w:val="yMiscellaneousBody"/>
        <w:spacing w:before="0"/>
      </w:pPr>
    </w:p>
    <w:p>
      <w:pPr>
        <w:pStyle w:val="yMiscellaneousBody"/>
        <w:spacing w:before="0"/>
      </w:pPr>
      <w:r>
        <w:t xml:space="preserve">If you think that you do not have any relevant evidence to give and/or relevant documents to produce to the Commission, you can apply to </w:t>
      </w:r>
      <w:r>
        <w:rPr>
          <w:b/>
        </w:rPr>
        <w:t>have the Commission set aside the summons</w:t>
      </w:r>
      <w:r>
        <w:t xml:space="preserve">.  You can also apply to </w:t>
      </w:r>
      <w:r>
        <w:rPr>
          <w:b/>
        </w:rPr>
        <w:t>give your evidence by video-link or telephone</w:t>
      </w:r>
      <w:r>
        <w:t>.</w:t>
      </w:r>
    </w:p>
    <w:p>
      <w:pPr>
        <w:pStyle w:val="yMiscellaneousBody"/>
        <w:spacing w:before="0"/>
      </w:pPr>
      <w:r>
        <w:t>Either of those applications must be made to the Commission in the approved form before the scheduled hearing date.</w:t>
      </w:r>
    </w:p>
    <w:p>
      <w:pPr>
        <w:pStyle w:val="yMiscellaneousBody"/>
        <w:spacing w:before="0"/>
      </w:pPr>
    </w:p>
    <w:p>
      <w:pPr>
        <w:pStyle w:val="yMiscellaneousBody"/>
        <w:spacing w:before="0"/>
      </w:pPr>
    </w:p>
    <w:p>
      <w:pPr>
        <w:pStyle w:val="yMiscellaneousBody"/>
        <w:spacing w:before="0"/>
      </w:pPr>
      <w:r>
        <w:rPr>
          <w:b/>
        </w:rPr>
        <w:t>If you do not comply with this summons consequences may follow, which can include the Commission imposing penalties on you.</w:t>
      </w:r>
    </w:p>
    <w:p>
      <w:pPr>
        <w:pStyle w:val="yMiscellaneousBody"/>
        <w:spacing w:before="0"/>
      </w:pPr>
    </w:p>
    <w:p>
      <w:pPr>
        <w:pStyle w:val="yMiscellaneousBody"/>
        <w:spacing w:before="0"/>
      </w:pPr>
    </w:p>
    <w:p>
      <w:pPr>
        <w:pStyle w:val="yMiscellaneousBody"/>
        <w:spacing w:before="0"/>
      </w:pPr>
    </w:p>
    <w:p>
      <w:pPr>
        <w:pStyle w:val="yMiscellaneousBody"/>
        <w:spacing w:before="0"/>
        <w:jc w:val="center"/>
        <w:rPr>
          <w:b/>
          <w:u w:val="single"/>
        </w:rPr>
      </w:pPr>
      <w:r>
        <w:rPr>
          <w:b/>
          <w:u w:val="single"/>
        </w:rPr>
        <w:t>THE ABOVE INFORMATION IS PROVIDED AS A GENERAL GUIDE ONLY</w:t>
      </w:r>
    </w:p>
    <w:p>
      <w:pPr>
        <w:pStyle w:val="yFootnotesection"/>
      </w:pPr>
      <w:r>
        <w:tab/>
        <w:t>[Division 1 inserted: Gazette 5 Mar 2019 p. 626</w:t>
      </w:r>
      <w:r>
        <w:noBreakHyphen/>
        <w:t>31.]</w:t>
      </w:r>
    </w:p>
    <w:p>
      <w:pPr>
        <w:pStyle w:val="yHeading3"/>
      </w:pPr>
      <w:bookmarkStart w:id="306" w:name="_Toc5353077"/>
      <w:bookmarkStart w:id="307" w:name="_Toc5353706"/>
      <w:bookmarkStart w:id="308" w:name="_Toc8742771"/>
      <w:bookmarkStart w:id="309" w:name="_Toc11053507"/>
      <w:bookmarkStart w:id="310" w:name="_Toc11744593"/>
      <w:r>
        <w:rPr>
          <w:rStyle w:val="CharSDivNo"/>
        </w:rPr>
        <w:t>Division 2</w:t>
      </w:r>
      <w:r>
        <w:rPr>
          <w:b w:val="0"/>
        </w:rPr>
        <w:t> — </w:t>
      </w:r>
      <w:r>
        <w:rPr>
          <w:rStyle w:val="CharSDivText"/>
        </w:rPr>
        <w:t>Notice of intention to retire from industrial agreement</w:t>
      </w:r>
      <w:bookmarkEnd w:id="306"/>
      <w:bookmarkEnd w:id="307"/>
      <w:bookmarkEnd w:id="308"/>
      <w:bookmarkEnd w:id="309"/>
      <w:bookmarkEnd w:id="310"/>
    </w:p>
    <w:p>
      <w:pPr>
        <w:pStyle w:val="yShoulderClause"/>
      </w:pPr>
      <w:r>
        <w:t>[r. 56(a)]</w:t>
      </w:r>
    </w:p>
    <w:p>
      <w:pPr>
        <w:pStyle w:val="yFootnoteheading"/>
      </w:pPr>
      <w:r>
        <w:tab/>
        <w:t>[Heading inserted: Gazette 5 Mar 2019 p. 631.]</w:t>
      </w:r>
    </w:p>
    <w:p>
      <w:pPr>
        <w:pStyle w:val="yMiscellaneousHeading"/>
      </w:pPr>
      <w:r>
        <w:rPr>
          <w:i/>
        </w:rPr>
        <w:t>Industrial Relations Act 1979</w:t>
      </w:r>
    </w:p>
    <w:p>
      <w:pPr>
        <w:pStyle w:val="yMiscellaneousHeading"/>
      </w:pPr>
      <w:r>
        <w:rPr>
          <w:i/>
        </w:rPr>
        <w:t>Industrial Relations Commission Regulations 2005</w:t>
      </w:r>
    </w:p>
    <w:p>
      <w:pPr>
        <w:pStyle w:val="yMiscellaneousHeading"/>
        <w:rPr>
          <w:szCs w:val="22"/>
        </w:rPr>
      </w:pPr>
      <w:r>
        <w:rPr>
          <w:b/>
          <w:szCs w:val="22"/>
        </w:rPr>
        <w:t>Notice of a party’s intention to retire from an industrial agreement</w:t>
      </w:r>
    </w:p>
    <w:p>
      <w:pPr>
        <w:pStyle w:val="yMiscellaneousBody"/>
        <w:spacing w:before="0"/>
      </w:pPr>
    </w:p>
    <w:tbl>
      <w:tblPr>
        <w:tblStyle w:val="TableGrid"/>
        <w:tblW w:w="0" w:type="auto"/>
        <w:tblLook w:val="04A0" w:firstRow="1" w:lastRow="0" w:firstColumn="1" w:lastColumn="0" w:noHBand="0" w:noVBand="1"/>
      </w:tblPr>
      <w:tblGrid>
        <w:gridCol w:w="5353"/>
        <w:gridCol w:w="1950"/>
      </w:tblGrid>
      <w:tr>
        <w:tc>
          <w:tcPr>
            <w:tcW w:w="5353" w:type="dxa"/>
            <w:tcBorders>
              <w:top w:val="nil"/>
              <w:left w:val="nil"/>
              <w:bottom w:val="nil"/>
            </w:tcBorders>
          </w:tcPr>
          <w:p>
            <w:pPr>
              <w:pStyle w:val="yTableNAm"/>
              <w:jc w:val="right"/>
            </w:pPr>
            <w:r>
              <w:rPr>
                <w:b/>
              </w:rPr>
              <w:t>Application No.</w:t>
            </w:r>
          </w:p>
        </w:tc>
        <w:tc>
          <w:tcPr>
            <w:tcW w:w="1950" w:type="dxa"/>
          </w:tcPr>
          <w:p>
            <w:pPr>
              <w:pStyle w:val="yTableNAm"/>
              <w:jc w:val="right"/>
            </w:pPr>
          </w:p>
        </w:tc>
      </w:tr>
    </w:tbl>
    <w:p>
      <w:pPr>
        <w:pStyle w:val="yMiscellaneousBody"/>
        <w:spacing w:before="0"/>
      </w:pPr>
    </w:p>
    <w:p>
      <w:pPr>
        <w:pStyle w:val="yMiscellaneousBody"/>
        <w:jc w:val="center"/>
      </w:pPr>
      <w:r>
        <w:t>This Notice is lodged in the Western Australian Industrial Relations Commission</w:t>
      </w:r>
    </w:p>
    <w:p>
      <w:pPr>
        <w:pStyle w:val="yMiscellaneousBody"/>
        <w:spacing w:before="0"/>
      </w:pPr>
    </w:p>
    <w:p>
      <w:pPr>
        <w:pStyle w:val="yMiscellaneousBody"/>
        <w:spacing w:before="0"/>
        <w:rPr>
          <w:b/>
          <w:u w:val="single"/>
        </w:rPr>
      </w:pPr>
      <w:r>
        <w:rPr>
          <w:b/>
          <w:u w:val="single"/>
        </w:rPr>
        <w:t>Details of the party giving notice to retire from an industrial agreement</w:t>
      </w:r>
    </w:p>
    <w:p>
      <w:pPr>
        <w:pStyle w:val="yMiscellaneousBody"/>
        <w:spacing w:before="0"/>
      </w:pPr>
    </w:p>
    <w:p>
      <w:pPr>
        <w:pStyle w:val="yMiscellaneousBody"/>
        <w:tabs>
          <w:tab w:val="left" w:pos="567"/>
        </w:tabs>
        <w:spacing w:before="80"/>
        <w:ind w:left="454" w:right="397" w:hanging="454"/>
        <w:rPr>
          <w:sz w:val="20"/>
        </w:rPr>
      </w:pPr>
      <w:r>
        <w:rPr>
          <w:sz w:val="20"/>
        </w:rPr>
        <w:sym w:font="Webdings" w:char="F069"/>
      </w:r>
      <w:r>
        <w:rPr>
          <w:sz w:val="20"/>
        </w:rPr>
        <w:tab/>
        <w:t>Please provide the details of the party to the industrial agreement who is lodging this notice, i.e. the party intending to retire from an agreement.</w:t>
      </w:r>
    </w:p>
    <w:p>
      <w:pPr>
        <w:pStyle w:val="yMiscellaneousBody"/>
        <w:spacing w:before="0"/>
      </w:pPr>
    </w:p>
    <w:tbl>
      <w:tblPr>
        <w:tblStyle w:val="TableGrid"/>
        <w:tblW w:w="7332" w:type="dxa"/>
        <w:tblLook w:val="04A0" w:firstRow="1" w:lastRow="0" w:firstColumn="1" w:lastColumn="0" w:noHBand="0" w:noVBand="1"/>
      </w:tblPr>
      <w:tblGrid>
        <w:gridCol w:w="2683"/>
        <w:gridCol w:w="4649"/>
      </w:tblGrid>
      <w:tr>
        <w:tc>
          <w:tcPr>
            <w:tcW w:w="2683" w:type="dxa"/>
            <w:tcBorders>
              <w:top w:val="nil"/>
              <w:left w:val="nil"/>
              <w:bottom w:val="nil"/>
              <w:right w:val="single" w:sz="4" w:space="0" w:color="auto"/>
            </w:tcBorders>
          </w:tcPr>
          <w:p>
            <w:pPr>
              <w:pStyle w:val="yTableNAm"/>
              <w:spacing w:before="0"/>
            </w:pPr>
            <w:r>
              <w:rPr>
                <w:b/>
              </w:rPr>
              <w:t>Legal name of organisation or business:</w:t>
            </w:r>
          </w:p>
        </w:tc>
        <w:tc>
          <w:tcPr>
            <w:tcW w:w="4649" w:type="dxa"/>
            <w:tcBorders>
              <w:left w:val="single" w:sz="4" w:space="0" w:color="auto"/>
            </w:tcBorders>
          </w:tcPr>
          <w:p>
            <w:pPr>
              <w:pStyle w:val="yTableNAm"/>
              <w:spacing w:before="0"/>
            </w:pPr>
          </w:p>
        </w:tc>
      </w:tr>
      <w:tr>
        <w:trPr>
          <w:trHeight w:val="567"/>
        </w:trPr>
        <w:tc>
          <w:tcPr>
            <w:tcW w:w="2683" w:type="dxa"/>
            <w:tcBorders>
              <w:top w:val="nil"/>
              <w:left w:val="nil"/>
              <w:bottom w:val="nil"/>
              <w:right w:val="single" w:sz="4" w:space="0" w:color="auto"/>
            </w:tcBorders>
          </w:tcPr>
          <w:p>
            <w:pPr>
              <w:pStyle w:val="yTableNAm"/>
              <w:spacing w:before="0"/>
            </w:pPr>
            <w:r>
              <w:rPr>
                <w:b/>
              </w:rPr>
              <w:t>Business trading name:</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szCs w:val="20"/>
              </w:rPr>
              <w:t>Business ACN or ABN:</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Name of contact person:</w:t>
            </w:r>
          </w:p>
        </w:tc>
        <w:tc>
          <w:tcPr>
            <w:tcW w:w="4649" w:type="dxa"/>
            <w:tcBorders>
              <w:left w:val="single" w:sz="4" w:space="0" w:color="auto"/>
            </w:tcBorders>
          </w:tcPr>
          <w:p>
            <w:pPr>
              <w:pStyle w:val="yTableNAm"/>
              <w:spacing w:before="0"/>
            </w:pPr>
          </w:p>
        </w:tc>
      </w:tr>
    </w:tbl>
    <w:p>
      <w:pPr>
        <w:pStyle w:val="yMiscellaneousBody"/>
        <w:spacing w:before="0"/>
      </w:pPr>
    </w:p>
    <w:tbl>
      <w:tblPr>
        <w:tblStyle w:val="TableGrid"/>
        <w:tblW w:w="7332" w:type="dxa"/>
        <w:tblLook w:val="04A0" w:firstRow="1" w:lastRow="0" w:firstColumn="1" w:lastColumn="0" w:noHBand="0" w:noVBand="1"/>
      </w:tblPr>
      <w:tblGrid>
        <w:gridCol w:w="2683"/>
        <w:gridCol w:w="4649"/>
      </w:tblGrid>
      <w:tr>
        <w:trPr>
          <w:trHeight w:val="737"/>
        </w:trPr>
        <w:tc>
          <w:tcPr>
            <w:tcW w:w="2683" w:type="dxa"/>
            <w:tcBorders>
              <w:top w:val="nil"/>
              <w:left w:val="nil"/>
              <w:bottom w:val="nil"/>
              <w:right w:val="single" w:sz="4" w:space="0" w:color="auto"/>
            </w:tcBorders>
          </w:tcPr>
          <w:p>
            <w:pPr>
              <w:pStyle w:val="yTableNAm"/>
              <w:spacing w:before="0"/>
            </w:pPr>
            <w:r>
              <w:rPr>
                <w:b/>
              </w:rPr>
              <w:t>Postal address:</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Suburb:</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State or Territory:</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Postcode:</w:t>
            </w:r>
          </w:p>
        </w:tc>
        <w:tc>
          <w:tcPr>
            <w:tcW w:w="4649" w:type="dxa"/>
            <w:tcBorders>
              <w:left w:val="single" w:sz="4" w:space="0" w:color="auto"/>
            </w:tcBorders>
          </w:tcPr>
          <w:p>
            <w:pPr>
              <w:pStyle w:val="yTableNAm"/>
              <w:spacing w:before="0"/>
            </w:pPr>
          </w:p>
        </w:tc>
      </w:tr>
    </w:tbl>
    <w:p>
      <w:pPr>
        <w:pStyle w:val="yMiscellaneousBody"/>
        <w:spacing w:before="0"/>
      </w:pPr>
    </w:p>
    <w:p>
      <w:pPr>
        <w:pStyle w:val="yMiscellaneousBody"/>
        <w:tabs>
          <w:tab w:val="left" w:pos="567"/>
        </w:tabs>
        <w:spacing w:before="80"/>
        <w:ind w:left="454" w:right="397" w:hanging="454"/>
      </w:pPr>
      <w:r>
        <w:rPr>
          <w:sz w:val="20"/>
        </w:rPr>
        <w:sym w:font="Webdings" w:char="F069"/>
      </w:r>
      <w:r>
        <w:rPr>
          <w:sz w:val="20"/>
        </w:rPr>
        <w:tab/>
        <w:t xml:space="preserve">The postal address provided must be a street address.  A </w:t>
      </w:r>
      <w:r>
        <w:rPr>
          <w:b/>
          <w:sz w:val="20"/>
        </w:rPr>
        <w:t>PO Box</w:t>
      </w:r>
      <w:r>
        <w:rPr>
          <w:sz w:val="20"/>
        </w:rPr>
        <w:t xml:space="preserve"> or </w:t>
      </w:r>
      <w:r>
        <w:rPr>
          <w:b/>
          <w:sz w:val="20"/>
        </w:rPr>
        <w:t>Locked Bag</w:t>
      </w:r>
      <w:r>
        <w:rPr>
          <w:sz w:val="20"/>
        </w:rPr>
        <w:t xml:space="preserve"> number is </w:t>
      </w:r>
      <w:r>
        <w:rPr>
          <w:b/>
          <w:sz w:val="20"/>
        </w:rPr>
        <w:t>not an acceptable postal address</w:t>
      </w:r>
      <w:r>
        <w:rPr>
          <w:sz w:val="20"/>
        </w:rPr>
        <w:t xml:space="preserve"> for the purposes of this application.</w:t>
      </w:r>
    </w:p>
    <w:p>
      <w:pPr>
        <w:pStyle w:val="yMiscellaneousBody"/>
        <w:spacing w:before="0"/>
      </w:pPr>
    </w:p>
    <w:tbl>
      <w:tblPr>
        <w:tblStyle w:val="TableGrid"/>
        <w:tblW w:w="7332" w:type="dxa"/>
        <w:tblLook w:val="04A0" w:firstRow="1" w:lastRow="0" w:firstColumn="1" w:lastColumn="0" w:noHBand="0" w:noVBand="1"/>
      </w:tblPr>
      <w:tblGrid>
        <w:gridCol w:w="2683"/>
        <w:gridCol w:w="4649"/>
      </w:tblGrid>
      <w:tr>
        <w:tc>
          <w:tcPr>
            <w:tcW w:w="2683" w:type="dxa"/>
            <w:tcBorders>
              <w:top w:val="nil"/>
              <w:left w:val="nil"/>
              <w:bottom w:val="nil"/>
              <w:right w:val="single" w:sz="4" w:space="0" w:color="auto"/>
            </w:tcBorders>
          </w:tcPr>
          <w:p>
            <w:pPr>
              <w:pStyle w:val="yTableNAm"/>
              <w:spacing w:before="0"/>
            </w:pPr>
            <w:r>
              <w:rPr>
                <w:b/>
              </w:rPr>
              <w:t>Telephone number:</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Email address:</w:t>
            </w:r>
          </w:p>
        </w:tc>
        <w:tc>
          <w:tcPr>
            <w:tcW w:w="4649" w:type="dxa"/>
            <w:tcBorders>
              <w:left w:val="single" w:sz="4" w:space="0" w:color="auto"/>
            </w:tcBorders>
          </w:tcPr>
          <w:p>
            <w:pPr>
              <w:pStyle w:val="yTableNAm"/>
              <w:spacing w:before="0"/>
            </w:pPr>
          </w:p>
        </w:tc>
      </w:tr>
    </w:tbl>
    <w:p>
      <w:pPr>
        <w:pStyle w:val="yMiscellaneousBody"/>
        <w:spacing w:before="0"/>
      </w:pPr>
    </w:p>
    <w:p>
      <w:pPr>
        <w:pStyle w:val="yMiscellaneousBody"/>
        <w:spacing w:before="0"/>
        <w:rPr>
          <w:b/>
          <w:u w:val="single"/>
        </w:rPr>
      </w:pPr>
      <w:r>
        <w:rPr>
          <w:b/>
          <w:u w:val="single"/>
        </w:rPr>
        <w:t>Details of the other party or parties to the industrial agreement</w:t>
      </w:r>
    </w:p>
    <w:p>
      <w:pPr>
        <w:pStyle w:val="yMiscellaneousBody"/>
        <w:spacing w:before="0"/>
      </w:pPr>
    </w:p>
    <w:p>
      <w:pPr>
        <w:pStyle w:val="yMiscellaneousBody"/>
        <w:tabs>
          <w:tab w:val="left" w:pos="567"/>
        </w:tabs>
        <w:spacing w:before="80"/>
        <w:ind w:left="454" w:right="397" w:hanging="454"/>
      </w:pPr>
      <w:r>
        <w:rPr>
          <w:sz w:val="20"/>
        </w:rPr>
        <w:sym w:font="Webdings" w:char="F069"/>
      </w:r>
      <w:r>
        <w:rPr>
          <w:sz w:val="20"/>
        </w:rPr>
        <w:tab/>
        <w:t xml:space="preserve">Please provide the details of the other named party or parties to the industrial agreement that you intend to retire from.  </w:t>
      </w:r>
      <w:r>
        <w:rPr>
          <w:b/>
          <w:sz w:val="20"/>
        </w:rPr>
        <w:t>If there is more than 1 other party, please attach a separate page which contains the information that is required below, for each additional party.</w:t>
      </w:r>
    </w:p>
    <w:p>
      <w:pPr>
        <w:pStyle w:val="yMiscellaneousBody"/>
        <w:spacing w:before="0"/>
      </w:pPr>
    </w:p>
    <w:p>
      <w:pPr>
        <w:pStyle w:val="yMiscellaneousBody"/>
        <w:spacing w:before="0"/>
        <w:rPr>
          <w:b/>
          <w:u w:val="single"/>
        </w:rPr>
      </w:pPr>
      <w:r>
        <w:rPr>
          <w:u w:val="single"/>
        </w:rPr>
        <w:t>OTHER PARTY</w:t>
      </w:r>
    </w:p>
    <w:p>
      <w:pPr>
        <w:pStyle w:val="yMiscellaneousBody"/>
        <w:spacing w:before="0"/>
      </w:pPr>
    </w:p>
    <w:tbl>
      <w:tblPr>
        <w:tblStyle w:val="TableGrid"/>
        <w:tblW w:w="7332" w:type="dxa"/>
        <w:tblLook w:val="04A0" w:firstRow="1" w:lastRow="0" w:firstColumn="1" w:lastColumn="0" w:noHBand="0" w:noVBand="1"/>
      </w:tblPr>
      <w:tblGrid>
        <w:gridCol w:w="2683"/>
        <w:gridCol w:w="4649"/>
      </w:tblGrid>
      <w:tr>
        <w:tc>
          <w:tcPr>
            <w:tcW w:w="2683" w:type="dxa"/>
            <w:tcBorders>
              <w:top w:val="nil"/>
              <w:left w:val="nil"/>
              <w:bottom w:val="nil"/>
              <w:right w:val="single" w:sz="4" w:space="0" w:color="auto"/>
            </w:tcBorders>
          </w:tcPr>
          <w:p>
            <w:pPr>
              <w:pStyle w:val="yTableNAm"/>
              <w:spacing w:before="0"/>
            </w:pPr>
            <w:r>
              <w:rPr>
                <w:b/>
              </w:rPr>
              <w:t>Legal name of organisation or business:</w:t>
            </w:r>
          </w:p>
        </w:tc>
        <w:tc>
          <w:tcPr>
            <w:tcW w:w="4649" w:type="dxa"/>
            <w:tcBorders>
              <w:left w:val="single" w:sz="4" w:space="0" w:color="auto"/>
            </w:tcBorders>
          </w:tcPr>
          <w:p/>
        </w:tc>
      </w:tr>
      <w:tr>
        <w:trPr>
          <w:trHeight w:val="454"/>
        </w:trPr>
        <w:tc>
          <w:tcPr>
            <w:tcW w:w="2683" w:type="dxa"/>
            <w:tcBorders>
              <w:top w:val="nil"/>
              <w:left w:val="nil"/>
              <w:bottom w:val="nil"/>
              <w:right w:val="single" w:sz="4" w:space="0" w:color="auto"/>
            </w:tcBorders>
          </w:tcPr>
          <w:p>
            <w:pPr>
              <w:pStyle w:val="yTableNAm"/>
              <w:spacing w:before="0"/>
            </w:pPr>
            <w:r>
              <w:rPr>
                <w:b/>
              </w:rPr>
              <w:t>Business trading name:</w:t>
            </w:r>
          </w:p>
        </w:tc>
        <w:tc>
          <w:tcPr>
            <w:tcW w:w="4649" w:type="dxa"/>
            <w:tcBorders>
              <w:left w:val="single" w:sz="4" w:space="0" w:color="auto"/>
            </w:tcBorders>
          </w:tcPr>
          <w:p/>
        </w:tc>
      </w:tr>
      <w:tr>
        <w:tc>
          <w:tcPr>
            <w:tcW w:w="2683" w:type="dxa"/>
            <w:tcBorders>
              <w:top w:val="nil"/>
              <w:left w:val="nil"/>
              <w:bottom w:val="nil"/>
              <w:right w:val="single" w:sz="4" w:space="0" w:color="auto"/>
            </w:tcBorders>
          </w:tcPr>
          <w:p>
            <w:pPr>
              <w:pStyle w:val="yTableNAm"/>
              <w:spacing w:before="0"/>
            </w:pPr>
            <w:r>
              <w:rPr>
                <w:b/>
                <w:szCs w:val="20"/>
              </w:rPr>
              <w:t>Business ACN or ABN:</w:t>
            </w:r>
          </w:p>
        </w:tc>
        <w:tc>
          <w:tcPr>
            <w:tcW w:w="4649" w:type="dxa"/>
            <w:tcBorders>
              <w:left w:val="single" w:sz="4" w:space="0" w:color="auto"/>
            </w:tcBorders>
          </w:tcPr>
          <w:p/>
        </w:tc>
      </w:tr>
      <w:tr>
        <w:tc>
          <w:tcPr>
            <w:tcW w:w="2683" w:type="dxa"/>
            <w:tcBorders>
              <w:top w:val="nil"/>
              <w:left w:val="nil"/>
              <w:bottom w:val="nil"/>
              <w:right w:val="single" w:sz="4" w:space="0" w:color="auto"/>
            </w:tcBorders>
          </w:tcPr>
          <w:p>
            <w:pPr>
              <w:pStyle w:val="yTableNAm"/>
              <w:spacing w:before="0"/>
            </w:pPr>
            <w:r>
              <w:rPr>
                <w:b/>
              </w:rPr>
              <w:t>Name of contact person:</w:t>
            </w:r>
          </w:p>
        </w:tc>
        <w:tc>
          <w:tcPr>
            <w:tcW w:w="4649" w:type="dxa"/>
            <w:tcBorders>
              <w:left w:val="single" w:sz="4" w:space="0" w:color="auto"/>
            </w:tcBorders>
          </w:tcPr>
          <w:p/>
        </w:tc>
      </w:tr>
    </w:tbl>
    <w:p>
      <w:pPr>
        <w:pStyle w:val="yMiscellaneousBody"/>
        <w:spacing w:before="0"/>
      </w:pPr>
    </w:p>
    <w:tbl>
      <w:tblPr>
        <w:tblStyle w:val="TableGrid"/>
        <w:tblW w:w="7332" w:type="dxa"/>
        <w:tblLook w:val="04A0" w:firstRow="1" w:lastRow="0" w:firstColumn="1" w:lastColumn="0" w:noHBand="0" w:noVBand="1"/>
      </w:tblPr>
      <w:tblGrid>
        <w:gridCol w:w="2683"/>
        <w:gridCol w:w="4649"/>
      </w:tblGrid>
      <w:tr>
        <w:trPr>
          <w:trHeight w:val="737"/>
        </w:trPr>
        <w:tc>
          <w:tcPr>
            <w:tcW w:w="2683" w:type="dxa"/>
            <w:tcBorders>
              <w:top w:val="nil"/>
              <w:left w:val="nil"/>
              <w:bottom w:val="nil"/>
              <w:right w:val="single" w:sz="4" w:space="0" w:color="auto"/>
            </w:tcBorders>
          </w:tcPr>
          <w:p>
            <w:pPr>
              <w:pStyle w:val="yTableNAm"/>
              <w:spacing w:before="0"/>
            </w:pPr>
            <w:r>
              <w:rPr>
                <w:b/>
              </w:rPr>
              <w:t>Postal address:</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Suburb:</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State or Territory:</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Postcode:</w:t>
            </w:r>
          </w:p>
        </w:tc>
        <w:tc>
          <w:tcPr>
            <w:tcW w:w="4649" w:type="dxa"/>
            <w:tcBorders>
              <w:left w:val="single" w:sz="4" w:space="0" w:color="auto"/>
            </w:tcBorders>
          </w:tcPr>
          <w:p>
            <w:pPr>
              <w:pStyle w:val="yTableNAm"/>
              <w:spacing w:before="0"/>
            </w:pPr>
          </w:p>
        </w:tc>
      </w:tr>
    </w:tbl>
    <w:p>
      <w:pPr>
        <w:pStyle w:val="yMiscellaneousBody"/>
        <w:spacing w:before="0"/>
      </w:pPr>
    </w:p>
    <w:p>
      <w:pPr>
        <w:pStyle w:val="yMiscellaneousBody"/>
        <w:tabs>
          <w:tab w:val="left" w:pos="567"/>
        </w:tabs>
        <w:spacing w:before="80"/>
        <w:ind w:left="454" w:right="397" w:hanging="454"/>
      </w:pPr>
      <w:r>
        <w:rPr>
          <w:sz w:val="20"/>
        </w:rPr>
        <w:sym w:font="Webdings" w:char="F069"/>
      </w:r>
      <w:r>
        <w:rPr>
          <w:sz w:val="20"/>
        </w:rPr>
        <w:tab/>
        <w:t xml:space="preserve">The postal address provided must be a street address.  A </w:t>
      </w:r>
      <w:r>
        <w:rPr>
          <w:b/>
          <w:sz w:val="20"/>
        </w:rPr>
        <w:t>PO Box</w:t>
      </w:r>
      <w:r>
        <w:rPr>
          <w:sz w:val="20"/>
        </w:rPr>
        <w:t xml:space="preserve"> or </w:t>
      </w:r>
      <w:r>
        <w:rPr>
          <w:b/>
          <w:sz w:val="20"/>
        </w:rPr>
        <w:t>Locked Bag</w:t>
      </w:r>
      <w:r>
        <w:rPr>
          <w:sz w:val="20"/>
        </w:rPr>
        <w:t xml:space="preserve"> number is </w:t>
      </w:r>
      <w:r>
        <w:rPr>
          <w:b/>
          <w:sz w:val="20"/>
        </w:rPr>
        <w:t>not an acceptable postal address</w:t>
      </w:r>
      <w:r>
        <w:rPr>
          <w:sz w:val="20"/>
        </w:rPr>
        <w:t xml:space="preserve"> for the purposes of this application.</w:t>
      </w:r>
    </w:p>
    <w:p>
      <w:pPr>
        <w:pStyle w:val="yMiscellaneousBody"/>
        <w:spacing w:before="0"/>
      </w:pPr>
    </w:p>
    <w:tbl>
      <w:tblPr>
        <w:tblStyle w:val="TableGrid"/>
        <w:tblW w:w="7332" w:type="dxa"/>
        <w:tblLook w:val="04A0" w:firstRow="1" w:lastRow="0" w:firstColumn="1" w:lastColumn="0" w:noHBand="0" w:noVBand="1"/>
      </w:tblPr>
      <w:tblGrid>
        <w:gridCol w:w="2683"/>
        <w:gridCol w:w="4649"/>
      </w:tblGrid>
      <w:tr>
        <w:tc>
          <w:tcPr>
            <w:tcW w:w="2683" w:type="dxa"/>
            <w:tcBorders>
              <w:top w:val="nil"/>
              <w:left w:val="nil"/>
              <w:bottom w:val="nil"/>
              <w:right w:val="single" w:sz="4" w:space="0" w:color="auto"/>
            </w:tcBorders>
          </w:tcPr>
          <w:p>
            <w:pPr>
              <w:pStyle w:val="yTableNAm"/>
              <w:spacing w:before="0"/>
            </w:pPr>
            <w:r>
              <w:rPr>
                <w:b/>
              </w:rPr>
              <w:t>Telephone number:</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Email address:</w:t>
            </w:r>
          </w:p>
        </w:tc>
        <w:tc>
          <w:tcPr>
            <w:tcW w:w="4649" w:type="dxa"/>
            <w:tcBorders>
              <w:left w:val="single" w:sz="4" w:space="0" w:color="auto"/>
            </w:tcBorders>
          </w:tcPr>
          <w:p>
            <w:pPr>
              <w:pStyle w:val="yTableNAm"/>
              <w:spacing w:before="0"/>
            </w:pPr>
          </w:p>
        </w:tc>
      </w:tr>
    </w:tbl>
    <w:p>
      <w:pPr>
        <w:pStyle w:val="yMiscellaneousBody"/>
        <w:spacing w:before="0"/>
      </w:pPr>
    </w:p>
    <w:p>
      <w:pPr>
        <w:pStyle w:val="yMiscellaneousBody"/>
        <w:keepNext/>
        <w:spacing w:before="0"/>
        <w:rPr>
          <w:b/>
          <w:u w:val="single"/>
        </w:rPr>
      </w:pPr>
      <w:r>
        <w:rPr>
          <w:b/>
          <w:u w:val="single"/>
        </w:rPr>
        <w:t>Details of the industrial agreement</w:t>
      </w:r>
    </w:p>
    <w:p>
      <w:pPr>
        <w:pStyle w:val="yMiscellaneousBody"/>
        <w:keepNext/>
        <w:spacing w:before="0"/>
      </w:pPr>
    </w:p>
    <w:p>
      <w:pPr>
        <w:pStyle w:val="yMiscellaneousBody"/>
        <w:tabs>
          <w:tab w:val="left" w:pos="567"/>
        </w:tabs>
        <w:spacing w:before="80"/>
        <w:ind w:left="454" w:right="397" w:hanging="454"/>
      </w:pPr>
      <w:r>
        <w:rPr>
          <w:sz w:val="20"/>
        </w:rPr>
        <w:sym w:font="Webdings" w:char="F069"/>
      </w:r>
      <w:r>
        <w:rPr>
          <w:sz w:val="20"/>
        </w:rPr>
        <w:tab/>
        <w:t>Please provide the agreement number and name, in full, of the industrial agreement that you intend to retire from.</w:t>
      </w:r>
    </w:p>
    <w:p>
      <w:pPr>
        <w:pStyle w:val="yMiscellaneousBody"/>
        <w:spacing w:before="0"/>
      </w:pPr>
    </w:p>
    <w:tbl>
      <w:tblPr>
        <w:tblStyle w:val="TableGrid"/>
        <w:tblW w:w="0" w:type="auto"/>
        <w:tblLook w:val="04A0" w:firstRow="1" w:lastRow="0" w:firstColumn="1" w:lastColumn="0" w:noHBand="0" w:noVBand="1"/>
      </w:tblPr>
      <w:tblGrid>
        <w:gridCol w:w="7303"/>
      </w:tblGrid>
      <w:tr>
        <w:tc>
          <w:tcPr>
            <w:tcW w:w="7303" w:type="dxa"/>
          </w:tcPr>
          <w:p>
            <w:pPr>
              <w:pStyle w:val="yTableNAm"/>
              <w:rPr>
                <w:b/>
              </w:rPr>
            </w:pPr>
          </w:p>
          <w:p>
            <w:pPr>
              <w:pStyle w:val="yTableNAm"/>
              <w:rPr>
                <w:b/>
              </w:rPr>
            </w:pPr>
          </w:p>
          <w:p>
            <w:pPr>
              <w:pStyle w:val="yTableNAm"/>
              <w:rPr>
                <w:b/>
              </w:rPr>
            </w:pPr>
          </w:p>
          <w:p>
            <w:pPr>
              <w:pStyle w:val="yTableNAm"/>
              <w:rPr>
                <w:b/>
              </w:rPr>
            </w:pPr>
          </w:p>
          <w:p>
            <w:pPr>
              <w:pStyle w:val="yTableNAm"/>
              <w:rPr>
                <w:b/>
              </w:rPr>
            </w:pPr>
          </w:p>
          <w:p>
            <w:pPr>
              <w:pStyle w:val="yTableNAm"/>
            </w:pPr>
          </w:p>
        </w:tc>
      </w:tr>
    </w:tbl>
    <w:p>
      <w:pPr>
        <w:pStyle w:val="yMiscellaneousBody"/>
        <w:spacing w:before="0"/>
      </w:pPr>
    </w:p>
    <w:p>
      <w:pPr>
        <w:pStyle w:val="yMiscellaneousBody"/>
        <w:spacing w:before="0"/>
      </w:pPr>
    </w:p>
    <w:p>
      <w:pPr>
        <w:pStyle w:val="yMiscellaneousBody"/>
        <w:spacing w:before="0"/>
      </w:pPr>
    </w:p>
    <w:p>
      <w:pPr>
        <w:pStyle w:val="yMiscellaneousBody"/>
        <w:spacing w:before="0"/>
      </w:pPr>
      <w:r>
        <w:t xml:space="preserve">THE PURPOSE OF THIS NOTICE IS TO INFORM THE COMMISSION AND THE OTHER PARTY OR PARTIES TO THE ABOVE INDUSTRIAL AGREEMENT THAT A PARTY TO THAT AGREEMENT INTENDS TO RETIRE FROM IT.  </w:t>
      </w:r>
      <w:r>
        <w:rPr>
          <w:b/>
        </w:rPr>
        <w:t>THE RETIREMENT OF THAT PARTY FROM THE INDUSTRIAL AGREEMENT WILL TAKE EFFECT 30 DAYS FROM THE DATE OF FILING THIS NOTICE.</w:t>
      </w:r>
    </w:p>
    <w:p>
      <w:pPr>
        <w:pStyle w:val="yMiscellaneousBody"/>
        <w:spacing w:before="0"/>
      </w:pPr>
    </w:p>
    <w:p>
      <w:pPr>
        <w:pStyle w:val="yMiscellaneousBody"/>
        <w:spacing w:before="0"/>
      </w:pPr>
    </w:p>
    <w:p>
      <w:pPr>
        <w:pStyle w:val="yMiscellaneousBody"/>
        <w:spacing w:before="0"/>
      </w:pPr>
    </w:p>
    <w:p>
      <w:pPr>
        <w:pStyle w:val="yMiscellaneousBody"/>
        <w:spacing w:before="0"/>
        <w:rPr>
          <w:b/>
          <w:u w:val="single"/>
        </w:rPr>
      </w:pPr>
      <w:r>
        <w:rPr>
          <w:b/>
          <w:u w:val="single"/>
        </w:rPr>
        <w:t>Signature of the party giving notice to retire from an industrial agreement</w:t>
      </w:r>
    </w:p>
    <w:p>
      <w:pPr>
        <w:pStyle w:val="yMiscellaneousBody"/>
        <w:spacing w:before="0"/>
      </w:pPr>
    </w:p>
    <w:p>
      <w:pPr>
        <w:pStyle w:val="yMiscellaneousBody"/>
        <w:tabs>
          <w:tab w:val="left" w:pos="567"/>
        </w:tabs>
        <w:spacing w:before="80"/>
        <w:ind w:left="454" w:right="397" w:hanging="454"/>
      </w:pPr>
      <w:r>
        <w:rPr>
          <w:sz w:val="20"/>
        </w:rPr>
        <w:sym w:font="Webdings" w:char="F069"/>
      </w:r>
      <w:r>
        <w:rPr>
          <w:sz w:val="20"/>
        </w:rPr>
        <w:tab/>
        <w:t>If you are lodging this form using the Commission’s online lodgment system, please type your name in full in the signature box below.  If you are submitting this form in person, by post, or via email, it must be signed.</w:t>
      </w:r>
    </w:p>
    <w:p>
      <w:pPr>
        <w:pStyle w:val="yMiscellaneousBody"/>
        <w:spacing w:before="0"/>
      </w:pPr>
    </w:p>
    <w:p>
      <w:pPr>
        <w:pStyle w:val="yMiscellaneousBody"/>
        <w:spacing w:before="0"/>
        <w:rPr>
          <w:rFonts w:eastAsiaTheme="minorHAnsi"/>
          <w:b/>
          <w:szCs w:val="24"/>
        </w:rPr>
      </w:pPr>
    </w:p>
    <w:tbl>
      <w:tblPr>
        <w:tblStyle w:val="TableGrid"/>
        <w:tblW w:w="0" w:type="auto"/>
        <w:tblLook w:val="04A0" w:firstRow="1" w:lastRow="0" w:firstColumn="1" w:lastColumn="0" w:noHBand="0" w:noVBand="1"/>
      </w:tblPr>
      <w:tblGrid>
        <w:gridCol w:w="2093"/>
        <w:gridCol w:w="2977"/>
      </w:tblGrid>
      <w:tr>
        <w:trPr>
          <w:trHeight w:val="567"/>
        </w:trPr>
        <w:tc>
          <w:tcPr>
            <w:tcW w:w="2093" w:type="dxa"/>
            <w:tcBorders>
              <w:top w:val="nil"/>
              <w:left w:val="nil"/>
              <w:bottom w:val="nil"/>
              <w:right w:val="single" w:sz="4" w:space="0" w:color="auto"/>
            </w:tcBorders>
          </w:tcPr>
          <w:p>
            <w:pPr>
              <w:pStyle w:val="yTableNAm"/>
              <w:spacing w:before="0"/>
            </w:pPr>
            <w:r>
              <w:rPr>
                <w:b/>
              </w:rPr>
              <w:t>Signature:</w:t>
            </w:r>
          </w:p>
        </w:tc>
        <w:tc>
          <w:tcPr>
            <w:tcW w:w="2977" w:type="dxa"/>
            <w:tcBorders>
              <w:left w:val="single" w:sz="4" w:space="0" w:color="auto"/>
            </w:tcBorders>
          </w:tcPr>
          <w:p>
            <w:pPr>
              <w:pStyle w:val="yTableNAm"/>
              <w:spacing w:before="0"/>
            </w:pPr>
          </w:p>
        </w:tc>
      </w:tr>
    </w:tbl>
    <w:p>
      <w:pPr>
        <w:pStyle w:val="yMiscellaneousBody"/>
        <w:spacing w:before="0"/>
        <w:rPr>
          <w:rFonts w:eastAsiaTheme="minorHAnsi"/>
          <w:b/>
          <w:szCs w:val="24"/>
        </w:rPr>
      </w:pPr>
    </w:p>
    <w:p>
      <w:pPr>
        <w:pStyle w:val="yFootnotesection"/>
      </w:pPr>
      <w:r>
        <w:tab/>
        <w:t>[Division 2 inserted: Gazette 5 Mar 2019 p. 631</w:t>
      </w:r>
      <w:r>
        <w:noBreakHyphen/>
        <w:t>3.]</w:t>
      </w:r>
    </w:p>
    <w:p>
      <w:pPr>
        <w:pStyle w:val="yHeading3"/>
        <w:pageBreakBefore/>
        <w:spacing w:before="0"/>
      </w:pPr>
      <w:bookmarkStart w:id="311" w:name="_Toc5353078"/>
      <w:bookmarkStart w:id="312" w:name="_Toc5353707"/>
      <w:bookmarkStart w:id="313" w:name="_Toc8742772"/>
      <w:bookmarkStart w:id="314" w:name="_Toc11053508"/>
      <w:bookmarkStart w:id="315" w:name="_Toc11744594"/>
      <w:r>
        <w:rPr>
          <w:rStyle w:val="CharSDivNo"/>
        </w:rPr>
        <w:t>Division 3</w:t>
      </w:r>
      <w:r>
        <w:rPr>
          <w:b w:val="0"/>
        </w:rPr>
        <w:t> — </w:t>
      </w:r>
      <w:r>
        <w:rPr>
          <w:rStyle w:val="CharSDivText"/>
        </w:rPr>
        <w:t>Application to register organisation or association</w:t>
      </w:r>
      <w:bookmarkEnd w:id="311"/>
      <w:bookmarkEnd w:id="312"/>
      <w:bookmarkEnd w:id="313"/>
      <w:bookmarkEnd w:id="314"/>
      <w:bookmarkEnd w:id="315"/>
    </w:p>
    <w:p>
      <w:pPr>
        <w:pStyle w:val="yShoulderClause"/>
        <w:keepNext/>
      </w:pPr>
      <w:r>
        <w:t>[r. 66(1), 67(1) and 68(1)]</w:t>
      </w:r>
    </w:p>
    <w:p>
      <w:pPr>
        <w:pStyle w:val="yFootnoteheading"/>
        <w:keepNext/>
      </w:pPr>
      <w:r>
        <w:tab/>
        <w:t>[Heading inserted: Gazette 5 Mar 2019 p. 634.]</w:t>
      </w:r>
    </w:p>
    <w:p>
      <w:pPr>
        <w:pStyle w:val="yMiscellaneousHeading"/>
      </w:pPr>
      <w:r>
        <w:rPr>
          <w:i/>
        </w:rPr>
        <w:t>Industrial Relations Act 1979</w:t>
      </w:r>
    </w:p>
    <w:p>
      <w:pPr>
        <w:pStyle w:val="yMiscellaneousHeading"/>
      </w:pPr>
      <w:r>
        <w:rPr>
          <w:i/>
        </w:rPr>
        <w:t>Industrial Relations Commission Regulations 2005</w:t>
      </w:r>
    </w:p>
    <w:p>
      <w:pPr>
        <w:pStyle w:val="yMiscellaneousHeading"/>
        <w:rPr>
          <w:szCs w:val="22"/>
        </w:rPr>
      </w:pPr>
      <w:r>
        <w:rPr>
          <w:b/>
          <w:szCs w:val="22"/>
        </w:rPr>
        <w:t>Application to register an employee or employer organisation or an industrial association</w:t>
      </w:r>
    </w:p>
    <w:p>
      <w:pPr>
        <w:pStyle w:val="yMiscellaneousBody"/>
        <w:spacing w:before="0"/>
        <w:rPr>
          <w:rFonts w:eastAsiaTheme="minorHAnsi"/>
          <w:szCs w:val="24"/>
        </w:rPr>
      </w:pPr>
    </w:p>
    <w:tbl>
      <w:tblPr>
        <w:tblStyle w:val="TableGrid"/>
        <w:tblW w:w="0" w:type="auto"/>
        <w:tblLook w:val="04A0" w:firstRow="1" w:lastRow="0" w:firstColumn="1" w:lastColumn="0" w:noHBand="0" w:noVBand="1"/>
      </w:tblPr>
      <w:tblGrid>
        <w:gridCol w:w="5353"/>
        <w:gridCol w:w="1950"/>
      </w:tblGrid>
      <w:tr>
        <w:tc>
          <w:tcPr>
            <w:tcW w:w="5353" w:type="dxa"/>
            <w:tcBorders>
              <w:top w:val="nil"/>
              <w:left w:val="nil"/>
              <w:bottom w:val="nil"/>
            </w:tcBorders>
          </w:tcPr>
          <w:p>
            <w:pPr>
              <w:pStyle w:val="yTableNAm"/>
              <w:spacing w:before="0"/>
              <w:jc w:val="right"/>
            </w:pPr>
            <w:r>
              <w:rPr>
                <w:b/>
              </w:rPr>
              <w:t>Application No.</w:t>
            </w:r>
          </w:p>
          <w:p>
            <w:pPr>
              <w:pStyle w:val="yTableNAm"/>
              <w:spacing w:before="0"/>
            </w:pPr>
          </w:p>
        </w:tc>
        <w:tc>
          <w:tcPr>
            <w:tcW w:w="1950" w:type="dxa"/>
          </w:tcPr>
          <w:p>
            <w:pPr>
              <w:pStyle w:val="yTableNAm"/>
              <w:spacing w:before="0"/>
            </w:pPr>
          </w:p>
        </w:tc>
      </w:tr>
    </w:tbl>
    <w:p>
      <w:pPr>
        <w:pStyle w:val="yMiscellaneousBody"/>
        <w:jc w:val="center"/>
      </w:pPr>
      <w:r>
        <w:t>This application is made to the Western Australian Industrial Relations Commission</w:t>
      </w:r>
    </w:p>
    <w:p>
      <w:pPr>
        <w:pStyle w:val="yMiscellaneousBody"/>
        <w:rPr>
          <w:rFonts w:eastAsiaTheme="minorHAnsi"/>
          <w:szCs w:val="24"/>
        </w:rPr>
      </w:pPr>
      <w:r>
        <w:rPr>
          <w:rFonts w:eastAsiaTheme="minorHAnsi"/>
          <w:szCs w:val="24"/>
        </w:rPr>
        <w:t>The purpose of the application is to register a new employee or employer organisation or to register an industrial association.</w:t>
      </w:r>
    </w:p>
    <w:p>
      <w:pPr>
        <w:pStyle w:val="yMiscellaneousBody"/>
        <w:rPr>
          <w:szCs w:val="22"/>
        </w:rPr>
      </w:pPr>
      <w:r>
        <w:rPr>
          <w:b/>
          <w:szCs w:val="22"/>
        </w:rPr>
        <w:t>Application for registration is made by:</w:t>
      </w:r>
    </w:p>
    <w:p>
      <w:pPr>
        <w:pStyle w:val="yMiscellaneousBody"/>
        <w:tabs>
          <w:tab w:val="left" w:pos="567"/>
        </w:tabs>
        <w:ind w:left="454" w:right="397" w:hanging="454"/>
      </w:pPr>
      <w:r>
        <w:rPr>
          <w:sz w:val="20"/>
        </w:rPr>
        <w:sym w:font="Webdings" w:char="F069"/>
      </w:r>
      <w:r>
        <w:rPr>
          <w:sz w:val="20"/>
        </w:rPr>
        <w:tab/>
        <w:t xml:space="preserve">Please insert the full name of the organisation or industrial association that is seeking registration in the space below.   </w:t>
      </w:r>
    </w:p>
    <w:p>
      <w:pPr>
        <w:pStyle w:val="yMiscellaneousBody"/>
        <w:rPr>
          <w:szCs w:val="22"/>
        </w:rPr>
      </w:pPr>
      <w:r>
        <w:rPr>
          <w:b/>
          <w:szCs w:val="22"/>
        </w:rPr>
        <w:t>Registration of the new organisation is sought as:</w:t>
      </w:r>
    </w:p>
    <w:p>
      <w:pPr>
        <w:pStyle w:val="yMiscellaneousBody"/>
        <w:tabs>
          <w:tab w:val="left" w:pos="567"/>
        </w:tabs>
      </w:pPr>
      <w:r>
        <w:sym w:font="Wingdings" w:char="F06F"/>
      </w:r>
      <w:r>
        <w:tab/>
        <w:t>an organisation of employees (</w:t>
      </w:r>
      <w:r>
        <w:rPr>
          <w:i/>
        </w:rPr>
        <w:t>Industrial Relations Act 1979</w:t>
      </w:r>
      <w:r>
        <w:t xml:space="preserve"> s. 53)</w:t>
      </w:r>
    </w:p>
    <w:p>
      <w:pPr>
        <w:pStyle w:val="yMiscellaneousBody"/>
        <w:tabs>
          <w:tab w:val="left" w:pos="567"/>
        </w:tabs>
        <w:spacing w:before="0"/>
      </w:pPr>
      <w:r>
        <w:sym w:font="Wingdings" w:char="F06F"/>
      </w:r>
      <w:r>
        <w:tab/>
        <w:t>an organisation of employers (</w:t>
      </w:r>
      <w:r>
        <w:rPr>
          <w:i/>
        </w:rPr>
        <w:t>Industrial Relations Act 1979</w:t>
      </w:r>
      <w:r>
        <w:t xml:space="preserve"> s. 54)</w:t>
      </w:r>
    </w:p>
    <w:p>
      <w:pPr>
        <w:pStyle w:val="yMiscellaneousBody"/>
        <w:tabs>
          <w:tab w:val="left" w:pos="567"/>
        </w:tabs>
        <w:spacing w:before="0"/>
      </w:pPr>
      <w:r>
        <w:sym w:font="Wingdings" w:char="F06F"/>
      </w:r>
      <w:r>
        <w:tab/>
        <w:t>an industrial association (</w:t>
      </w:r>
      <w:r>
        <w:rPr>
          <w:i/>
        </w:rPr>
        <w:t>Industrial Relations Act 1979</w:t>
      </w:r>
      <w:r>
        <w:t xml:space="preserve"> s. 67)</w:t>
      </w:r>
    </w:p>
    <w:p>
      <w:pPr>
        <w:pStyle w:val="yMiscellaneousBody"/>
        <w:rPr>
          <w:szCs w:val="22"/>
        </w:rPr>
      </w:pPr>
      <w:r>
        <w:rPr>
          <w:b/>
          <w:szCs w:val="22"/>
        </w:rPr>
        <w:t>Has the new organisation been formed as a result of the proposed amalgamation of 2 or more existing organisations?</w:t>
      </w:r>
    </w:p>
    <w:p>
      <w:pPr>
        <w:pStyle w:val="yMiscellaneousBody"/>
        <w:tabs>
          <w:tab w:val="left" w:pos="567"/>
        </w:tabs>
      </w:pPr>
      <w:r>
        <w:sym w:font="Wingdings" w:char="F06F"/>
      </w:r>
      <w:r>
        <w:tab/>
        <w:t>no</w:t>
      </w:r>
    </w:p>
    <w:p>
      <w:pPr>
        <w:pStyle w:val="yMiscellaneousBody"/>
        <w:tabs>
          <w:tab w:val="left" w:pos="567"/>
        </w:tabs>
        <w:spacing w:before="0"/>
        <w:ind w:left="567" w:hanging="567"/>
      </w:pPr>
      <w:r>
        <w:sym w:font="Wingdings" w:char="F06F"/>
      </w:r>
      <w:r>
        <w:tab/>
        <w:t>yes — please provide the full names of the amalgamating organisations below</w:t>
      </w:r>
    </w:p>
    <w:p>
      <w:pPr>
        <w:pStyle w:val="yMiscellaneousBody"/>
        <w:rPr>
          <w:rFonts w:eastAsiaTheme="minorHAnsi"/>
        </w:rPr>
      </w:pPr>
    </w:p>
    <w:tbl>
      <w:tblPr>
        <w:tblStyle w:val="TableGrid"/>
        <w:tblW w:w="0" w:type="auto"/>
        <w:tblLook w:val="04A0" w:firstRow="1" w:lastRow="0" w:firstColumn="1" w:lastColumn="0" w:noHBand="0" w:noVBand="1"/>
      </w:tblPr>
      <w:tblGrid>
        <w:gridCol w:w="3651"/>
        <w:gridCol w:w="3652"/>
      </w:tblGrid>
      <w:tr>
        <w:tc>
          <w:tcPr>
            <w:tcW w:w="3651" w:type="dxa"/>
            <w:tcBorders>
              <w:top w:val="nil"/>
              <w:left w:val="nil"/>
              <w:bottom w:val="nil"/>
            </w:tcBorders>
          </w:tcPr>
          <w:p>
            <w:pPr>
              <w:pStyle w:val="yTableNAm"/>
            </w:pPr>
            <w:r>
              <w:t>Organisation 1:</w:t>
            </w:r>
          </w:p>
        </w:tc>
        <w:tc>
          <w:tcPr>
            <w:tcW w:w="3652" w:type="dxa"/>
          </w:tcPr>
          <w:p>
            <w:pPr>
              <w:pStyle w:val="yTableNAm"/>
            </w:pPr>
          </w:p>
          <w:p>
            <w:pPr>
              <w:pStyle w:val="yTableNAm"/>
            </w:pPr>
          </w:p>
        </w:tc>
      </w:tr>
    </w:tbl>
    <w:p>
      <w:pPr>
        <w:pStyle w:val="yMiscellaneousBody"/>
        <w:rPr>
          <w:rFonts w:eastAsiaTheme="minorHAnsi"/>
        </w:rPr>
      </w:pPr>
    </w:p>
    <w:tbl>
      <w:tblPr>
        <w:tblStyle w:val="TableGrid"/>
        <w:tblW w:w="0" w:type="auto"/>
        <w:tblLook w:val="04A0" w:firstRow="1" w:lastRow="0" w:firstColumn="1" w:lastColumn="0" w:noHBand="0" w:noVBand="1"/>
      </w:tblPr>
      <w:tblGrid>
        <w:gridCol w:w="3651"/>
        <w:gridCol w:w="3652"/>
      </w:tblGrid>
      <w:tr>
        <w:tc>
          <w:tcPr>
            <w:tcW w:w="3651" w:type="dxa"/>
            <w:tcBorders>
              <w:top w:val="nil"/>
              <w:left w:val="nil"/>
              <w:bottom w:val="nil"/>
            </w:tcBorders>
          </w:tcPr>
          <w:p>
            <w:pPr>
              <w:pStyle w:val="yTableNAm"/>
            </w:pPr>
            <w:r>
              <w:t>Organisation 2:</w:t>
            </w:r>
          </w:p>
        </w:tc>
        <w:tc>
          <w:tcPr>
            <w:tcW w:w="3652" w:type="dxa"/>
          </w:tcPr>
          <w:p>
            <w:pPr>
              <w:pStyle w:val="yTableNAm"/>
            </w:pPr>
          </w:p>
          <w:p>
            <w:pPr>
              <w:pStyle w:val="yTableNAm"/>
            </w:pPr>
          </w:p>
        </w:tc>
      </w:tr>
    </w:tbl>
    <w:p>
      <w:pPr>
        <w:pStyle w:val="yMiscellaneousBody"/>
      </w:pPr>
    </w:p>
    <w:tbl>
      <w:tblPr>
        <w:tblStyle w:val="TableGrid"/>
        <w:tblW w:w="0" w:type="auto"/>
        <w:tblLook w:val="04A0" w:firstRow="1" w:lastRow="0" w:firstColumn="1" w:lastColumn="0" w:noHBand="0" w:noVBand="1"/>
      </w:tblPr>
      <w:tblGrid>
        <w:gridCol w:w="3651"/>
        <w:gridCol w:w="3652"/>
      </w:tblGrid>
      <w:tr>
        <w:tc>
          <w:tcPr>
            <w:tcW w:w="3651" w:type="dxa"/>
            <w:tcBorders>
              <w:top w:val="nil"/>
              <w:left w:val="nil"/>
              <w:bottom w:val="nil"/>
            </w:tcBorders>
          </w:tcPr>
          <w:p>
            <w:pPr>
              <w:pStyle w:val="yTableNAm"/>
            </w:pPr>
            <w:r>
              <w:t>Organisation 3:</w:t>
            </w:r>
          </w:p>
        </w:tc>
        <w:tc>
          <w:tcPr>
            <w:tcW w:w="3652" w:type="dxa"/>
          </w:tcPr>
          <w:p>
            <w:pPr>
              <w:pStyle w:val="yTableNAm"/>
            </w:pPr>
          </w:p>
          <w:p>
            <w:pPr>
              <w:pStyle w:val="yTableNAm"/>
            </w:pPr>
          </w:p>
        </w:tc>
      </w:tr>
    </w:tbl>
    <w:p>
      <w:pPr>
        <w:pStyle w:val="yMiscellaneousBody"/>
        <w:rPr>
          <w:b/>
          <w:u w:val="single"/>
        </w:rPr>
      </w:pPr>
      <w:r>
        <w:rPr>
          <w:b/>
          <w:u w:val="single"/>
        </w:rPr>
        <w:t>Applicant’s details</w:t>
      </w:r>
    </w:p>
    <w:p>
      <w:pPr>
        <w:pStyle w:val="yMiscellaneousBody"/>
        <w:rPr>
          <w:b/>
          <w:szCs w:val="22"/>
        </w:rPr>
      </w:pPr>
    </w:p>
    <w:p>
      <w:pPr>
        <w:pStyle w:val="yMiscellaneousBody"/>
        <w:tabs>
          <w:tab w:val="left" w:pos="567"/>
        </w:tabs>
        <w:spacing w:before="0"/>
        <w:ind w:left="454" w:right="397" w:hanging="454"/>
      </w:pPr>
      <w:r>
        <w:rPr>
          <w:sz w:val="20"/>
        </w:rPr>
        <w:sym w:font="Webdings" w:char="F069"/>
      </w:r>
      <w:r>
        <w:rPr>
          <w:sz w:val="20"/>
        </w:rPr>
        <w:tab/>
        <w:t xml:space="preserve">Please provide the details of the organisation(s), or industrial association(s) making this application.  </w:t>
      </w:r>
      <w:r>
        <w:rPr>
          <w:b/>
          <w:sz w:val="20"/>
        </w:rPr>
        <w:t>If there is more than 1 applicant, please attach a separate page which contains the information that is required below, for each additional applicant.</w:t>
      </w:r>
    </w:p>
    <w:p>
      <w:pPr>
        <w:pStyle w:val="yMiscellaneousBody"/>
      </w:pPr>
    </w:p>
    <w:tbl>
      <w:tblPr>
        <w:tblStyle w:val="TableGrid"/>
        <w:tblW w:w="0" w:type="auto"/>
        <w:tblLook w:val="04A0" w:firstRow="1" w:lastRow="0" w:firstColumn="1" w:lastColumn="0" w:noHBand="0" w:noVBand="1"/>
      </w:tblPr>
      <w:tblGrid>
        <w:gridCol w:w="2558"/>
        <w:gridCol w:w="2370"/>
        <w:gridCol w:w="730"/>
        <w:gridCol w:w="1645"/>
      </w:tblGrid>
      <w:tr>
        <w:tc>
          <w:tcPr>
            <w:tcW w:w="2558" w:type="dxa"/>
            <w:tcBorders>
              <w:top w:val="nil"/>
              <w:left w:val="nil"/>
              <w:bottom w:val="nil"/>
              <w:right w:val="single" w:sz="4" w:space="0" w:color="auto"/>
            </w:tcBorders>
          </w:tcPr>
          <w:p>
            <w:pPr>
              <w:pStyle w:val="yTableNAm"/>
              <w:spacing w:before="0"/>
            </w:pPr>
            <w:r>
              <w:rPr>
                <w:b/>
              </w:rPr>
              <w:t>Full name of organisation or industrial association:</w:t>
            </w:r>
          </w:p>
        </w:tc>
        <w:tc>
          <w:tcPr>
            <w:tcW w:w="4745" w:type="dxa"/>
            <w:gridSpan w:val="3"/>
            <w:tcBorders>
              <w:left w:val="single" w:sz="4" w:space="0" w:color="auto"/>
            </w:tcBorders>
          </w:tcPr>
          <w:p>
            <w:pPr>
              <w:pStyle w:val="yTableNAm"/>
              <w:spacing w:before="0"/>
            </w:pPr>
          </w:p>
        </w:tc>
      </w:tr>
      <w:tr>
        <w:tc>
          <w:tcPr>
            <w:tcW w:w="2558" w:type="dxa"/>
            <w:tcBorders>
              <w:top w:val="nil"/>
              <w:left w:val="nil"/>
              <w:bottom w:val="nil"/>
              <w:right w:val="single" w:sz="4" w:space="0" w:color="auto"/>
            </w:tcBorders>
          </w:tcPr>
          <w:p>
            <w:pPr>
              <w:pStyle w:val="yTableNAm"/>
              <w:spacing w:before="0"/>
            </w:pPr>
            <w:r>
              <w:rPr>
                <w:b/>
              </w:rPr>
              <w:t>Name of contact person:</w:t>
            </w:r>
          </w:p>
        </w:tc>
        <w:tc>
          <w:tcPr>
            <w:tcW w:w="4745" w:type="dxa"/>
            <w:gridSpan w:val="3"/>
            <w:tcBorders>
              <w:left w:val="single" w:sz="4" w:space="0" w:color="auto"/>
            </w:tcBorders>
          </w:tcPr>
          <w:p>
            <w:pPr>
              <w:pStyle w:val="yTableNAm"/>
              <w:spacing w:before="0"/>
            </w:pPr>
          </w:p>
        </w:tc>
      </w:tr>
      <w:tr>
        <w:tc>
          <w:tcPr>
            <w:tcW w:w="7303" w:type="dxa"/>
            <w:gridSpan w:val="4"/>
            <w:tcBorders>
              <w:top w:val="nil"/>
              <w:left w:val="nil"/>
              <w:bottom w:val="nil"/>
              <w:right w:val="nil"/>
            </w:tcBorders>
            <w:shd w:val="clear" w:color="auto" w:fill="auto"/>
          </w:tcPr>
          <w:p>
            <w:pPr>
              <w:pStyle w:val="yTableNAm"/>
              <w:spacing w:before="0"/>
            </w:pPr>
          </w:p>
        </w:tc>
      </w:tr>
      <w:tr>
        <w:tc>
          <w:tcPr>
            <w:tcW w:w="2558" w:type="dxa"/>
            <w:tcBorders>
              <w:top w:val="nil"/>
              <w:left w:val="nil"/>
              <w:bottom w:val="nil"/>
              <w:right w:val="single" w:sz="4" w:space="0" w:color="auto"/>
            </w:tcBorders>
            <w:shd w:val="clear" w:color="auto" w:fill="auto"/>
          </w:tcPr>
          <w:p>
            <w:pPr>
              <w:pStyle w:val="yTableNAm"/>
              <w:spacing w:before="0"/>
            </w:pPr>
            <w:r>
              <w:rPr>
                <w:b/>
              </w:rPr>
              <w:t>Address of registered office of organisation or industrial association:</w:t>
            </w:r>
          </w:p>
        </w:tc>
        <w:tc>
          <w:tcPr>
            <w:tcW w:w="4745" w:type="dxa"/>
            <w:gridSpan w:val="3"/>
            <w:tcBorders>
              <w:left w:val="single" w:sz="4" w:space="0" w:color="auto"/>
            </w:tcBorders>
            <w:shd w:val="clear" w:color="auto" w:fill="auto"/>
          </w:tcPr>
          <w:p>
            <w:pPr>
              <w:pStyle w:val="yTableNAm"/>
              <w:spacing w:before="0"/>
            </w:pPr>
          </w:p>
          <w:p>
            <w:pPr>
              <w:pStyle w:val="yTableNAm"/>
              <w:spacing w:before="0"/>
            </w:pPr>
          </w:p>
          <w:p>
            <w:pPr>
              <w:pStyle w:val="yTableNAm"/>
              <w:spacing w:before="0"/>
            </w:pPr>
          </w:p>
          <w:p>
            <w:pPr>
              <w:pStyle w:val="yTableNAm"/>
              <w:spacing w:before="0"/>
            </w:pPr>
          </w:p>
        </w:tc>
      </w:tr>
      <w:tr>
        <w:tc>
          <w:tcPr>
            <w:tcW w:w="2558" w:type="dxa"/>
            <w:tcBorders>
              <w:top w:val="nil"/>
              <w:left w:val="nil"/>
              <w:bottom w:val="nil"/>
              <w:right w:val="single" w:sz="4" w:space="0" w:color="auto"/>
            </w:tcBorders>
            <w:shd w:val="clear" w:color="auto" w:fill="auto"/>
          </w:tcPr>
          <w:p>
            <w:pPr>
              <w:pStyle w:val="yTableNAm"/>
              <w:spacing w:before="0"/>
            </w:pPr>
          </w:p>
        </w:tc>
        <w:tc>
          <w:tcPr>
            <w:tcW w:w="2370" w:type="dxa"/>
            <w:tcBorders>
              <w:left w:val="single" w:sz="4" w:space="0" w:color="auto"/>
            </w:tcBorders>
            <w:shd w:val="clear" w:color="auto" w:fill="auto"/>
          </w:tcPr>
          <w:p>
            <w:pPr>
              <w:pStyle w:val="yTableNAm"/>
              <w:spacing w:before="0"/>
            </w:pPr>
            <w:r>
              <w:rPr>
                <w:b/>
              </w:rPr>
              <w:t>Suburb:</w:t>
            </w:r>
          </w:p>
        </w:tc>
        <w:tc>
          <w:tcPr>
            <w:tcW w:w="730" w:type="dxa"/>
            <w:tcBorders>
              <w:left w:val="single" w:sz="4" w:space="0" w:color="auto"/>
            </w:tcBorders>
            <w:shd w:val="clear" w:color="auto" w:fill="auto"/>
          </w:tcPr>
          <w:p>
            <w:pPr>
              <w:pStyle w:val="yTableNAm"/>
              <w:spacing w:before="0"/>
              <w:rPr>
                <w:b/>
              </w:rPr>
            </w:pPr>
            <w:r>
              <w:t>WA</w:t>
            </w:r>
          </w:p>
        </w:tc>
        <w:tc>
          <w:tcPr>
            <w:tcW w:w="1645" w:type="dxa"/>
            <w:tcBorders>
              <w:left w:val="single" w:sz="4" w:space="0" w:color="auto"/>
            </w:tcBorders>
            <w:shd w:val="clear" w:color="auto" w:fill="auto"/>
          </w:tcPr>
          <w:p>
            <w:pPr>
              <w:pStyle w:val="yTableNAm"/>
              <w:spacing w:before="0"/>
            </w:pPr>
            <w:r>
              <w:rPr>
                <w:b/>
              </w:rPr>
              <w:t>Postcode:</w:t>
            </w:r>
          </w:p>
        </w:tc>
      </w:tr>
      <w:tr>
        <w:trPr>
          <w:trHeight w:val="1042"/>
        </w:trPr>
        <w:tc>
          <w:tcPr>
            <w:tcW w:w="7303" w:type="dxa"/>
            <w:gridSpan w:val="4"/>
            <w:tcBorders>
              <w:top w:val="nil"/>
              <w:left w:val="nil"/>
              <w:bottom w:val="nil"/>
              <w:right w:val="nil"/>
            </w:tcBorders>
          </w:tcPr>
          <w:p>
            <w:pPr>
              <w:pStyle w:val="yMiscellaneousBody"/>
              <w:tabs>
                <w:tab w:val="left" w:pos="567"/>
              </w:tabs>
              <w:ind w:left="454" w:right="397" w:hanging="454"/>
              <w:rPr>
                <w:b/>
              </w:rPr>
            </w:pPr>
            <w:r>
              <w:rPr>
                <w:rFonts w:eastAsia="Times New Roman"/>
                <w:sz w:val="20"/>
              </w:rPr>
              <w:sym w:font="Webdings" w:char="F069"/>
            </w:r>
            <w:r>
              <w:rPr>
                <w:rFonts w:eastAsia="Times New Roman"/>
                <w:sz w:val="20"/>
              </w:rPr>
              <w:tab/>
              <w:t>The address provided must be the address of the registered office of the organisation or industrial association.  A PO Box or Locked Bag number is not an acceptable postal address for the purposes of this application.</w:t>
            </w:r>
          </w:p>
        </w:tc>
      </w:tr>
      <w:tr>
        <w:tc>
          <w:tcPr>
            <w:tcW w:w="2558" w:type="dxa"/>
            <w:tcBorders>
              <w:top w:val="nil"/>
              <w:left w:val="nil"/>
              <w:bottom w:val="nil"/>
              <w:right w:val="single" w:sz="4" w:space="0" w:color="auto"/>
            </w:tcBorders>
          </w:tcPr>
          <w:p>
            <w:pPr>
              <w:pStyle w:val="yTableNAm"/>
              <w:spacing w:before="0"/>
            </w:pPr>
            <w:r>
              <w:rPr>
                <w:b/>
              </w:rPr>
              <w:t>Telephone number:</w:t>
            </w:r>
          </w:p>
        </w:tc>
        <w:tc>
          <w:tcPr>
            <w:tcW w:w="4745" w:type="dxa"/>
            <w:gridSpan w:val="3"/>
            <w:tcBorders>
              <w:top w:val="single" w:sz="4" w:space="0" w:color="auto"/>
              <w:left w:val="single" w:sz="4" w:space="0" w:color="auto"/>
            </w:tcBorders>
          </w:tcPr>
          <w:p>
            <w:pPr>
              <w:pStyle w:val="yTableNAm"/>
              <w:spacing w:before="0"/>
            </w:pPr>
          </w:p>
        </w:tc>
      </w:tr>
      <w:tr>
        <w:tc>
          <w:tcPr>
            <w:tcW w:w="2558" w:type="dxa"/>
            <w:tcBorders>
              <w:top w:val="nil"/>
              <w:left w:val="nil"/>
              <w:bottom w:val="nil"/>
              <w:right w:val="single" w:sz="4" w:space="0" w:color="auto"/>
            </w:tcBorders>
          </w:tcPr>
          <w:p>
            <w:pPr>
              <w:pStyle w:val="yTableNAm"/>
              <w:spacing w:before="0"/>
            </w:pPr>
            <w:r>
              <w:rPr>
                <w:b/>
              </w:rPr>
              <w:t>Email address:</w:t>
            </w:r>
          </w:p>
        </w:tc>
        <w:tc>
          <w:tcPr>
            <w:tcW w:w="4745" w:type="dxa"/>
            <w:gridSpan w:val="3"/>
            <w:tcBorders>
              <w:left w:val="single" w:sz="4" w:space="0" w:color="auto"/>
            </w:tcBorders>
          </w:tcPr>
          <w:p>
            <w:pPr>
              <w:pStyle w:val="yTableNAm"/>
              <w:spacing w:before="0"/>
            </w:pPr>
          </w:p>
        </w:tc>
      </w:tr>
    </w:tbl>
    <w:p>
      <w:pPr>
        <w:pStyle w:val="yMiscellaneousBody"/>
      </w:pPr>
      <w:r>
        <w:rPr>
          <w:b/>
        </w:rPr>
        <w:t>Do you need an interpreter?</w:t>
      </w:r>
    </w:p>
    <w:tbl>
      <w:tblPr>
        <w:tblStyle w:val="TableGrid"/>
        <w:tblW w:w="0" w:type="auto"/>
        <w:tblLook w:val="04A0" w:firstRow="1" w:lastRow="0" w:firstColumn="1" w:lastColumn="0" w:noHBand="0" w:noVBand="1"/>
      </w:tblPr>
      <w:tblGrid>
        <w:gridCol w:w="3651"/>
        <w:gridCol w:w="3652"/>
      </w:tblGrid>
      <w:tr>
        <w:tc>
          <w:tcPr>
            <w:tcW w:w="3651" w:type="dxa"/>
            <w:tcBorders>
              <w:top w:val="nil"/>
              <w:left w:val="nil"/>
              <w:bottom w:val="nil"/>
            </w:tcBorders>
          </w:tcPr>
          <w:p>
            <w:pPr>
              <w:pStyle w:val="yTableNAm"/>
            </w:pPr>
            <w:r>
              <w:rPr>
                <w:snapToGrid w:val="0"/>
              </w:rPr>
              <w:sym w:font="Wingdings" w:char="F06F"/>
            </w:r>
            <w:r>
              <w:tab/>
              <w:t>yes — language required</w:t>
            </w:r>
          </w:p>
        </w:tc>
        <w:tc>
          <w:tcPr>
            <w:tcW w:w="3652" w:type="dxa"/>
            <w:tcBorders>
              <w:bottom w:val="single" w:sz="4" w:space="0" w:color="auto"/>
            </w:tcBorders>
          </w:tcPr>
          <w:p>
            <w:pPr>
              <w:pStyle w:val="yTableNAm"/>
            </w:pPr>
          </w:p>
        </w:tc>
      </w:tr>
      <w:tr>
        <w:tc>
          <w:tcPr>
            <w:tcW w:w="3651" w:type="dxa"/>
            <w:tcBorders>
              <w:top w:val="nil"/>
              <w:left w:val="nil"/>
              <w:bottom w:val="nil"/>
              <w:right w:val="nil"/>
            </w:tcBorders>
          </w:tcPr>
          <w:p>
            <w:pPr>
              <w:pStyle w:val="yTableNAm"/>
            </w:pPr>
            <w:r>
              <w:rPr>
                <w:snapToGrid w:val="0"/>
              </w:rPr>
              <w:sym w:font="Wingdings" w:char="F06F"/>
            </w:r>
            <w:r>
              <w:tab/>
              <w:t>no</w:t>
            </w:r>
          </w:p>
        </w:tc>
        <w:tc>
          <w:tcPr>
            <w:tcW w:w="3652" w:type="dxa"/>
            <w:tcBorders>
              <w:left w:val="nil"/>
              <w:bottom w:val="nil"/>
              <w:right w:val="nil"/>
            </w:tcBorders>
          </w:tcPr>
          <w:p>
            <w:pPr>
              <w:pStyle w:val="yTableNAm"/>
            </w:pPr>
          </w:p>
        </w:tc>
      </w:tr>
    </w:tbl>
    <w:p>
      <w:pPr>
        <w:pStyle w:val="yMiscellaneousBody"/>
        <w:keepNext/>
        <w:rPr>
          <w:b/>
        </w:rPr>
      </w:pPr>
      <w:r>
        <w:rPr>
          <w:b/>
        </w:rPr>
        <w:t xml:space="preserve">Do you, or any person attending the Commission with you, require any special assistance (such as wheelchair accessibility or a hearing loop)? </w:t>
      </w:r>
    </w:p>
    <w:tbl>
      <w:tblPr>
        <w:tblStyle w:val="TableGrid"/>
        <w:tblW w:w="0" w:type="auto"/>
        <w:tblLook w:val="04A0" w:firstRow="1" w:lastRow="0" w:firstColumn="1" w:lastColumn="0" w:noHBand="0" w:noVBand="1"/>
      </w:tblPr>
      <w:tblGrid>
        <w:gridCol w:w="3651"/>
        <w:gridCol w:w="3652"/>
      </w:tblGrid>
      <w:tr>
        <w:tc>
          <w:tcPr>
            <w:tcW w:w="3651" w:type="dxa"/>
            <w:tcBorders>
              <w:top w:val="nil"/>
              <w:left w:val="nil"/>
              <w:bottom w:val="nil"/>
            </w:tcBorders>
          </w:tcPr>
          <w:p>
            <w:pPr>
              <w:pStyle w:val="yTableNAm"/>
            </w:pPr>
            <w:r>
              <w:rPr>
                <w:snapToGrid w:val="0"/>
              </w:rPr>
              <w:sym w:font="Wingdings" w:char="F06F"/>
            </w:r>
            <w:r>
              <w:tab/>
              <w:t>yes —  please specify:</w:t>
            </w:r>
          </w:p>
        </w:tc>
        <w:tc>
          <w:tcPr>
            <w:tcW w:w="3652" w:type="dxa"/>
            <w:tcBorders>
              <w:bottom w:val="single" w:sz="4" w:space="0" w:color="auto"/>
            </w:tcBorders>
          </w:tcPr>
          <w:p>
            <w:pPr>
              <w:pStyle w:val="yTableNAm"/>
            </w:pPr>
          </w:p>
        </w:tc>
      </w:tr>
      <w:tr>
        <w:tc>
          <w:tcPr>
            <w:tcW w:w="3651" w:type="dxa"/>
            <w:tcBorders>
              <w:top w:val="nil"/>
              <w:left w:val="nil"/>
              <w:bottom w:val="nil"/>
              <w:right w:val="nil"/>
            </w:tcBorders>
          </w:tcPr>
          <w:p>
            <w:pPr>
              <w:pStyle w:val="yTableNAm"/>
            </w:pPr>
            <w:r>
              <w:rPr>
                <w:snapToGrid w:val="0"/>
              </w:rPr>
              <w:sym w:font="Wingdings" w:char="F06F"/>
            </w:r>
            <w:r>
              <w:tab/>
              <w:t>no</w:t>
            </w:r>
          </w:p>
        </w:tc>
        <w:tc>
          <w:tcPr>
            <w:tcW w:w="3652" w:type="dxa"/>
            <w:tcBorders>
              <w:left w:val="nil"/>
              <w:bottom w:val="nil"/>
              <w:right w:val="nil"/>
            </w:tcBorders>
          </w:tcPr>
          <w:p>
            <w:pPr>
              <w:pStyle w:val="yTableNAm"/>
            </w:pPr>
          </w:p>
        </w:tc>
      </w:tr>
    </w:tbl>
    <w:p>
      <w:pPr>
        <w:pStyle w:val="yMiscellaneousBody"/>
        <w:rPr>
          <w:b/>
        </w:rPr>
      </w:pPr>
      <w:r>
        <w:rPr>
          <w:b/>
        </w:rPr>
        <w:t>Applicant’s representative’s details</w:t>
      </w:r>
    </w:p>
    <w:p>
      <w:pPr>
        <w:pStyle w:val="yMiscellaneousBody"/>
        <w:tabs>
          <w:tab w:val="left" w:pos="567"/>
        </w:tabs>
        <w:ind w:left="454" w:right="397" w:hanging="454"/>
      </w:pPr>
      <w:r>
        <w:rPr>
          <w:sz w:val="20"/>
        </w:rPr>
        <w:sym w:font="Webdings" w:char="F069"/>
      </w:r>
      <w:r>
        <w:rPr>
          <w:sz w:val="20"/>
        </w:rPr>
        <w:tab/>
        <w:t>You may have a representative present your case on your behalf, such as a registered industrial agent, a union official (if you are a member of a union) or a lawyer.  If you have a representative, please provide their contact details below.</w:t>
      </w:r>
    </w:p>
    <w:p>
      <w:pPr>
        <w:pStyle w:val="yMiscellaneousBody"/>
        <w:tabs>
          <w:tab w:val="left" w:pos="567"/>
        </w:tabs>
        <w:spacing w:before="80"/>
        <w:ind w:left="454" w:right="397" w:hanging="454"/>
      </w:pPr>
      <w:r>
        <w:rPr>
          <w:sz w:val="20"/>
        </w:rPr>
        <w:tab/>
        <w:t>You are not required to have a representative and may present your own case.</w:t>
      </w:r>
    </w:p>
    <w:p>
      <w:pPr>
        <w:pStyle w:val="yMiscellaneousBody"/>
        <w:rPr>
          <w:b/>
        </w:rPr>
      </w:pPr>
      <w:r>
        <w:rPr>
          <w:b/>
        </w:rPr>
        <w:t>Do you have a representative?</w:t>
      </w:r>
    </w:p>
    <w:p>
      <w:pPr>
        <w:pStyle w:val="yMiscellaneousBody"/>
        <w:tabs>
          <w:tab w:val="left" w:pos="567"/>
        </w:tabs>
      </w:pPr>
      <w:r>
        <w:sym w:font="Wingdings" w:char="F06F"/>
      </w:r>
      <w:r>
        <w:tab/>
        <w:t>yes</w:t>
      </w:r>
    </w:p>
    <w:p>
      <w:pPr>
        <w:pStyle w:val="yMiscellaneousBody"/>
        <w:tabs>
          <w:tab w:val="left" w:pos="567"/>
        </w:tabs>
      </w:pPr>
      <w:r>
        <w:sym w:font="Wingdings" w:char="F06F"/>
      </w:r>
      <w:r>
        <w:tab/>
        <w:t>no</w:t>
      </w:r>
    </w:p>
    <w:p>
      <w:pPr>
        <w:pStyle w:val="yMiscellaneousBody"/>
      </w:pPr>
    </w:p>
    <w:tbl>
      <w:tblPr>
        <w:tblStyle w:val="TableGrid"/>
        <w:tblW w:w="0" w:type="auto"/>
        <w:tblLook w:val="04A0" w:firstRow="1" w:lastRow="0" w:firstColumn="1" w:lastColumn="0" w:noHBand="0" w:noVBand="1"/>
      </w:tblPr>
      <w:tblGrid>
        <w:gridCol w:w="2773"/>
        <w:gridCol w:w="4530"/>
      </w:tblGrid>
      <w:tr>
        <w:tc>
          <w:tcPr>
            <w:tcW w:w="2773" w:type="dxa"/>
            <w:tcBorders>
              <w:top w:val="nil"/>
              <w:left w:val="nil"/>
              <w:bottom w:val="nil"/>
              <w:right w:val="single" w:sz="4" w:space="0" w:color="auto"/>
            </w:tcBorders>
          </w:tcPr>
          <w:p>
            <w:pPr>
              <w:pStyle w:val="yTableNAm"/>
              <w:spacing w:before="0"/>
              <w:rPr>
                <w:snapToGrid w:val="0"/>
              </w:rPr>
            </w:pPr>
            <w:r>
              <w:rPr>
                <w:b/>
                <w:snapToGrid w:val="0"/>
              </w:rPr>
              <w:t>Name of representative:</w:t>
            </w:r>
          </w:p>
        </w:tc>
        <w:tc>
          <w:tcPr>
            <w:tcW w:w="4530" w:type="dxa"/>
            <w:tcBorders>
              <w:left w:val="single" w:sz="4" w:space="0" w:color="auto"/>
              <w:bottom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Name of organisation, agent or law firm:</w:t>
            </w: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Postal address:</w:t>
            </w:r>
          </w:p>
          <w:p>
            <w:pPr>
              <w:pStyle w:val="yTableNAm"/>
              <w:spacing w:before="0"/>
              <w:rPr>
                <w:snapToGrid w:val="0"/>
              </w:rPr>
            </w:pP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Suburb:</w:t>
            </w: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State or Territory:</w:t>
            </w: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Postcode:</w:t>
            </w: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br w:type="page"/>
              <w:t>Telephone number:</w:t>
            </w: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Email address:</w:t>
            </w:r>
          </w:p>
        </w:tc>
        <w:tc>
          <w:tcPr>
            <w:tcW w:w="4530" w:type="dxa"/>
            <w:tcBorders>
              <w:left w:val="single" w:sz="4" w:space="0" w:color="auto"/>
              <w:bottom w:val="single" w:sz="4" w:space="0" w:color="auto"/>
            </w:tcBorders>
          </w:tcPr>
          <w:p>
            <w:pPr>
              <w:pStyle w:val="yTableNAm"/>
              <w:spacing w:before="0"/>
              <w:rPr>
                <w:snapToGrid w:val="0"/>
              </w:rPr>
            </w:pPr>
          </w:p>
        </w:tc>
      </w:tr>
    </w:tbl>
    <w:p>
      <w:pPr>
        <w:pStyle w:val="yMiscellaneousBody"/>
      </w:pPr>
      <w:r>
        <w:rPr>
          <w:b/>
        </w:rPr>
        <w:t>If you have a representative, the Commission will contact either you or your representative, so you need to decide whether you are to be, or your representative is to be, the contact person for the Commission.  Who would you like the Commission to send documents and correspondence to, relating to your application?</w:t>
      </w:r>
    </w:p>
    <w:p>
      <w:pPr>
        <w:pStyle w:val="yMiscellaneousBody"/>
      </w:pPr>
      <w:r>
        <w:rPr>
          <w:snapToGrid w:val="0"/>
        </w:rPr>
        <w:sym w:font="Wingdings" w:char="F06F"/>
      </w:r>
      <w:r>
        <w:t xml:space="preserve">   to you      </w:t>
      </w:r>
      <w:r>
        <w:rPr>
          <w:b/>
        </w:rPr>
        <w:t>or</w:t>
      </w:r>
      <w:r>
        <w:t xml:space="preserve">      </w:t>
      </w:r>
      <w:r>
        <w:rPr>
          <w:snapToGrid w:val="0"/>
        </w:rPr>
        <w:sym w:font="Wingdings" w:char="F06F"/>
      </w:r>
      <w:r>
        <w:t xml:space="preserve">   to your representative</w:t>
      </w:r>
    </w:p>
    <w:p>
      <w:pPr>
        <w:pStyle w:val="yMiscellaneousBody"/>
        <w:keepNext/>
      </w:pPr>
      <w:r>
        <w:rPr>
          <w:b/>
        </w:rPr>
        <w:t xml:space="preserve">How would you like that correspondence to be sent? </w:t>
      </w:r>
    </w:p>
    <w:p>
      <w:pPr>
        <w:pStyle w:val="yMiscellaneousBody"/>
        <w:keepNext/>
        <w:jc w:val="both"/>
      </w:pPr>
      <w:r>
        <w:rPr>
          <w:snapToGrid w:val="0"/>
        </w:rPr>
        <w:sym w:font="Wingdings" w:char="F06F"/>
      </w:r>
      <w:r>
        <w:t xml:space="preserve">   by email      </w:t>
      </w:r>
      <w:r>
        <w:rPr>
          <w:b/>
        </w:rPr>
        <w:t>or</w:t>
      </w:r>
      <w:r>
        <w:t xml:space="preserve">      </w:t>
      </w:r>
      <w:r>
        <w:rPr>
          <w:snapToGrid w:val="0"/>
        </w:rPr>
        <w:sym w:font="Wingdings" w:char="F06F"/>
      </w:r>
      <w:r>
        <w:t xml:space="preserve">   by post</w:t>
      </w:r>
    </w:p>
    <w:p>
      <w:pPr>
        <w:pStyle w:val="yMiscellaneousBody"/>
        <w:tabs>
          <w:tab w:val="left" w:pos="567"/>
        </w:tabs>
        <w:ind w:left="454" w:right="397" w:hanging="454"/>
      </w:pPr>
      <w:r>
        <w:rPr>
          <w:sz w:val="20"/>
        </w:rPr>
        <w:sym w:font="Webdings" w:char="F069"/>
      </w:r>
      <w:r>
        <w:rPr>
          <w:sz w:val="20"/>
        </w:rPr>
        <w:tab/>
        <w:t>If you choose to receive documents and correspondence by email, or to have documents and correspondence sent by email to your representative on your behalf, it is your or your representative’s responsibility to check your email inbox regularly for communication from the Commission.</w:t>
      </w:r>
    </w:p>
    <w:p>
      <w:pPr>
        <w:pStyle w:val="yMiscellaneousBody"/>
        <w:jc w:val="center"/>
        <w:rPr>
          <w:u w:val="single"/>
        </w:rPr>
      </w:pPr>
      <w:r>
        <w:rPr>
          <w:b/>
          <w:u w:val="single"/>
        </w:rPr>
        <w:t>DOCUMENT CHECKLIST</w:t>
      </w:r>
    </w:p>
    <w:p>
      <w:pPr>
        <w:pStyle w:val="yMiscellaneousBody"/>
        <w:jc w:val="center"/>
        <w:rPr>
          <w:u w:val="single"/>
        </w:rPr>
      </w:pPr>
      <w:r>
        <w:rPr>
          <w:b/>
          <w:u w:val="single"/>
        </w:rPr>
        <w:t>APPLICATION FOR REGISTRATION AS AN EMPLOYEE OR EMPLOYER ORGANISATION</w:t>
      </w:r>
    </w:p>
    <w:p>
      <w:pPr>
        <w:pStyle w:val="yMiscellaneousBody"/>
      </w:pPr>
      <w:r>
        <w:rPr>
          <w:b/>
        </w:rPr>
        <w:t>To apply for registration as an employee or employer organisation, the following documents are to be provided and attached to this application when it is lodged:</w:t>
      </w:r>
    </w:p>
    <w:p>
      <w:pPr>
        <w:pStyle w:val="yMiscellaneousBody"/>
        <w:tabs>
          <w:tab w:val="left" w:pos="567"/>
        </w:tabs>
        <w:ind w:left="454" w:right="397" w:hanging="454"/>
      </w:pPr>
      <w:r>
        <w:rPr>
          <w:sz w:val="20"/>
        </w:rPr>
        <w:sym w:font="Webdings" w:char="F069"/>
      </w:r>
      <w:r>
        <w:rPr>
          <w:sz w:val="20"/>
        </w:rPr>
        <w:tab/>
        <w:t xml:space="preserve">Please confirm that the following documents have been attached to this application by ticking each of the check boxes below.  </w:t>
      </w:r>
      <w:r>
        <w:rPr>
          <w:b/>
          <w:sz w:val="20"/>
        </w:rPr>
        <w:t>If this application seeks the registration of a new organisation as a result of the proposed amalgamation of 2 or more existing organisations, the documents required in points 1, 3, 4 and 5 below must be provided for each organisation.</w:t>
      </w:r>
    </w:p>
    <w:p>
      <w:pPr>
        <w:pStyle w:val="yMiscellaneousBody"/>
        <w:tabs>
          <w:tab w:val="left" w:pos="567"/>
          <w:tab w:val="left" w:pos="1134"/>
        </w:tabs>
        <w:ind w:left="1140" w:hanging="1140"/>
      </w:pPr>
      <w:r>
        <w:t>1.</w:t>
      </w:r>
      <w:r>
        <w:tab/>
      </w:r>
      <w:r>
        <w:rPr>
          <w:snapToGrid w:val="0"/>
        </w:rPr>
        <w:sym w:font="Wingdings" w:char="F06F"/>
      </w:r>
      <w:r>
        <w:tab/>
        <w:t>3 copies of a list containing the full names of the officers of the organisation, with their respective addresses; and</w:t>
      </w:r>
    </w:p>
    <w:p>
      <w:pPr>
        <w:pStyle w:val="yMiscellaneousBody"/>
        <w:tabs>
          <w:tab w:val="left" w:pos="567"/>
          <w:tab w:val="left" w:pos="1134"/>
        </w:tabs>
        <w:ind w:left="1140" w:hanging="1140"/>
      </w:pPr>
      <w:r>
        <w:t>2</w:t>
      </w:r>
      <w:r>
        <w:tab/>
      </w:r>
      <w:r>
        <w:sym w:font="Wingdings" w:char="F06F"/>
      </w:r>
      <w:r>
        <w:tab/>
        <w:t>3 printed or type-written copies of the rules of the organisation, certified as being correct by the president or secretary of the organisation; and</w:t>
      </w:r>
    </w:p>
    <w:p>
      <w:pPr>
        <w:pStyle w:val="yMiscellaneousBody"/>
        <w:tabs>
          <w:tab w:val="left" w:pos="567"/>
          <w:tab w:val="left" w:pos="1134"/>
        </w:tabs>
        <w:ind w:left="1140" w:hanging="1140"/>
      </w:pPr>
      <w:r>
        <w:t>3.</w:t>
      </w:r>
      <w:r>
        <w:tab/>
      </w:r>
      <w:r>
        <w:sym w:font="Wingdings" w:char="F06F"/>
      </w:r>
      <w:r>
        <w:tab/>
        <w:t xml:space="preserve">3 copies of the information given to members in accordance with the </w:t>
      </w:r>
      <w:r>
        <w:rPr>
          <w:i/>
        </w:rPr>
        <w:t>Industrial Relations Act 1979</w:t>
      </w:r>
      <w:r>
        <w:t xml:space="preserve"> s. 55(4)(b); and</w:t>
      </w:r>
    </w:p>
    <w:p>
      <w:pPr>
        <w:pStyle w:val="yMiscellaneousBody"/>
        <w:tabs>
          <w:tab w:val="left" w:pos="567"/>
          <w:tab w:val="left" w:pos="1134"/>
        </w:tabs>
        <w:ind w:left="1140" w:hanging="1140"/>
      </w:pPr>
      <w:r>
        <w:t>4.</w:t>
      </w:r>
      <w:r>
        <w:tab/>
      </w:r>
      <w:r>
        <w:sym w:font="Wingdings" w:char="F06F"/>
      </w:r>
      <w:r>
        <w:tab/>
        <w:t>3 copies of the resolution of the organisation authorising the making of this application to the Commission; and</w:t>
      </w:r>
    </w:p>
    <w:p>
      <w:pPr>
        <w:pStyle w:val="yMiscellaneousBody"/>
        <w:tabs>
          <w:tab w:val="left" w:pos="567"/>
          <w:tab w:val="left" w:pos="1134"/>
        </w:tabs>
        <w:ind w:left="1140" w:hanging="1140"/>
      </w:pPr>
      <w:r>
        <w:t>5.</w:t>
      </w:r>
      <w:r>
        <w:tab/>
      </w:r>
      <w:r>
        <w:sym w:font="Wingdings" w:char="F06F"/>
      </w:r>
      <w:r>
        <w:tab/>
        <w:t xml:space="preserve">a statement, in the form of a statutory declaration made by the president or secretary (as authorised by the organisation’s rules) which details the process undertaken by the organisation to inform its members, including how notices were disseminated.  The statement must also provide evidence of the required resolutions having been made, in accordance with the rules of the organisation.  </w:t>
      </w:r>
    </w:p>
    <w:p>
      <w:pPr>
        <w:pStyle w:val="yMiscellaneousBody"/>
        <w:keepNext/>
        <w:rPr>
          <w:u w:val="single"/>
        </w:rPr>
      </w:pPr>
      <w:r>
        <w:rPr>
          <w:b/>
          <w:u w:val="single"/>
        </w:rPr>
        <w:t>NOTE:</w:t>
      </w:r>
    </w:p>
    <w:p>
      <w:pPr>
        <w:pStyle w:val="yMiscellaneousBody"/>
      </w:pPr>
      <w:r>
        <w:rPr>
          <w:b/>
        </w:rPr>
        <w:t>If this application is being lodged in person or by post, where specified above 3 copies of documents must be provided.  If the application is being lodged using the Commission’s online lodgment system, or via email, you need only provide 1 copy of each of the required documents.</w:t>
      </w:r>
    </w:p>
    <w:p>
      <w:pPr>
        <w:pStyle w:val="yMiscellaneousBody"/>
        <w:jc w:val="center"/>
        <w:rPr>
          <w:u w:val="single"/>
        </w:rPr>
      </w:pPr>
      <w:r>
        <w:rPr>
          <w:b/>
          <w:u w:val="single"/>
        </w:rPr>
        <w:t>DOCUMENT CHECKLIST</w:t>
      </w:r>
    </w:p>
    <w:p>
      <w:pPr>
        <w:pStyle w:val="yMiscellaneousBody"/>
        <w:jc w:val="center"/>
        <w:rPr>
          <w:u w:val="single"/>
        </w:rPr>
      </w:pPr>
      <w:r>
        <w:rPr>
          <w:b/>
          <w:u w:val="single"/>
        </w:rPr>
        <w:t>APPLICATION FOR REGISTRATION OF AN INDUSTRIAL ASSOCIATION</w:t>
      </w:r>
    </w:p>
    <w:p>
      <w:pPr>
        <w:pStyle w:val="yMiscellaneousBody"/>
      </w:pPr>
      <w:r>
        <w:rPr>
          <w:b/>
        </w:rPr>
        <w:t>To apply for the registration of an industrial association, the following documents are to be provided and attached to this application when it is lodged:</w:t>
      </w:r>
    </w:p>
    <w:p>
      <w:pPr>
        <w:pStyle w:val="yMiscellaneousBody"/>
        <w:tabs>
          <w:tab w:val="left" w:pos="567"/>
        </w:tabs>
        <w:ind w:left="454" w:right="397" w:hanging="454"/>
      </w:pPr>
      <w:r>
        <w:rPr>
          <w:sz w:val="20"/>
        </w:rPr>
        <w:sym w:font="Webdings" w:char="F069"/>
      </w:r>
      <w:r>
        <w:rPr>
          <w:sz w:val="20"/>
        </w:rPr>
        <w:tab/>
        <w:t xml:space="preserve">Please confirm that the following documents have been attached to this application by ticking each of the check boxes below.  </w:t>
      </w:r>
    </w:p>
    <w:p>
      <w:pPr>
        <w:pStyle w:val="yMiscellaneousBody"/>
        <w:tabs>
          <w:tab w:val="left" w:pos="567"/>
          <w:tab w:val="left" w:pos="1134"/>
        </w:tabs>
        <w:ind w:left="1140" w:hanging="1140"/>
      </w:pPr>
      <w:r>
        <w:t>1.</w:t>
      </w:r>
      <w:r>
        <w:tab/>
      </w:r>
      <w:r>
        <w:sym w:font="Wingdings" w:char="F06F"/>
      </w:r>
      <w:r>
        <w:tab/>
        <w:t>3 copies of a list containing the full names of the organisations that are represented on the council or other body; and</w:t>
      </w:r>
    </w:p>
    <w:p>
      <w:pPr>
        <w:pStyle w:val="yMiscellaneousBody"/>
        <w:tabs>
          <w:tab w:val="left" w:pos="567"/>
          <w:tab w:val="left" w:pos="1134"/>
        </w:tabs>
        <w:ind w:left="1140" w:hanging="1140"/>
      </w:pPr>
      <w:r>
        <w:t>2</w:t>
      </w:r>
      <w:r>
        <w:tab/>
      </w:r>
      <w:r>
        <w:sym w:font="Wingdings" w:char="F06F"/>
      </w:r>
      <w:r>
        <w:tab/>
        <w:t>3 copies of a list containing the full name and address of each person representing those organisations on the council or other body; and</w:t>
      </w:r>
    </w:p>
    <w:p>
      <w:pPr>
        <w:pStyle w:val="yMiscellaneousBody"/>
        <w:tabs>
          <w:tab w:val="left" w:pos="567"/>
          <w:tab w:val="left" w:pos="1134"/>
        </w:tabs>
        <w:ind w:left="1140" w:hanging="1140"/>
      </w:pPr>
      <w:r>
        <w:t>3.</w:t>
      </w:r>
      <w:r>
        <w:tab/>
      </w:r>
      <w:r>
        <w:sym w:font="Wingdings" w:char="F06F"/>
      </w:r>
      <w:r>
        <w:tab/>
        <w:t>3 copies of a list containing the full names and addresses of the officers of the council or other body; and</w:t>
      </w:r>
    </w:p>
    <w:p>
      <w:pPr>
        <w:pStyle w:val="yMiscellaneousBody"/>
        <w:tabs>
          <w:tab w:val="left" w:pos="567"/>
          <w:tab w:val="left" w:pos="1134"/>
        </w:tabs>
        <w:ind w:left="1140" w:hanging="1140"/>
      </w:pPr>
      <w:r>
        <w:t>4.</w:t>
      </w:r>
      <w:r>
        <w:tab/>
      </w:r>
      <w:r>
        <w:sym w:font="Wingdings" w:char="F06F"/>
      </w:r>
      <w:r>
        <w:tab/>
        <w:t>3 printed or type-written copies of the rules of the council or other body, certified as being correct by the president or chairman and secretary of the council or other body; an</w:t>
      </w:r>
    </w:p>
    <w:p>
      <w:pPr>
        <w:pStyle w:val="yMiscellaneousBody"/>
        <w:tabs>
          <w:tab w:val="left" w:pos="567"/>
          <w:tab w:val="left" w:pos="1134"/>
        </w:tabs>
        <w:ind w:left="1140" w:hanging="1140"/>
      </w:pPr>
      <w:r>
        <w:t>5.</w:t>
      </w:r>
      <w:r>
        <w:tab/>
      </w:r>
      <w:r>
        <w:sym w:font="Wingdings" w:char="F06F"/>
      </w:r>
      <w:r>
        <w:tab/>
        <w:t xml:space="preserve">3 copies of the information given to members of the council or other body in accordance with the </w:t>
      </w:r>
      <w:r>
        <w:rPr>
          <w:i/>
        </w:rPr>
        <w:t>Industrial Relations Act 1979</w:t>
      </w:r>
      <w:r>
        <w:t xml:space="preserve"> s. 55(4)(b), as applied by the </w:t>
      </w:r>
      <w:r>
        <w:rPr>
          <w:i/>
        </w:rPr>
        <w:t>Industrial Relations Act 1979</w:t>
      </w:r>
      <w:r>
        <w:t xml:space="preserve"> s. 67(3); and</w:t>
      </w:r>
    </w:p>
    <w:p>
      <w:pPr>
        <w:pStyle w:val="yMiscellaneousBody"/>
        <w:tabs>
          <w:tab w:val="left" w:pos="567"/>
          <w:tab w:val="left" w:pos="1134"/>
        </w:tabs>
        <w:ind w:left="1140" w:hanging="1140"/>
      </w:pPr>
      <w:r>
        <w:t>6.</w:t>
      </w:r>
      <w:r>
        <w:tab/>
      </w:r>
      <w:r>
        <w:sym w:font="Wingdings" w:char="F06F"/>
      </w:r>
      <w:r>
        <w:tab/>
        <w:t>3 copies of the resolution of the council or other body authorising the making of this application to the Commission; and</w:t>
      </w:r>
    </w:p>
    <w:p>
      <w:pPr>
        <w:pStyle w:val="yMiscellaneousBody"/>
        <w:tabs>
          <w:tab w:val="left" w:pos="567"/>
          <w:tab w:val="left" w:pos="1134"/>
        </w:tabs>
        <w:ind w:left="1140" w:hanging="1140"/>
      </w:pPr>
      <w:r>
        <w:t>7.</w:t>
      </w:r>
      <w:r>
        <w:tab/>
      </w:r>
      <w:r>
        <w:sym w:font="Wingdings" w:char="F06F"/>
      </w:r>
      <w:r>
        <w:tab/>
        <w:t>a statement, in the form of a statutory declaration made by the president, chairman or secretary (as authorised by the rules of the council or other body) which details the process undertaken by the council or other body to inform its members, including how notices were disseminated; the statement must also provide evidence of the required resolutions, in accordance with the rules of the council or other body.</w:t>
      </w:r>
    </w:p>
    <w:p>
      <w:pPr>
        <w:pStyle w:val="yMiscellaneousBody"/>
        <w:keepNext/>
        <w:rPr>
          <w:u w:val="single"/>
        </w:rPr>
      </w:pPr>
      <w:r>
        <w:rPr>
          <w:b/>
          <w:u w:val="single"/>
        </w:rPr>
        <w:t>NOTE</w:t>
      </w:r>
      <w:r>
        <w:rPr>
          <w:u w:val="single"/>
        </w:rPr>
        <w:t>:</w:t>
      </w:r>
    </w:p>
    <w:p>
      <w:pPr>
        <w:pStyle w:val="yMiscellaneousBody"/>
      </w:pPr>
      <w:r>
        <w:rPr>
          <w:b/>
        </w:rPr>
        <w:t>If this application is being lodged in person or by post, where specified above 3 copies of documents must be provided.  If the application is being lodged using the Commission’s online lodgment system, or via email, you need only provide 1 copy of each of the required documents.</w:t>
      </w:r>
    </w:p>
    <w:p>
      <w:pPr>
        <w:pStyle w:val="yMiscellaneousBody"/>
        <w:rPr>
          <w:u w:val="single"/>
        </w:rPr>
      </w:pPr>
      <w:r>
        <w:rPr>
          <w:b/>
          <w:u w:val="single"/>
        </w:rPr>
        <w:t>Applicant’s signature</w:t>
      </w:r>
    </w:p>
    <w:p>
      <w:pPr>
        <w:pStyle w:val="yMiscellaneousBody"/>
      </w:pPr>
    </w:p>
    <w:p>
      <w:pPr>
        <w:pStyle w:val="yMiscellaneousBody"/>
        <w:tabs>
          <w:tab w:val="left" w:pos="567"/>
        </w:tabs>
        <w:ind w:left="454" w:right="397" w:hanging="454"/>
      </w:pPr>
      <w:r>
        <w:rPr>
          <w:sz w:val="20"/>
        </w:rPr>
        <w:sym w:font="Webdings" w:char="F069"/>
      </w:r>
      <w:r>
        <w:rPr>
          <w:sz w:val="20"/>
        </w:rPr>
        <w:tab/>
        <w:t>If you are lodging this form using the Commission’s online lodgment system, please type your name in full in the signature box below.  If you are submitting this form in person, by post, or via email, it must be signed.</w:t>
      </w:r>
    </w:p>
    <w:p>
      <w:pPr>
        <w:pStyle w:val="yMiscellaneousBody"/>
      </w:pPr>
    </w:p>
    <w:tbl>
      <w:tblPr>
        <w:tblStyle w:val="TableGrid"/>
        <w:tblW w:w="0" w:type="auto"/>
        <w:tblLook w:val="04A0" w:firstRow="1" w:lastRow="0" w:firstColumn="1" w:lastColumn="0" w:noHBand="0" w:noVBand="1"/>
      </w:tblPr>
      <w:tblGrid>
        <w:gridCol w:w="1560"/>
        <w:gridCol w:w="3969"/>
      </w:tblGrid>
      <w:tr>
        <w:trPr>
          <w:trHeight w:val="712"/>
        </w:trPr>
        <w:tc>
          <w:tcPr>
            <w:tcW w:w="1560" w:type="dxa"/>
            <w:tcBorders>
              <w:top w:val="nil"/>
              <w:left w:val="nil"/>
              <w:bottom w:val="nil"/>
              <w:right w:val="single" w:sz="4" w:space="0" w:color="auto"/>
            </w:tcBorders>
          </w:tcPr>
          <w:p>
            <w:pPr>
              <w:pStyle w:val="yTableNAm"/>
              <w:spacing w:before="0"/>
              <w:rPr>
                <w:snapToGrid w:val="0"/>
              </w:rPr>
            </w:pPr>
            <w:r>
              <w:rPr>
                <w:b/>
                <w:snapToGrid w:val="0"/>
              </w:rPr>
              <w:t>Applicant(s)</w:t>
            </w:r>
          </w:p>
        </w:tc>
        <w:tc>
          <w:tcPr>
            <w:tcW w:w="3969" w:type="dxa"/>
            <w:tcBorders>
              <w:left w:val="single" w:sz="4" w:space="0" w:color="auto"/>
            </w:tcBorders>
          </w:tcPr>
          <w:p>
            <w:pPr>
              <w:pStyle w:val="yTableNAm"/>
              <w:spacing w:before="0"/>
              <w:rPr>
                <w:snapToGrid w:val="0"/>
              </w:rPr>
            </w:pPr>
          </w:p>
        </w:tc>
      </w:tr>
    </w:tbl>
    <w:p>
      <w:pPr>
        <w:pStyle w:val="yFootnotesection"/>
      </w:pPr>
      <w:r>
        <w:tab/>
        <w:t>[Division 3 inserted: Gazette 5 Mar 2019 p. 634</w:t>
      </w:r>
      <w:r>
        <w:noBreakHyphen/>
        <w:t>9.]</w:t>
      </w:r>
    </w:p>
    <w:p>
      <w:pPr>
        <w:pStyle w:val="yHeading3"/>
      </w:pPr>
      <w:bookmarkStart w:id="316" w:name="_Toc5353079"/>
      <w:bookmarkStart w:id="317" w:name="_Toc5353708"/>
      <w:bookmarkStart w:id="318" w:name="_Toc8742773"/>
      <w:bookmarkStart w:id="319" w:name="_Toc11053509"/>
      <w:bookmarkStart w:id="320" w:name="_Toc11744595"/>
      <w:r>
        <w:rPr>
          <w:rStyle w:val="CharSDivNo"/>
        </w:rPr>
        <w:t>Division 4</w:t>
      </w:r>
      <w:r>
        <w:rPr>
          <w:b w:val="0"/>
        </w:rPr>
        <w:t> — </w:t>
      </w:r>
      <w:r>
        <w:rPr>
          <w:rStyle w:val="CharSDivText"/>
        </w:rPr>
        <w:t>Certificate of registration</w:t>
      </w:r>
      <w:bookmarkEnd w:id="316"/>
      <w:bookmarkEnd w:id="317"/>
      <w:bookmarkEnd w:id="318"/>
      <w:bookmarkEnd w:id="319"/>
      <w:bookmarkEnd w:id="320"/>
    </w:p>
    <w:p>
      <w:pPr>
        <w:pStyle w:val="yShoulderClause"/>
      </w:pPr>
      <w:r>
        <w:t>[r. 77(1), (2), (3), (4) and (5)]</w:t>
      </w:r>
    </w:p>
    <w:p>
      <w:pPr>
        <w:pStyle w:val="yFootnoteheading"/>
      </w:pPr>
      <w:r>
        <w:tab/>
        <w:t>[Heading inserted: Gazette 5 Mar 2019 p. 639.]</w:t>
      </w:r>
    </w:p>
    <w:p>
      <w:pPr>
        <w:pStyle w:val="yMiscellaneousHeading"/>
      </w:pPr>
      <w:r>
        <w:rPr>
          <w:i/>
        </w:rPr>
        <w:t>Industrial Relations Act 1979</w:t>
      </w:r>
    </w:p>
    <w:p>
      <w:pPr>
        <w:pStyle w:val="yMiscellaneousHeading"/>
      </w:pPr>
      <w:r>
        <w:rPr>
          <w:i/>
        </w:rPr>
        <w:t>Industrial Relations Commission Regulations 2005</w:t>
      </w:r>
    </w:p>
    <w:p>
      <w:pPr>
        <w:pStyle w:val="yMiscellaneousHeading"/>
        <w:rPr>
          <w:szCs w:val="22"/>
        </w:rPr>
      </w:pPr>
      <w:r>
        <w:rPr>
          <w:b/>
          <w:szCs w:val="22"/>
        </w:rPr>
        <w:t>Certificate of registration of an organisation or industrial association, or change of name or alteration of rules</w:t>
      </w:r>
    </w:p>
    <w:p>
      <w:pPr>
        <w:pStyle w:val="yMiscellaneousBody"/>
        <w:jc w:val="center"/>
      </w:pPr>
      <w:r>
        <w:t>This Certificate is given by the Registrar, Western Australian Industrial Relations Commission</w:t>
      </w:r>
    </w:p>
    <w:p>
      <w:pPr>
        <w:pStyle w:val="yMiscellaneousBody"/>
        <w:rPr>
          <w:szCs w:val="22"/>
        </w:rPr>
      </w:pPr>
      <w:r>
        <w:rPr>
          <w:b/>
          <w:szCs w:val="22"/>
        </w:rPr>
        <w:t xml:space="preserve">This Certificate certifies that — </w:t>
      </w:r>
    </w:p>
    <w:p>
      <w:pPr>
        <w:pStyle w:val="yMiscellaneousBody"/>
        <w:tabs>
          <w:tab w:val="left" w:pos="567"/>
        </w:tabs>
        <w:spacing w:before="120"/>
        <w:ind w:left="567" w:hanging="567"/>
      </w:pPr>
      <w:r>
        <w:sym w:font="Wingdings" w:char="F06F"/>
      </w:r>
      <w:r>
        <w:tab/>
        <w:t xml:space="preserve">the organisation identified below has been duly registered as an organisation under the </w:t>
      </w:r>
      <w:r>
        <w:rPr>
          <w:i/>
        </w:rPr>
        <w:t>Industrial Relations Act 1979</w:t>
      </w:r>
      <w:r>
        <w:t>.</w:t>
      </w:r>
    </w:p>
    <w:p>
      <w:pPr>
        <w:pStyle w:val="yMiscellaneousBody"/>
        <w:tabs>
          <w:tab w:val="left" w:pos="567"/>
        </w:tabs>
        <w:spacing w:before="0"/>
        <w:ind w:left="567" w:hanging="567"/>
      </w:pPr>
      <w:r>
        <w:sym w:font="Wingdings" w:char="F06F"/>
      </w:r>
      <w:r>
        <w:tab/>
        <w:t xml:space="preserve">the industrial association identified below has been duly registered as an industrial association under the </w:t>
      </w:r>
      <w:r>
        <w:rPr>
          <w:i/>
        </w:rPr>
        <w:t>Industrial Relations Act 1979</w:t>
      </w:r>
      <w:r>
        <w:t>.</w:t>
      </w:r>
    </w:p>
    <w:p>
      <w:pPr>
        <w:pStyle w:val="yMiscellaneousBody"/>
        <w:tabs>
          <w:tab w:val="left" w:pos="567"/>
        </w:tabs>
        <w:spacing w:before="0"/>
        <w:ind w:left="567" w:hanging="567"/>
      </w:pPr>
      <w:r>
        <w:sym w:font="Wingdings" w:char="F06F"/>
      </w:r>
      <w:r>
        <w:tab/>
        <w:t>that the organisations formerly registered as:</w:t>
      </w:r>
    </w:p>
    <w:tbl>
      <w:tblPr>
        <w:tblStyle w:val="TableGrid"/>
        <w:tblW w:w="0" w:type="auto"/>
        <w:tblInd w:w="675" w:type="dxa"/>
        <w:tblLook w:val="04A0" w:firstRow="1" w:lastRow="0" w:firstColumn="1" w:lastColumn="0" w:noHBand="0" w:noVBand="1"/>
      </w:tblPr>
      <w:tblGrid>
        <w:gridCol w:w="6628"/>
      </w:tblGrid>
      <w:tr>
        <w:tc>
          <w:tcPr>
            <w:tcW w:w="6628" w:type="dxa"/>
          </w:tcPr>
          <w:p>
            <w:pPr>
              <w:pStyle w:val="yTableNAm"/>
            </w:pPr>
          </w:p>
          <w:p>
            <w:pPr>
              <w:pStyle w:val="yTableNAm"/>
            </w:pPr>
          </w:p>
          <w:p>
            <w:pPr>
              <w:pStyle w:val="yTableNAm"/>
            </w:pPr>
          </w:p>
          <w:p>
            <w:pPr>
              <w:pStyle w:val="yTableNAm"/>
            </w:pPr>
          </w:p>
        </w:tc>
      </w:tr>
    </w:tbl>
    <w:p>
      <w:pPr>
        <w:pStyle w:val="yMiscellaneousBody"/>
        <w:jc w:val="center"/>
      </w:pPr>
      <w:r>
        <w:t>and</w:t>
      </w:r>
    </w:p>
    <w:tbl>
      <w:tblPr>
        <w:tblStyle w:val="TableGrid"/>
        <w:tblW w:w="0" w:type="auto"/>
        <w:tblInd w:w="675" w:type="dxa"/>
        <w:tblLook w:val="04A0" w:firstRow="1" w:lastRow="0" w:firstColumn="1" w:lastColumn="0" w:noHBand="0" w:noVBand="1"/>
      </w:tblPr>
      <w:tblGrid>
        <w:gridCol w:w="6628"/>
      </w:tblGrid>
      <w:tr>
        <w:tc>
          <w:tcPr>
            <w:tcW w:w="6628" w:type="dxa"/>
          </w:tcPr>
          <w:p>
            <w:pPr>
              <w:pStyle w:val="yTableNAm"/>
            </w:pPr>
          </w:p>
          <w:p>
            <w:pPr>
              <w:pStyle w:val="yTableNAm"/>
            </w:pPr>
          </w:p>
          <w:p>
            <w:pPr>
              <w:pStyle w:val="yTableNAm"/>
            </w:pPr>
          </w:p>
          <w:p>
            <w:pPr>
              <w:pStyle w:val="yTableNAm"/>
            </w:pPr>
          </w:p>
        </w:tc>
      </w:tr>
    </w:tbl>
    <w:p>
      <w:pPr>
        <w:pStyle w:val="yMiscellaneousBody"/>
        <w:ind w:left="567" w:hanging="567"/>
      </w:pPr>
      <w:r>
        <w:tab/>
        <w:t xml:space="preserve">have been duly registered under the </w:t>
      </w:r>
      <w:r>
        <w:rPr>
          <w:i/>
        </w:rPr>
        <w:t>Industrial Relations Act 1979</w:t>
      </w:r>
      <w:r>
        <w:t xml:space="preserve"> as the organisation that is identified below.  </w:t>
      </w:r>
      <w:r>
        <w:rPr>
          <w:b/>
        </w:rPr>
        <w:t>The registration of each of the organisations formerly registered (above) is cancelled with effect from the date of this Certificate.</w:t>
      </w:r>
    </w:p>
    <w:p>
      <w:pPr>
        <w:pStyle w:val="yMiscellaneousBody"/>
        <w:tabs>
          <w:tab w:val="left" w:pos="567"/>
        </w:tabs>
        <w:spacing w:before="120"/>
        <w:ind w:left="567" w:hanging="567"/>
      </w:pPr>
      <w:r>
        <w:sym w:font="Wingdings" w:char="F06F"/>
      </w:r>
      <w:r>
        <w:tab/>
        <w:t xml:space="preserve">the annexed alteration of rules of the organisation or industrial association identified below has been duly registered under the </w:t>
      </w:r>
      <w:r>
        <w:rPr>
          <w:i/>
        </w:rPr>
        <w:t>Industrial Relations Act 1979</w:t>
      </w:r>
      <w:r>
        <w:t>.  The rules altered are:</w:t>
      </w:r>
    </w:p>
    <w:p>
      <w:pPr>
        <w:pStyle w:val="yMiscellaneousBody"/>
        <w:spacing w:before="0"/>
      </w:pPr>
    </w:p>
    <w:tbl>
      <w:tblPr>
        <w:tblStyle w:val="TableGrid"/>
        <w:tblW w:w="0" w:type="auto"/>
        <w:tblInd w:w="675" w:type="dxa"/>
        <w:tblLook w:val="04A0" w:firstRow="1" w:lastRow="0" w:firstColumn="1" w:lastColumn="0" w:noHBand="0" w:noVBand="1"/>
      </w:tblPr>
      <w:tblGrid>
        <w:gridCol w:w="6628"/>
      </w:tblGrid>
      <w:tr>
        <w:tc>
          <w:tcPr>
            <w:tcW w:w="6628" w:type="dxa"/>
          </w:tcPr>
          <w:p>
            <w:pPr>
              <w:pStyle w:val="yTableNAm"/>
            </w:pPr>
          </w:p>
          <w:p>
            <w:pPr>
              <w:pStyle w:val="yTableNAm"/>
            </w:pPr>
          </w:p>
          <w:p>
            <w:pPr>
              <w:pStyle w:val="yTableNAm"/>
            </w:pPr>
          </w:p>
          <w:p>
            <w:pPr>
              <w:pStyle w:val="yTableNAm"/>
            </w:pPr>
          </w:p>
        </w:tc>
      </w:tr>
    </w:tbl>
    <w:p>
      <w:pPr>
        <w:pStyle w:val="yMiscellaneousBody"/>
        <w:keepNext/>
        <w:tabs>
          <w:tab w:val="left" w:pos="567"/>
        </w:tabs>
        <w:spacing w:before="120"/>
        <w:ind w:left="567" w:hanging="567"/>
      </w:pPr>
      <w:r>
        <w:sym w:font="Wingdings" w:char="F06F"/>
      </w:r>
      <w:r>
        <w:tab/>
        <w:t>on the hearing of the application duly made on behalf of:</w:t>
      </w:r>
    </w:p>
    <w:p>
      <w:pPr>
        <w:pStyle w:val="yMiscellaneousBody"/>
        <w:keepNext/>
        <w:spacing w:before="0"/>
      </w:pPr>
    </w:p>
    <w:tbl>
      <w:tblPr>
        <w:tblStyle w:val="TableGrid"/>
        <w:tblW w:w="0" w:type="auto"/>
        <w:tblInd w:w="675" w:type="dxa"/>
        <w:tblLook w:val="04A0" w:firstRow="1" w:lastRow="0" w:firstColumn="1" w:lastColumn="0" w:noHBand="0" w:noVBand="1"/>
      </w:tblPr>
      <w:tblGrid>
        <w:gridCol w:w="6628"/>
      </w:tblGrid>
      <w:tr>
        <w:tc>
          <w:tcPr>
            <w:tcW w:w="6628" w:type="dxa"/>
          </w:tcPr>
          <w:p>
            <w:pPr>
              <w:pStyle w:val="yTableNAm"/>
              <w:keepNext/>
            </w:pPr>
          </w:p>
          <w:p>
            <w:pPr>
              <w:pStyle w:val="yTableNAm"/>
              <w:keepNext/>
            </w:pPr>
          </w:p>
          <w:p>
            <w:pPr>
              <w:pStyle w:val="yTableNAm"/>
              <w:keepNext/>
            </w:pPr>
          </w:p>
          <w:p>
            <w:pPr>
              <w:pStyle w:val="yTableNAm"/>
              <w:keepNext/>
            </w:pPr>
          </w:p>
        </w:tc>
      </w:tr>
    </w:tbl>
    <w:p>
      <w:pPr>
        <w:pStyle w:val="yMiscellaneousBody"/>
        <w:ind w:left="567" w:hanging="567"/>
      </w:pPr>
      <w:r>
        <w:tab/>
        <w:t>the Commission has consented to the name of the organisation or industrial association being changed to the name identified below, which has been duly registered.</w:t>
      </w:r>
    </w:p>
    <w:p>
      <w:pPr>
        <w:pStyle w:val="yMiscellaneousBody"/>
      </w:pPr>
      <w:r>
        <w:rPr>
          <w:b/>
        </w:rPr>
        <w:t>NAME OF ORGANISATION OR INDUSTRIAL ASSOCIATION THAT THIS CERTIFICATE IS ISSUED TO:</w:t>
      </w:r>
    </w:p>
    <w:p>
      <w:pPr>
        <w:pStyle w:val="yMiscellaneousBody"/>
      </w:pPr>
    </w:p>
    <w:tbl>
      <w:tblPr>
        <w:tblStyle w:val="TableGrid"/>
        <w:tblW w:w="0" w:type="auto"/>
        <w:tblLook w:val="04A0" w:firstRow="1" w:lastRow="0" w:firstColumn="1" w:lastColumn="0" w:noHBand="0" w:noVBand="1"/>
      </w:tblPr>
      <w:tblGrid>
        <w:gridCol w:w="2527"/>
        <w:gridCol w:w="2259"/>
        <w:gridCol w:w="709"/>
        <w:gridCol w:w="1808"/>
      </w:tblGrid>
      <w:tr>
        <w:tc>
          <w:tcPr>
            <w:tcW w:w="2527" w:type="dxa"/>
            <w:tcBorders>
              <w:top w:val="nil"/>
              <w:left w:val="nil"/>
              <w:bottom w:val="nil"/>
              <w:right w:val="single" w:sz="4" w:space="0" w:color="auto"/>
            </w:tcBorders>
          </w:tcPr>
          <w:p>
            <w:pPr>
              <w:pStyle w:val="yTableNAm"/>
              <w:spacing w:before="0"/>
            </w:pPr>
            <w:r>
              <w:rPr>
                <w:b/>
              </w:rPr>
              <w:t>Full name of organisation or industrial association:</w:t>
            </w:r>
          </w:p>
        </w:tc>
        <w:tc>
          <w:tcPr>
            <w:tcW w:w="4776" w:type="dxa"/>
            <w:gridSpan w:val="3"/>
            <w:tcBorders>
              <w:left w:val="single" w:sz="4" w:space="0" w:color="auto"/>
            </w:tcBorders>
          </w:tcPr>
          <w:p>
            <w:pPr>
              <w:pStyle w:val="yTableNAm"/>
            </w:pPr>
          </w:p>
        </w:tc>
      </w:tr>
      <w:tr>
        <w:tc>
          <w:tcPr>
            <w:tcW w:w="2527" w:type="dxa"/>
            <w:tcBorders>
              <w:top w:val="nil"/>
              <w:left w:val="nil"/>
              <w:bottom w:val="nil"/>
              <w:right w:val="single" w:sz="4" w:space="0" w:color="auto"/>
            </w:tcBorders>
            <w:shd w:val="clear" w:color="auto" w:fill="auto"/>
          </w:tcPr>
          <w:p>
            <w:pPr>
              <w:pStyle w:val="yTableNAm"/>
              <w:spacing w:before="0"/>
            </w:pPr>
            <w:r>
              <w:rPr>
                <w:b/>
              </w:rPr>
              <w:t>Address of registered office of organisation or industrial association:</w:t>
            </w:r>
          </w:p>
        </w:tc>
        <w:tc>
          <w:tcPr>
            <w:tcW w:w="4776" w:type="dxa"/>
            <w:gridSpan w:val="3"/>
            <w:tcBorders>
              <w:left w:val="single" w:sz="4" w:space="0" w:color="auto"/>
            </w:tcBorders>
            <w:shd w:val="clear" w:color="auto" w:fill="auto"/>
          </w:tcPr>
          <w:p>
            <w:pPr>
              <w:pStyle w:val="yTableNAm"/>
            </w:pPr>
          </w:p>
          <w:p>
            <w:pPr>
              <w:pStyle w:val="yTableNAm"/>
            </w:pPr>
          </w:p>
          <w:p>
            <w:pPr>
              <w:pStyle w:val="yTableNAm"/>
            </w:pPr>
          </w:p>
          <w:p>
            <w:pPr>
              <w:pStyle w:val="yTableNAm"/>
            </w:pPr>
          </w:p>
        </w:tc>
      </w:tr>
      <w:tr>
        <w:tc>
          <w:tcPr>
            <w:tcW w:w="2527" w:type="dxa"/>
            <w:tcBorders>
              <w:top w:val="nil"/>
              <w:left w:val="nil"/>
              <w:bottom w:val="nil"/>
              <w:right w:val="single" w:sz="4" w:space="0" w:color="auto"/>
            </w:tcBorders>
            <w:shd w:val="clear" w:color="auto" w:fill="auto"/>
          </w:tcPr>
          <w:p>
            <w:pPr>
              <w:pStyle w:val="yTableNAm"/>
              <w:spacing w:before="0"/>
            </w:pPr>
          </w:p>
        </w:tc>
        <w:tc>
          <w:tcPr>
            <w:tcW w:w="2259" w:type="dxa"/>
            <w:tcBorders>
              <w:left w:val="single" w:sz="4" w:space="0" w:color="auto"/>
            </w:tcBorders>
            <w:shd w:val="clear" w:color="auto" w:fill="auto"/>
          </w:tcPr>
          <w:p>
            <w:pPr>
              <w:pStyle w:val="yTableNAm"/>
              <w:spacing w:before="0"/>
            </w:pPr>
            <w:r>
              <w:rPr>
                <w:b/>
              </w:rPr>
              <w:t>Suburb:</w:t>
            </w:r>
          </w:p>
        </w:tc>
        <w:tc>
          <w:tcPr>
            <w:tcW w:w="709" w:type="dxa"/>
            <w:tcBorders>
              <w:left w:val="single" w:sz="4" w:space="0" w:color="auto"/>
            </w:tcBorders>
            <w:shd w:val="clear" w:color="auto" w:fill="auto"/>
          </w:tcPr>
          <w:p>
            <w:pPr>
              <w:pStyle w:val="yTableNAm"/>
              <w:spacing w:before="0"/>
            </w:pPr>
            <w:r>
              <w:rPr>
                <w:b/>
              </w:rPr>
              <w:t>WA</w:t>
            </w:r>
          </w:p>
        </w:tc>
        <w:tc>
          <w:tcPr>
            <w:tcW w:w="1808" w:type="dxa"/>
            <w:tcBorders>
              <w:left w:val="single" w:sz="4" w:space="0" w:color="auto"/>
            </w:tcBorders>
            <w:shd w:val="clear" w:color="auto" w:fill="auto"/>
          </w:tcPr>
          <w:p>
            <w:pPr>
              <w:pStyle w:val="yTableNAm"/>
              <w:spacing w:before="0"/>
            </w:pPr>
            <w:r>
              <w:rPr>
                <w:b/>
              </w:rPr>
              <w:t>Postcode:</w:t>
            </w:r>
          </w:p>
        </w:tc>
      </w:tr>
    </w:tbl>
    <w:p>
      <w:pPr>
        <w:pStyle w:val="yMiscellaneousBody"/>
        <w:spacing w:before="0"/>
      </w:pPr>
    </w:p>
    <w:tbl>
      <w:tblPr>
        <w:tblStyle w:val="TableGrid"/>
        <w:tblW w:w="0" w:type="auto"/>
        <w:tblLook w:val="04A0" w:firstRow="1" w:lastRow="0" w:firstColumn="1" w:lastColumn="0" w:noHBand="0" w:noVBand="1"/>
      </w:tblPr>
      <w:tblGrid>
        <w:gridCol w:w="4786"/>
        <w:gridCol w:w="2517"/>
      </w:tblGrid>
      <w:tr>
        <w:tc>
          <w:tcPr>
            <w:tcW w:w="4786" w:type="dxa"/>
            <w:tcBorders>
              <w:top w:val="nil"/>
              <w:left w:val="nil"/>
              <w:bottom w:val="nil"/>
            </w:tcBorders>
          </w:tcPr>
          <w:p>
            <w:pPr>
              <w:pStyle w:val="yTableNAm"/>
              <w:rPr>
                <w:b/>
                <w:szCs w:val="22"/>
              </w:rPr>
            </w:pPr>
            <w:r>
              <w:rPr>
                <w:b/>
                <w:szCs w:val="22"/>
              </w:rPr>
              <w:t>This Certificate takes effect on and from</w:t>
            </w:r>
          </w:p>
        </w:tc>
        <w:tc>
          <w:tcPr>
            <w:tcW w:w="2517" w:type="dxa"/>
          </w:tcPr>
          <w:p>
            <w:pPr>
              <w:pStyle w:val="yTableNAm"/>
            </w:pPr>
          </w:p>
        </w:tc>
      </w:tr>
    </w:tbl>
    <w:p>
      <w:pPr>
        <w:pStyle w:val="yFootnotesection"/>
      </w:pPr>
      <w:r>
        <w:tab/>
        <w:t>[Division 4 inserted: Gazette 5 Mar 2019 p. 639</w:t>
      </w:r>
      <w:r>
        <w:noBreakHyphen/>
        <w:t>41.]</w:t>
      </w:r>
    </w:p>
    <w:p>
      <w:pPr>
        <w:pStyle w:val="CentredBaseLine"/>
        <w:spacing w:before="1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 w:val="left" w:leader="dot" w:pos="7080"/>
        </w:tabs>
        <w:spacing w:before="160"/>
        <w:jc w:val="cente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322" w:name="_Toc5353080"/>
      <w:bookmarkStart w:id="323" w:name="_Toc5353709"/>
      <w:bookmarkStart w:id="324" w:name="_Toc8742774"/>
      <w:bookmarkStart w:id="325" w:name="_Toc11053510"/>
      <w:bookmarkStart w:id="326" w:name="_Toc11744596"/>
      <w:r>
        <w:t>Notes</w:t>
      </w:r>
      <w:bookmarkEnd w:id="322"/>
      <w:bookmarkEnd w:id="323"/>
      <w:bookmarkEnd w:id="324"/>
      <w:bookmarkEnd w:id="325"/>
      <w:bookmarkEnd w:id="326"/>
    </w:p>
    <w:p>
      <w:pPr>
        <w:pStyle w:val="nSubsection"/>
      </w:pPr>
      <w:r>
        <w:rPr>
          <w:vertAlign w:val="superscript"/>
        </w:rPr>
        <w:t>1</w:t>
      </w:r>
      <w:r>
        <w:tab/>
        <w:t xml:space="preserve">This is a compilation of the </w:t>
      </w:r>
      <w:r>
        <w:rPr>
          <w:i/>
          <w:noProof/>
        </w:rPr>
        <w:t>Industrial Relations Commission Regulations 2005</w:t>
      </w:r>
      <w:r>
        <w:t xml:space="preserve"> and includes the amendments made by the other written laws referred to in the following table.  The table also contains information about any reprint.</w:t>
      </w:r>
    </w:p>
    <w:p>
      <w:pPr>
        <w:pStyle w:val="nHeading3"/>
      </w:pPr>
      <w:bookmarkStart w:id="327" w:name="_Toc11744597"/>
      <w:r>
        <w:t>Compilation table</w:t>
      </w:r>
      <w:bookmarkEnd w:id="32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Industrial Relations Commission Regulations 2005</w:t>
            </w:r>
          </w:p>
        </w:tc>
        <w:tc>
          <w:tcPr>
            <w:tcW w:w="1276" w:type="dxa"/>
            <w:tcBorders>
              <w:top w:val="single" w:sz="8" w:space="0" w:color="auto"/>
            </w:tcBorders>
          </w:tcPr>
          <w:p>
            <w:pPr>
              <w:pStyle w:val="nTable"/>
              <w:spacing w:after="40"/>
            </w:pPr>
            <w:r>
              <w:t>12 Aug 2005 p. 3685-812</w:t>
            </w:r>
          </w:p>
        </w:tc>
        <w:tc>
          <w:tcPr>
            <w:tcW w:w="2693" w:type="dxa"/>
            <w:tcBorders>
              <w:top w:val="single" w:sz="8" w:space="0" w:color="auto"/>
            </w:tcBorders>
          </w:tcPr>
          <w:p>
            <w:pPr>
              <w:pStyle w:val="nTable"/>
              <w:spacing w:after="40"/>
            </w:pPr>
            <w:r>
              <w:t>1 Sep 2005 (see r. 2)</w:t>
            </w:r>
          </w:p>
        </w:tc>
      </w:tr>
      <w:tr>
        <w:tc>
          <w:tcPr>
            <w:tcW w:w="3118" w:type="dxa"/>
          </w:tcPr>
          <w:p>
            <w:pPr>
              <w:pStyle w:val="nTable"/>
              <w:spacing w:after="40"/>
              <w:rPr>
                <w:i/>
              </w:rPr>
            </w:pPr>
            <w:r>
              <w:rPr>
                <w:i/>
              </w:rPr>
              <w:t>Industrial Relations Commission Amendment Regulations 2006</w:t>
            </w:r>
          </w:p>
        </w:tc>
        <w:tc>
          <w:tcPr>
            <w:tcW w:w="1276" w:type="dxa"/>
          </w:tcPr>
          <w:p>
            <w:pPr>
              <w:pStyle w:val="nTable"/>
              <w:spacing w:after="40"/>
            </w:pPr>
            <w:r>
              <w:t>28 Apr 2006 p. 1650</w:t>
            </w:r>
            <w:r>
              <w:noBreakHyphen/>
              <w:t>6</w:t>
            </w:r>
          </w:p>
        </w:tc>
        <w:tc>
          <w:tcPr>
            <w:tcW w:w="2693" w:type="dxa"/>
          </w:tcPr>
          <w:p>
            <w:pPr>
              <w:pStyle w:val="nTable"/>
              <w:spacing w:after="40"/>
            </w:pPr>
            <w:r>
              <w:t>28 Apr 2006</w:t>
            </w:r>
          </w:p>
        </w:tc>
      </w:tr>
      <w:tr>
        <w:tc>
          <w:tcPr>
            <w:tcW w:w="3118" w:type="dxa"/>
          </w:tcPr>
          <w:p>
            <w:pPr>
              <w:pStyle w:val="nTable"/>
              <w:spacing w:after="40"/>
              <w:rPr>
                <w:i/>
              </w:rPr>
            </w:pPr>
            <w:r>
              <w:rPr>
                <w:i/>
              </w:rPr>
              <w:t>Industrial Relations Commission Amendment Regulations 2007</w:t>
            </w:r>
          </w:p>
        </w:tc>
        <w:tc>
          <w:tcPr>
            <w:tcW w:w="1276" w:type="dxa"/>
          </w:tcPr>
          <w:p>
            <w:pPr>
              <w:pStyle w:val="nTable"/>
              <w:spacing w:after="40"/>
            </w:pPr>
            <w:r>
              <w:t>27 Mar 2007 p. 1405-6</w:t>
            </w:r>
          </w:p>
        </w:tc>
        <w:tc>
          <w:tcPr>
            <w:tcW w:w="2693" w:type="dxa"/>
          </w:tcPr>
          <w:p>
            <w:pPr>
              <w:pStyle w:val="nTable"/>
              <w:spacing w:after="40"/>
            </w:pPr>
            <w:r>
              <w:t xml:space="preserve">28 Mar 2007 (see r. 2 and </w:t>
            </w:r>
            <w:r>
              <w:rPr>
                <w:i/>
                <w:iCs/>
              </w:rPr>
              <w:t xml:space="preserve">Gazette </w:t>
            </w:r>
            <w:r>
              <w:t>27 Mar 2007 p. 1405)</w:t>
            </w:r>
          </w:p>
        </w:tc>
      </w:tr>
      <w:tr>
        <w:tc>
          <w:tcPr>
            <w:tcW w:w="3118" w:type="dxa"/>
          </w:tcPr>
          <w:p>
            <w:pPr>
              <w:pStyle w:val="nTable"/>
              <w:spacing w:after="40"/>
              <w:rPr>
                <w:i/>
              </w:rPr>
            </w:pPr>
            <w:r>
              <w:rPr>
                <w:i/>
              </w:rPr>
              <w:t>Industrial Relations Commission Amendment Regulations 2008</w:t>
            </w:r>
          </w:p>
        </w:tc>
        <w:tc>
          <w:tcPr>
            <w:tcW w:w="1276" w:type="dxa"/>
          </w:tcPr>
          <w:p>
            <w:pPr>
              <w:pStyle w:val="nTable"/>
              <w:spacing w:after="40"/>
            </w:pPr>
            <w:r>
              <w:t>22 Jan 2008 p. 192-4</w:t>
            </w:r>
          </w:p>
        </w:tc>
        <w:tc>
          <w:tcPr>
            <w:tcW w:w="2693" w:type="dxa"/>
          </w:tcPr>
          <w:p>
            <w:pPr>
              <w:pStyle w:val="nTable"/>
              <w:spacing w:after="40"/>
            </w:pPr>
            <w:r>
              <w:t>r. 1 and 2: 22 Jan 2008 (see r. 2(a));</w:t>
            </w:r>
            <w:r>
              <w:br/>
              <w:t>Regulations other than r. 1 and 2: 23 Jan 2008 (see r. 2(b))</w:t>
            </w:r>
          </w:p>
        </w:tc>
      </w:tr>
      <w:tr>
        <w:tc>
          <w:tcPr>
            <w:tcW w:w="3118" w:type="dxa"/>
          </w:tcPr>
          <w:p>
            <w:pPr>
              <w:pStyle w:val="nTable"/>
              <w:spacing w:after="40"/>
              <w:rPr>
                <w:i/>
              </w:rPr>
            </w:pPr>
            <w:r>
              <w:rPr>
                <w:i/>
              </w:rPr>
              <w:t>Industrial Relations Commission Amendment Regulations (No. 3) 2008</w:t>
            </w:r>
            <w:r>
              <w:rPr>
                <w:iCs/>
              </w:rPr>
              <w:t xml:space="preserve"> </w:t>
            </w:r>
          </w:p>
        </w:tc>
        <w:tc>
          <w:tcPr>
            <w:tcW w:w="1276" w:type="dxa"/>
          </w:tcPr>
          <w:p>
            <w:pPr>
              <w:pStyle w:val="nTable"/>
              <w:spacing w:after="40"/>
            </w:pPr>
            <w:r>
              <w:t>6 May 2008 p. 1757</w:t>
            </w:r>
          </w:p>
        </w:tc>
        <w:tc>
          <w:tcPr>
            <w:tcW w:w="2693" w:type="dxa"/>
          </w:tcPr>
          <w:p>
            <w:pPr>
              <w:pStyle w:val="nTable"/>
              <w:spacing w:after="40"/>
            </w:pPr>
            <w:r>
              <w:t xml:space="preserve">15 May 2010 (see r. 2 and </w:t>
            </w:r>
            <w:r>
              <w:rPr>
                <w:i/>
                <w:iCs/>
              </w:rPr>
              <w:t xml:space="preserve">Gazette </w:t>
            </w:r>
            <w:r>
              <w:rPr>
                <w:iCs/>
              </w:rPr>
              <w:t>14 May 2010 p. 2015</w:t>
            </w:r>
            <w:r>
              <w:t>)</w:t>
            </w:r>
          </w:p>
        </w:tc>
      </w:tr>
      <w:tr>
        <w:trPr>
          <w:cantSplit/>
        </w:trPr>
        <w:tc>
          <w:tcPr>
            <w:tcW w:w="7087" w:type="dxa"/>
            <w:gridSpan w:val="3"/>
          </w:tcPr>
          <w:p>
            <w:pPr>
              <w:pStyle w:val="nTable"/>
              <w:spacing w:after="40"/>
            </w:pPr>
            <w:r>
              <w:rPr>
                <w:b/>
                <w:bCs/>
              </w:rPr>
              <w:t xml:space="preserve">Reprint 1: The </w:t>
            </w:r>
            <w:r>
              <w:rPr>
                <w:b/>
                <w:bCs/>
                <w:i/>
              </w:rPr>
              <w:t>Industrial Relations Commission Regulations 2005</w:t>
            </w:r>
            <w:r>
              <w:rPr>
                <w:b/>
                <w:bCs/>
              </w:rPr>
              <w:t xml:space="preserve"> as at 16 May 2008</w:t>
            </w:r>
            <w:r>
              <w:t xml:space="preserve"> (includes amendments listed above except those in the</w:t>
            </w:r>
            <w:r>
              <w:rPr>
                <w:i/>
              </w:rPr>
              <w:t xml:space="preserve"> Industrial Relations Commission Amendment Regulations (No. 3) 2008</w:t>
            </w:r>
            <w:r>
              <w:t>)</w:t>
            </w:r>
          </w:p>
        </w:tc>
      </w:tr>
      <w:tr>
        <w:tc>
          <w:tcPr>
            <w:tcW w:w="3118" w:type="dxa"/>
          </w:tcPr>
          <w:p>
            <w:pPr>
              <w:pStyle w:val="nTable"/>
              <w:spacing w:after="40"/>
              <w:rPr>
                <w:i/>
              </w:rPr>
            </w:pPr>
            <w:r>
              <w:rPr>
                <w:i/>
              </w:rPr>
              <w:t>Industrial Relations Commission Amendment Regulations (No. 2) 2008</w:t>
            </w:r>
          </w:p>
        </w:tc>
        <w:tc>
          <w:tcPr>
            <w:tcW w:w="1276" w:type="dxa"/>
          </w:tcPr>
          <w:p>
            <w:pPr>
              <w:pStyle w:val="nTable"/>
              <w:spacing w:after="40"/>
            </w:pPr>
            <w:r>
              <w:t>10 Jun 2008 p. 2491-4</w:t>
            </w:r>
          </w:p>
        </w:tc>
        <w:tc>
          <w:tcPr>
            <w:tcW w:w="2693" w:type="dxa"/>
          </w:tcPr>
          <w:p>
            <w:pPr>
              <w:pStyle w:val="nTable"/>
              <w:spacing w:after="40"/>
            </w:pPr>
            <w:r>
              <w:rPr>
                <w:snapToGrid w:val="0"/>
              </w:rPr>
              <w:t>r. 1 and 2: 10 Jun 2008 (see r. 2(a));</w:t>
            </w:r>
            <w:r>
              <w:rPr>
                <w:snapToGrid w:val="0"/>
              </w:rPr>
              <w:br/>
              <w:t>Regulations other than r. 1 and 2: 1 Aug 2008 </w:t>
            </w:r>
            <w:r>
              <w:rPr>
                <w:snapToGrid w:val="0"/>
                <w:vertAlign w:val="superscript"/>
              </w:rPr>
              <w:t>2</w:t>
            </w:r>
            <w:r>
              <w:rPr>
                <w:snapToGrid w:val="0"/>
              </w:rPr>
              <w:t xml:space="preserve"> (see r. 2(b) </w:t>
            </w:r>
            <w:r>
              <w:rPr>
                <w:color w:val="000000"/>
              </w:rPr>
              <w:t>and Act</w:t>
            </w:r>
            <w:r>
              <w:rPr>
                <w:i/>
                <w:iCs/>
                <w:color w:val="000000"/>
              </w:rPr>
              <w:t> </w:t>
            </w:r>
            <w:r>
              <w:rPr>
                <w:color w:val="000000"/>
              </w:rPr>
              <w:t>No. 7 of 2007 s. 58</w:t>
            </w:r>
            <w:r>
              <w:rPr>
                <w:snapToGrid w:val="0"/>
              </w:rPr>
              <w:t>)</w:t>
            </w:r>
          </w:p>
        </w:tc>
      </w:tr>
      <w:tr>
        <w:tc>
          <w:tcPr>
            <w:tcW w:w="3118" w:type="dxa"/>
          </w:tcPr>
          <w:p>
            <w:pPr>
              <w:pStyle w:val="nTable"/>
              <w:spacing w:after="40"/>
              <w:rPr>
                <w:i/>
              </w:rPr>
            </w:pPr>
            <w:r>
              <w:rPr>
                <w:i/>
              </w:rPr>
              <w:t>Industrial Relations Commission Amendment Regulations (No. 4) 2008</w:t>
            </w:r>
            <w:r>
              <w:rPr>
                <w:iCs/>
              </w:rPr>
              <w:t xml:space="preserve"> </w:t>
            </w:r>
          </w:p>
        </w:tc>
        <w:tc>
          <w:tcPr>
            <w:tcW w:w="1276" w:type="dxa"/>
          </w:tcPr>
          <w:p>
            <w:pPr>
              <w:pStyle w:val="nTable"/>
              <w:spacing w:after="40"/>
            </w:pPr>
            <w:r>
              <w:t>29 Jul 2008 p. 3420</w:t>
            </w:r>
          </w:p>
        </w:tc>
        <w:tc>
          <w:tcPr>
            <w:tcW w:w="2693" w:type="dxa"/>
          </w:tcPr>
          <w:p>
            <w:pPr>
              <w:pStyle w:val="nTable"/>
              <w:spacing w:after="40"/>
              <w:rPr>
                <w:snapToGrid w:val="0"/>
              </w:rPr>
            </w:pPr>
            <w:r>
              <w:t>r. 1 and 2: 29 Jul 2008 (see r. 2(a));</w:t>
            </w:r>
            <w:r>
              <w:br/>
            </w:r>
            <w:r>
              <w:rPr>
                <w:snapToGrid w:val="0"/>
              </w:rPr>
              <w:t xml:space="preserve">Regulations other than r. 1 and 2: </w:t>
            </w:r>
            <w:r>
              <w:t xml:space="preserve">15 May 2010 (see r. 2(b) and </w:t>
            </w:r>
            <w:r>
              <w:rPr>
                <w:i/>
                <w:iCs/>
              </w:rPr>
              <w:t>Gazette</w:t>
            </w:r>
            <w:r>
              <w:t xml:space="preserve"> 14 May 2010 p. 2015)</w:t>
            </w:r>
          </w:p>
        </w:tc>
      </w:tr>
      <w:tr>
        <w:tc>
          <w:tcPr>
            <w:tcW w:w="3118" w:type="dxa"/>
          </w:tcPr>
          <w:p>
            <w:pPr>
              <w:pStyle w:val="nTable"/>
              <w:spacing w:after="40"/>
              <w:rPr>
                <w:i/>
              </w:rPr>
            </w:pPr>
            <w:r>
              <w:rPr>
                <w:i/>
              </w:rPr>
              <w:t>Industrial Relations Commission Amendment Regulations (No. 5) 2008</w:t>
            </w:r>
          </w:p>
        </w:tc>
        <w:tc>
          <w:tcPr>
            <w:tcW w:w="1276" w:type="dxa"/>
          </w:tcPr>
          <w:p>
            <w:pPr>
              <w:pStyle w:val="nTable"/>
              <w:spacing w:after="40"/>
            </w:pPr>
            <w:r>
              <w:t>31 Oct 2008 p. 4767-8</w:t>
            </w:r>
          </w:p>
        </w:tc>
        <w:tc>
          <w:tcPr>
            <w:tcW w:w="2693" w:type="dxa"/>
          </w:tcPr>
          <w:p>
            <w:pPr>
              <w:pStyle w:val="nTable"/>
              <w:spacing w:after="40"/>
              <w:rPr>
                <w:snapToGrid w:val="0"/>
              </w:rPr>
            </w:pPr>
            <w:r>
              <w:rPr>
                <w:snapToGrid w:val="0"/>
              </w:rPr>
              <w:t>r. 1 and 2: 31 </w:t>
            </w:r>
            <w:r>
              <w:rPr>
                <w:iCs/>
                <w:snapToGrid w:val="0"/>
              </w:rPr>
              <w:t>Oct</w:t>
            </w:r>
            <w:r>
              <w:rPr>
                <w:snapToGrid w:val="0"/>
              </w:rPr>
              <w:t> 2008 (see r. 2(a));</w:t>
            </w:r>
            <w:r>
              <w:rPr>
                <w:snapToGrid w:val="0"/>
              </w:rPr>
              <w:br/>
              <w:t>Regulations other than r. 1 and 2: 1 Nov 2008 (see r. 2(b))</w:t>
            </w:r>
          </w:p>
        </w:tc>
      </w:tr>
      <w:tr>
        <w:tc>
          <w:tcPr>
            <w:tcW w:w="3118" w:type="dxa"/>
          </w:tcPr>
          <w:p>
            <w:pPr>
              <w:pStyle w:val="nTable"/>
              <w:keepNext/>
              <w:spacing w:after="40"/>
              <w:rPr>
                <w:i/>
              </w:rPr>
            </w:pPr>
            <w:r>
              <w:rPr>
                <w:i/>
              </w:rPr>
              <w:t>Industrial Relations Commission Amendment Regulations (No. 2) 2009</w:t>
            </w:r>
          </w:p>
        </w:tc>
        <w:tc>
          <w:tcPr>
            <w:tcW w:w="1276" w:type="dxa"/>
          </w:tcPr>
          <w:p>
            <w:pPr>
              <w:pStyle w:val="nTable"/>
              <w:keepNext/>
              <w:spacing w:after="40"/>
            </w:pPr>
            <w:r>
              <w:t>16 Jun 2009 p. 2189</w:t>
            </w:r>
            <w:r>
              <w:noBreakHyphen/>
              <w:t>91</w:t>
            </w:r>
          </w:p>
        </w:tc>
        <w:tc>
          <w:tcPr>
            <w:tcW w:w="2693" w:type="dxa"/>
          </w:tcPr>
          <w:p>
            <w:pPr>
              <w:pStyle w:val="nTable"/>
              <w:keepNext/>
              <w:spacing w:after="40"/>
              <w:rPr>
                <w:snapToGrid w:val="0"/>
              </w:rPr>
            </w:pPr>
            <w:r>
              <w:rPr>
                <w:snapToGrid w:val="0"/>
              </w:rPr>
              <w:t>r. 1 and 2: 16 Jun 2009 (see r. 2(a));</w:t>
            </w:r>
            <w:r>
              <w:rPr>
                <w:snapToGrid w:val="0"/>
              </w:rPr>
              <w:br/>
              <w:t>Regulations other than r. 1 and 2: 17 Jun 2009 (see r. 2(b))</w:t>
            </w:r>
          </w:p>
        </w:tc>
      </w:tr>
      <w:tr>
        <w:trPr>
          <w:cantSplit/>
        </w:trPr>
        <w:tc>
          <w:tcPr>
            <w:tcW w:w="3118" w:type="dxa"/>
          </w:tcPr>
          <w:p>
            <w:pPr>
              <w:pStyle w:val="nTable"/>
              <w:spacing w:after="40"/>
              <w:rPr>
                <w:i/>
              </w:rPr>
            </w:pPr>
            <w:r>
              <w:rPr>
                <w:i/>
              </w:rPr>
              <w:t>Industrial Relations Commission Amendment Regulations 2009</w:t>
            </w:r>
          </w:p>
        </w:tc>
        <w:tc>
          <w:tcPr>
            <w:tcW w:w="1276" w:type="dxa"/>
          </w:tcPr>
          <w:p>
            <w:pPr>
              <w:pStyle w:val="nTable"/>
              <w:spacing w:after="40"/>
            </w:pPr>
            <w:r>
              <w:t>10 Jul 2009 p. 2739</w:t>
            </w:r>
            <w:r>
              <w:noBreakHyphen/>
              <w:t>44</w:t>
            </w:r>
          </w:p>
        </w:tc>
        <w:tc>
          <w:tcPr>
            <w:tcW w:w="2693" w:type="dxa"/>
          </w:tcPr>
          <w:p>
            <w:pPr>
              <w:pStyle w:val="nTable"/>
              <w:spacing w:after="40"/>
              <w:rPr>
                <w:snapToGrid w:val="0"/>
              </w:rPr>
            </w:pPr>
            <w:r>
              <w:rPr>
                <w:snapToGrid w:val="0"/>
              </w:rPr>
              <w:t>r. 1 and 2: 10 Jul 2009 (see r. 2(a));</w:t>
            </w:r>
            <w:r>
              <w:rPr>
                <w:snapToGrid w:val="0"/>
              </w:rPr>
              <w:br/>
              <w:t>Regulations other than r. 1 and 2: 11 Jul 2009 (see r. 2(b))</w:t>
            </w:r>
          </w:p>
        </w:tc>
      </w:tr>
      <w:tr>
        <w:trPr>
          <w:cantSplit/>
        </w:trPr>
        <w:tc>
          <w:tcPr>
            <w:tcW w:w="7087" w:type="dxa"/>
            <w:gridSpan w:val="3"/>
          </w:tcPr>
          <w:p>
            <w:pPr>
              <w:pStyle w:val="nTable"/>
              <w:spacing w:after="40"/>
              <w:rPr>
                <w:snapToGrid w:val="0"/>
              </w:rPr>
            </w:pPr>
            <w:r>
              <w:rPr>
                <w:b/>
                <w:bCs/>
              </w:rPr>
              <w:t xml:space="preserve">Reprint 2: The </w:t>
            </w:r>
            <w:r>
              <w:rPr>
                <w:b/>
                <w:bCs/>
                <w:i/>
              </w:rPr>
              <w:t>Industrial Relations Commission Regulations 2005</w:t>
            </w:r>
            <w:r>
              <w:rPr>
                <w:b/>
                <w:bCs/>
              </w:rPr>
              <w:t xml:space="preserve"> as at 2 Oct 2009</w:t>
            </w:r>
            <w:r>
              <w:t xml:space="preserve"> (includes amendments listed above except those in the</w:t>
            </w:r>
            <w:r>
              <w:rPr>
                <w:i/>
              </w:rPr>
              <w:t xml:space="preserve"> Industrial Relations Commission Amendment Regulations (No. 3) 2008 </w:t>
            </w:r>
            <w:r>
              <w:rPr>
                <w:iCs/>
              </w:rPr>
              <w:t>and the</w:t>
            </w:r>
            <w:r>
              <w:rPr>
                <w:i/>
              </w:rPr>
              <w:t xml:space="preserve"> Industrial Relations Commission Amendment Regulations (No. 4) 2008 </w:t>
            </w:r>
            <w:r>
              <w:t>other than r. 1 and 2)</w:t>
            </w:r>
          </w:p>
        </w:tc>
      </w:tr>
      <w:tr>
        <w:tc>
          <w:tcPr>
            <w:tcW w:w="3118" w:type="dxa"/>
          </w:tcPr>
          <w:p>
            <w:pPr>
              <w:pStyle w:val="nTable"/>
              <w:spacing w:after="40"/>
              <w:rPr>
                <w:i/>
              </w:rPr>
            </w:pPr>
            <w:r>
              <w:rPr>
                <w:i/>
              </w:rPr>
              <w:t>Industrial Relations Commission Amendment Regulations (No. 3) 2009</w:t>
            </w:r>
          </w:p>
        </w:tc>
        <w:tc>
          <w:tcPr>
            <w:tcW w:w="1276" w:type="dxa"/>
          </w:tcPr>
          <w:p>
            <w:pPr>
              <w:pStyle w:val="nTable"/>
              <w:spacing w:after="40"/>
            </w:pPr>
            <w:r>
              <w:t>22 Dec 2009 p. 5270-2</w:t>
            </w:r>
          </w:p>
        </w:tc>
        <w:tc>
          <w:tcPr>
            <w:tcW w:w="2693" w:type="dxa"/>
          </w:tcPr>
          <w:p>
            <w:pPr>
              <w:pStyle w:val="nTable"/>
              <w:spacing w:after="40"/>
              <w:rPr>
                <w:snapToGrid w:val="0"/>
              </w:rPr>
            </w:pPr>
            <w:r>
              <w:rPr>
                <w:snapToGrid w:val="0"/>
              </w:rPr>
              <w:t>r. 1 and 2: 22 Dec 2009 (see r. 2(a));</w:t>
            </w:r>
            <w:r>
              <w:rPr>
                <w:snapToGrid w:val="0"/>
              </w:rPr>
              <w:br/>
              <w:t>Regulations other than r. 1 and 2: 23 Dec 2009 (see r. 2(b))</w:t>
            </w:r>
          </w:p>
        </w:tc>
      </w:tr>
      <w:tr>
        <w:tc>
          <w:tcPr>
            <w:tcW w:w="3118" w:type="dxa"/>
          </w:tcPr>
          <w:p>
            <w:pPr>
              <w:pStyle w:val="nTable"/>
              <w:spacing w:after="40"/>
              <w:rPr>
                <w:i/>
              </w:rPr>
            </w:pPr>
            <w:r>
              <w:rPr>
                <w:i/>
              </w:rPr>
              <w:t>Industrial Relations Commission Amendment Regulations 2010</w:t>
            </w:r>
          </w:p>
        </w:tc>
        <w:tc>
          <w:tcPr>
            <w:tcW w:w="1276" w:type="dxa"/>
          </w:tcPr>
          <w:p>
            <w:pPr>
              <w:pStyle w:val="nTable"/>
              <w:spacing w:after="40"/>
            </w:pPr>
            <w:r>
              <w:t>9 Jul 2010 p. 3239-40</w:t>
            </w:r>
          </w:p>
        </w:tc>
        <w:tc>
          <w:tcPr>
            <w:tcW w:w="2693" w:type="dxa"/>
          </w:tcPr>
          <w:p>
            <w:pPr>
              <w:pStyle w:val="nTable"/>
              <w:spacing w:after="40"/>
              <w:rPr>
                <w:snapToGrid w:val="0"/>
              </w:rPr>
            </w:pPr>
            <w:r>
              <w:rPr>
                <w:snapToGrid w:val="0"/>
              </w:rPr>
              <w:t>r. 1 and 2: 9 Jul 2010 (see r. 2(a));</w:t>
            </w:r>
            <w:r>
              <w:rPr>
                <w:snapToGrid w:val="0"/>
              </w:rPr>
              <w:br/>
              <w:t xml:space="preserve">Regulations other than r. 1 and 2: 14 Jul 2010 (see r. 2(b) and </w:t>
            </w:r>
            <w:r>
              <w:rPr>
                <w:i/>
                <w:iCs/>
                <w:snapToGrid w:val="0"/>
              </w:rPr>
              <w:t>Gazette</w:t>
            </w:r>
            <w:r>
              <w:rPr>
                <w:snapToGrid w:val="0"/>
              </w:rPr>
              <w:t xml:space="preserve"> 13 Jul 2010 p. 3291)</w:t>
            </w:r>
          </w:p>
        </w:tc>
      </w:tr>
      <w:tr>
        <w:tc>
          <w:tcPr>
            <w:tcW w:w="3118" w:type="dxa"/>
          </w:tcPr>
          <w:p>
            <w:pPr>
              <w:pStyle w:val="nTable"/>
              <w:spacing w:after="40"/>
              <w:rPr>
                <w:i/>
              </w:rPr>
            </w:pPr>
            <w:r>
              <w:rPr>
                <w:i/>
              </w:rPr>
              <w:t>Industrial Relations Commission Amendment Regulations (No. 2) 2010</w:t>
            </w:r>
          </w:p>
        </w:tc>
        <w:tc>
          <w:tcPr>
            <w:tcW w:w="1276" w:type="dxa"/>
          </w:tcPr>
          <w:p>
            <w:pPr>
              <w:pStyle w:val="nTable"/>
              <w:spacing w:after="40"/>
            </w:pPr>
            <w:r>
              <w:t>12 Oct 2010 p. 5153-5</w:t>
            </w:r>
          </w:p>
        </w:tc>
        <w:tc>
          <w:tcPr>
            <w:tcW w:w="2693" w:type="dxa"/>
          </w:tcPr>
          <w:p>
            <w:pPr>
              <w:pStyle w:val="nTable"/>
              <w:spacing w:after="40"/>
              <w:rPr>
                <w:snapToGrid w:val="0"/>
              </w:rPr>
            </w:pPr>
            <w:r>
              <w:rPr>
                <w:snapToGrid w:val="0"/>
              </w:rPr>
              <w:t>r. 1 and 2: 12 Oct 2010 (see r. 2(a));</w:t>
            </w:r>
            <w:r>
              <w:rPr>
                <w:snapToGrid w:val="0"/>
              </w:rPr>
              <w:br/>
              <w:t>Regulations other than r. 1 and 2: 13 Oct 2010 (see r. 2(b))</w:t>
            </w:r>
          </w:p>
        </w:tc>
      </w:tr>
      <w:tr>
        <w:tc>
          <w:tcPr>
            <w:tcW w:w="3118" w:type="dxa"/>
          </w:tcPr>
          <w:p>
            <w:pPr>
              <w:pStyle w:val="nTable"/>
              <w:spacing w:after="40"/>
            </w:pPr>
            <w:r>
              <w:rPr>
                <w:i/>
              </w:rPr>
              <w:t>Industrial Relations Commission Amendment Regulations 2012</w:t>
            </w:r>
          </w:p>
        </w:tc>
        <w:tc>
          <w:tcPr>
            <w:tcW w:w="1276" w:type="dxa"/>
          </w:tcPr>
          <w:p>
            <w:pPr>
              <w:pStyle w:val="nTable"/>
              <w:spacing w:after="40"/>
            </w:pPr>
            <w:r>
              <w:t>16 Mar 2012 p. 1252</w:t>
            </w:r>
            <w:r>
              <w:noBreakHyphen/>
              <w:t>5</w:t>
            </w:r>
          </w:p>
        </w:tc>
        <w:tc>
          <w:tcPr>
            <w:tcW w:w="2693" w:type="dxa"/>
          </w:tcPr>
          <w:p>
            <w:pPr>
              <w:pStyle w:val="nTable"/>
              <w:spacing w:after="40"/>
              <w:rPr>
                <w:snapToGrid w:val="0"/>
              </w:rPr>
            </w:pPr>
            <w:r>
              <w:rPr>
                <w:snapToGrid w:val="0"/>
              </w:rPr>
              <w:t>r. 1 and 2: 16 Mar 2012 (see r. 2(a));</w:t>
            </w:r>
            <w:r>
              <w:rPr>
                <w:snapToGrid w:val="0"/>
              </w:rPr>
              <w:br/>
              <w:t>Regulations other than r. 1, 2, 6 and 7: 17 Mar 2012 (see r. 2(c));</w:t>
            </w:r>
            <w:r>
              <w:rPr>
                <w:snapToGrid w:val="0"/>
              </w:rPr>
              <w:br/>
              <w:t xml:space="preserve">r. 6 and 7: 1 Apr 2012 (see r. 2(b) and </w:t>
            </w:r>
            <w:r>
              <w:rPr>
                <w:i/>
                <w:snapToGrid w:val="0"/>
              </w:rPr>
              <w:t>Gazette</w:t>
            </w:r>
            <w:r>
              <w:rPr>
                <w:snapToGrid w:val="0"/>
              </w:rPr>
              <w:t xml:space="preserve"> 16 Mar 2012 p. 1246)</w:t>
            </w:r>
          </w:p>
        </w:tc>
      </w:tr>
      <w:tr>
        <w:tc>
          <w:tcPr>
            <w:tcW w:w="3118" w:type="dxa"/>
            <w:shd w:val="clear" w:color="auto" w:fill="auto"/>
          </w:tcPr>
          <w:p>
            <w:pPr>
              <w:pStyle w:val="nTable"/>
              <w:spacing w:after="40"/>
              <w:rPr>
                <w:i/>
              </w:rPr>
            </w:pPr>
            <w:r>
              <w:rPr>
                <w:i/>
              </w:rPr>
              <w:t>Industrial Relations Commission Amendment Regulations 2014</w:t>
            </w:r>
          </w:p>
        </w:tc>
        <w:tc>
          <w:tcPr>
            <w:tcW w:w="1276" w:type="dxa"/>
            <w:shd w:val="clear" w:color="auto" w:fill="auto"/>
          </w:tcPr>
          <w:p>
            <w:pPr>
              <w:pStyle w:val="nTable"/>
              <w:spacing w:after="40"/>
            </w:pPr>
            <w:r>
              <w:t>4 Jul 2014 p. 2389-417</w:t>
            </w:r>
          </w:p>
        </w:tc>
        <w:tc>
          <w:tcPr>
            <w:tcW w:w="2693" w:type="dxa"/>
            <w:shd w:val="clear" w:color="auto" w:fill="auto"/>
          </w:tcPr>
          <w:p>
            <w:pPr>
              <w:pStyle w:val="nTable"/>
              <w:spacing w:after="40"/>
              <w:rPr>
                <w:snapToGrid w:val="0"/>
              </w:rPr>
            </w:pPr>
            <w:r>
              <w:rPr>
                <w:snapToGrid w:val="0"/>
              </w:rPr>
              <w:t>r. 1 and 2: 4 Jul 2014 (see r. 2(a));</w:t>
            </w:r>
            <w:r>
              <w:rPr>
                <w:snapToGrid w:val="0"/>
              </w:rPr>
              <w:br/>
              <w:t>Regulations other than r. 1 and 2: 5 Jul 2014 (see r. 2(b))</w:t>
            </w:r>
          </w:p>
        </w:tc>
      </w:tr>
      <w:tr>
        <w:tc>
          <w:tcPr>
            <w:tcW w:w="7087" w:type="dxa"/>
            <w:gridSpan w:val="3"/>
            <w:shd w:val="clear" w:color="auto" w:fill="auto"/>
          </w:tcPr>
          <w:p>
            <w:pPr>
              <w:pStyle w:val="nTable"/>
              <w:spacing w:after="40"/>
              <w:rPr>
                <w:snapToGrid w:val="0"/>
              </w:rPr>
            </w:pPr>
            <w:r>
              <w:rPr>
                <w:b/>
                <w:bCs/>
              </w:rPr>
              <w:t xml:space="preserve">Reprint 3: The </w:t>
            </w:r>
            <w:r>
              <w:rPr>
                <w:b/>
                <w:bCs/>
                <w:i/>
              </w:rPr>
              <w:t>Industrial Relations Commission Regulations 2005</w:t>
            </w:r>
            <w:r>
              <w:rPr>
                <w:b/>
                <w:bCs/>
              </w:rPr>
              <w:t xml:space="preserve"> as at 12 Sep 2014</w:t>
            </w:r>
            <w:r>
              <w:t xml:space="preserve"> (includes amendments listed above)</w:t>
            </w:r>
          </w:p>
        </w:tc>
      </w:tr>
      <w:tr>
        <w:tc>
          <w:tcPr>
            <w:tcW w:w="3118" w:type="dxa"/>
            <w:shd w:val="clear" w:color="auto" w:fill="auto"/>
          </w:tcPr>
          <w:p>
            <w:pPr>
              <w:pStyle w:val="nTable"/>
              <w:spacing w:after="40"/>
              <w:rPr>
                <w:i/>
              </w:rPr>
            </w:pPr>
            <w:r>
              <w:rPr>
                <w:i/>
              </w:rPr>
              <w:t>Industrial Relations Commission Amendment Regulations (No. 2) 2015</w:t>
            </w:r>
          </w:p>
        </w:tc>
        <w:tc>
          <w:tcPr>
            <w:tcW w:w="1276" w:type="dxa"/>
            <w:shd w:val="clear" w:color="auto" w:fill="auto"/>
          </w:tcPr>
          <w:p>
            <w:pPr>
              <w:pStyle w:val="nTable"/>
              <w:spacing w:after="40"/>
            </w:pPr>
            <w:r>
              <w:t>9 Jan 2015 p. 211</w:t>
            </w:r>
            <w:r>
              <w:noBreakHyphen/>
              <w:t>12</w:t>
            </w:r>
          </w:p>
        </w:tc>
        <w:tc>
          <w:tcPr>
            <w:tcW w:w="2693" w:type="dxa"/>
            <w:shd w:val="clear" w:color="auto" w:fill="auto"/>
          </w:tcPr>
          <w:p>
            <w:pPr>
              <w:pStyle w:val="nTable"/>
              <w:spacing w:after="40"/>
              <w:rPr>
                <w:snapToGrid w:val="0"/>
              </w:rPr>
            </w:pPr>
            <w:r>
              <w:rPr>
                <w:snapToGrid w:val="0"/>
              </w:rPr>
              <w:t>r. 1 and 2: 9 Jan 2015 (see r. 2(a));</w:t>
            </w:r>
            <w:r>
              <w:rPr>
                <w:snapToGrid w:val="0"/>
              </w:rPr>
              <w:br/>
              <w:t>Regulations other than r. 1 and 2: 10 Jan 2015 (see r. 2(b))</w:t>
            </w:r>
          </w:p>
        </w:tc>
      </w:tr>
      <w:tr>
        <w:tc>
          <w:tcPr>
            <w:tcW w:w="3118" w:type="dxa"/>
            <w:shd w:val="clear" w:color="auto" w:fill="auto"/>
          </w:tcPr>
          <w:p>
            <w:pPr>
              <w:pStyle w:val="nTable"/>
              <w:spacing w:after="40"/>
              <w:rPr>
                <w:i/>
              </w:rPr>
            </w:pPr>
            <w:r>
              <w:rPr>
                <w:i/>
              </w:rPr>
              <w:t>Industrial Relations Commission Amendment Regulations 2015</w:t>
            </w:r>
          </w:p>
        </w:tc>
        <w:tc>
          <w:tcPr>
            <w:tcW w:w="1276" w:type="dxa"/>
            <w:shd w:val="clear" w:color="auto" w:fill="auto"/>
          </w:tcPr>
          <w:p>
            <w:pPr>
              <w:pStyle w:val="nTable"/>
              <w:spacing w:after="40"/>
            </w:pPr>
            <w:r>
              <w:t>15 May 2015 p. 1721</w:t>
            </w:r>
            <w:r>
              <w:noBreakHyphen/>
              <w:t>5</w:t>
            </w:r>
          </w:p>
        </w:tc>
        <w:tc>
          <w:tcPr>
            <w:tcW w:w="2693" w:type="dxa"/>
            <w:shd w:val="clear" w:color="auto" w:fill="auto"/>
          </w:tcPr>
          <w:p>
            <w:pPr>
              <w:pStyle w:val="nTable"/>
              <w:spacing w:after="40"/>
              <w:rPr>
                <w:snapToGrid w:val="0"/>
              </w:rPr>
            </w:pPr>
            <w:r>
              <w:rPr>
                <w:snapToGrid w:val="0"/>
              </w:rPr>
              <w:t>r. 1 and 2: 15 May 2015 (see r. 2(a));</w:t>
            </w:r>
            <w:r>
              <w:rPr>
                <w:snapToGrid w:val="0"/>
              </w:rPr>
              <w:br/>
              <w:t>Regulations other than r. 1 and 2: 16 May 2015 (see r. 2(b))</w:t>
            </w:r>
          </w:p>
        </w:tc>
      </w:tr>
      <w:tr>
        <w:tc>
          <w:tcPr>
            <w:tcW w:w="3118" w:type="dxa"/>
            <w:shd w:val="clear" w:color="auto" w:fill="auto"/>
          </w:tcPr>
          <w:p>
            <w:pPr>
              <w:pStyle w:val="nTable"/>
              <w:keepNext/>
              <w:spacing w:after="40"/>
              <w:rPr>
                <w:i/>
              </w:rPr>
            </w:pPr>
            <w:r>
              <w:rPr>
                <w:i/>
              </w:rPr>
              <w:t>Industrial Relations Commission Amendment Regulations (No. 3) 2015</w:t>
            </w:r>
          </w:p>
        </w:tc>
        <w:tc>
          <w:tcPr>
            <w:tcW w:w="1276" w:type="dxa"/>
            <w:shd w:val="clear" w:color="auto" w:fill="auto"/>
          </w:tcPr>
          <w:p>
            <w:pPr>
              <w:pStyle w:val="nTable"/>
              <w:keepNext/>
              <w:spacing w:after="40"/>
            </w:pPr>
            <w:r>
              <w:t>21 Aug 2015 p. 3336</w:t>
            </w:r>
            <w:r>
              <w:noBreakHyphen/>
              <w:t>46</w:t>
            </w:r>
          </w:p>
        </w:tc>
        <w:tc>
          <w:tcPr>
            <w:tcW w:w="2693" w:type="dxa"/>
            <w:shd w:val="clear" w:color="auto" w:fill="auto"/>
          </w:tcPr>
          <w:p>
            <w:pPr>
              <w:pStyle w:val="nTable"/>
              <w:keepNext/>
              <w:spacing w:after="40"/>
              <w:rPr>
                <w:snapToGrid w:val="0"/>
              </w:rPr>
            </w:pPr>
            <w:r>
              <w:rPr>
                <w:snapToGrid w:val="0"/>
              </w:rPr>
              <w:t>r. 1 and 2: 21 Aug 2015 (see r. 2(a));</w:t>
            </w:r>
            <w:r>
              <w:rPr>
                <w:snapToGrid w:val="0"/>
              </w:rPr>
              <w:br/>
              <w:t xml:space="preserve">Regulations other than r. 1 and 2: 24 Aug 2015 (see r. 2(b) and </w:t>
            </w:r>
            <w:r>
              <w:rPr>
                <w:i/>
                <w:snapToGrid w:val="0"/>
              </w:rPr>
              <w:t>Gazette</w:t>
            </w:r>
            <w:r>
              <w:rPr>
                <w:snapToGrid w:val="0"/>
              </w:rPr>
              <w:t xml:space="preserve"> 21 Aug 2015 p. 3310)</w:t>
            </w:r>
          </w:p>
        </w:tc>
      </w:tr>
      <w:tr>
        <w:tc>
          <w:tcPr>
            <w:tcW w:w="3118" w:type="dxa"/>
            <w:shd w:val="clear" w:color="auto" w:fill="auto"/>
          </w:tcPr>
          <w:p>
            <w:pPr>
              <w:pStyle w:val="nTable"/>
              <w:spacing w:after="40"/>
              <w:rPr>
                <w:i/>
              </w:rPr>
            </w:pPr>
            <w:r>
              <w:rPr>
                <w:i/>
              </w:rPr>
              <w:t>Industrial Relations Commission Amendment Regulations 2018</w:t>
            </w:r>
          </w:p>
        </w:tc>
        <w:tc>
          <w:tcPr>
            <w:tcW w:w="1276" w:type="dxa"/>
            <w:shd w:val="clear" w:color="auto" w:fill="auto"/>
          </w:tcPr>
          <w:p>
            <w:pPr>
              <w:pStyle w:val="nTable"/>
              <w:spacing w:after="40"/>
            </w:pPr>
            <w:r>
              <w:t>12 Jan 2018 p. 116</w:t>
            </w:r>
            <w:r>
              <w:noBreakHyphen/>
              <w:t>17</w:t>
            </w:r>
          </w:p>
        </w:tc>
        <w:tc>
          <w:tcPr>
            <w:tcW w:w="2693" w:type="dxa"/>
            <w:shd w:val="clear" w:color="auto" w:fill="auto"/>
          </w:tcPr>
          <w:p>
            <w:pPr>
              <w:pStyle w:val="nTable"/>
              <w:spacing w:after="40"/>
              <w:rPr>
                <w:snapToGrid w:val="0"/>
              </w:rPr>
            </w:pPr>
            <w:r>
              <w:rPr>
                <w:snapToGrid w:val="0"/>
              </w:rPr>
              <w:t>r. 1 and 2: 12 Jan 2018 (see r. 2(a));</w:t>
            </w:r>
            <w:r>
              <w:rPr>
                <w:snapToGrid w:val="0"/>
              </w:rPr>
              <w:br/>
              <w:t>Regulations other than r. 1 and 2: 13 Jan 2018 (see r. 2(b))</w:t>
            </w:r>
          </w:p>
        </w:tc>
      </w:tr>
      <w:tr>
        <w:tc>
          <w:tcPr>
            <w:tcW w:w="3118" w:type="dxa"/>
            <w:shd w:val="clear" w:color="auto" w:fill="auto"/>
          </w:tcPr>
          <w:p>
            <w:pPr>
              <w:pStyle w:val="nTable"/>
              <w:spacing w:after="40"/>
              <w:rPr>
                <w:i/>
              </w:rPr>
            </w:pPr>
            <w:r>
              <w:rPr>
                <w:i/>
              </w:rPr>
              <w:t>Industrial Relations Commission Amendment Regulations (No. 3) 2018</w:t>
            </w:r>
          </w:p>
        </w:tc>
        <w:tc>
          <w:tcPr>
            <w:tcW w:w="1276" w:type="dxa"/>
            <w:shd w:val="clear" w:color="auto" w:fill="auto"/>
          </w:tcPr>
          <w:p>
            <w:pPr>
              <w:pStyle w:val="nTable"/>
              <w:spacing w:after="40"/>
            </w:pPr>
            <w:r>
              <w:t>19 Dec 2018 p. 4837</w:t>
            </w:r>
            <w:r>
              <w:noBreakHyphen/>
              <w:t>41</w:t>
            </w:r>
          </w:p>
        </w:tc>
        <w:tc>
          <w:tcPr>
            <w:tcW w:w="2693" w:type="dxa"/>
            <w:shd w:val="clear" w:color="auto" w:fill="auto"/>
          </w:tcPr>
          <w:p>
            <w:pPr>
              <w:pStyle w:val="nTable"/>
              <w:spacing w:after="40"/>
              <w:rPr>
                <w:snapToGrid w:val="0"/>
              </w:rPr>
            </w:pPr>
            <w:r>
              <w:rPr>
                <w:snapToGrid w:val="0"/>
              </w:rPr>
              <w:t>r. 1 and 2: 19 Dec 2018 (see r. 2(a));</w:t>
            </w:r>
            <w:r>
              <w:rPr>
                <w:snapToGrid w:val="0"/>
              </w:rPr>
              <w:br/>
              <w:t xml:space="preserve">Regulations other than r. 1 and 2: 19 Dec 2018 (see r. 2(b) and </w:t>
            </w:r>
            <w:r>
              <w:rPr>
                <w:i/>
                <w:snapToGrid w:val="0"/>
              </w:rPr>
              <w:t xml:space="preserve">Gazette </w:t>
            </w:r>
            <w:r>
              <w:rPr>
                <w:snapToGrid w:val="0"/>
              </w:rPr>
              <w:t>18 Dec 2018 p. 4835)</w:t>
            </w:r>
          </w:p>
        </w:tc>
      </w:tr>
      <w:tr>
        <w:tc>
          <w:tcPr>
            <w:tcW w:w="3118" w:type="dxa"/>
            <w:shd w:val="clear" w:color="auto" w:fill="auto"/>
          </w:tcPr>
          <w:p>
            <w:pPr>
              <w:pStyle w:val="nTable"/>
              <w:spacing w:after="40"/>
              <w:rPr>
                <w:i/>
              </w:rPr>
            </w:pPr>
            <w:r>
              <w:rPr>
                <w:i/>
              </w:rPr>
              <w:t>Industrial Relations Commission Amendment Regulations 2019</w:t>
            </w:r>
          </w:p>
        </w:tc>
        <w:tc>
          <w:tcPr>
            <w:tcW w:w="1276" w:type="dxa"/>
            <w:shd w:val="clear" w:color="auto" w:fill="auto"/>
          </w:tcPr>
          <w:p>
            <w:pPr>
              <w:pStyle w:val="nTable"/>
              <w:spacing w:after="40"/>
            </w:pPr>
            <w:r>
              <w:t>5 Mar 2019 p. 585</w:t>
            </w:r>
            <w:r>
              <w:noBreakHyphen/>
              <w:t>641</w:t>
            </w:r>
          </w:p>
        </w:tc>
        <w:tc>
          <w:tcPr>
            <w:tcW w:w="2693" w:type="dxa"/>
            <w:shd w:val="clear" w:color="auto" w:fill="auto"/>
          </w:tcPr>
          <w:p>
            <w:pPr>
              <w:pStyle w:val="nTable"/>
              <w:spacing w:after="40"/>
              <w:rPr>
                <w:snapToGrid w:val="0"/>
              </w:rPr>
            </w:pPr>
            <w:r>
              <w:rPr>
                <w:snapToGrid w:val="0"/>
              </w:rPr>
              <w:t>r. 1 and 2: 5 Mar 2019 (see r. 2(a));</w:t>
            </w:r>
            <w:r>
              <w:rPr>
                <w:snapToGrid w:val="0"/>
              </w:rPr>
              <w:br/>
              <w:t>Regulations other than r. 1 and 2: 6 Mar 2019 (see r. 2(b))</w:t>
            </w:r>
          </w:p>
        </w:tc>
      </w:tr>
      <w:tr>
        <w:tc>
          <w:tcPr>
            <w:tcW w:w="7087" w:type="dxa"/>
            <w:gridSpan w:val="3"/>
            <w:tcBorders>
              <w:bottom w:val="single" w:sz="8" w:space="0" w:color="auto"/>
            </w:tcBorders>
            <w:shd w:val="clear" w:color="auto" w:fill="auto"/>
          </w:tcPr>
          <w:p>
            <w:pPr>
              <w:pStyle w:val="nTable"/>
              <w:spacing w:after="40"/>
              <w:rPr>
                <w:snapToGrid w:val="0"/>
              </w:rPr>
            </w:pPr>
            <w:r>
              <w:rPr>
                <w:b/>
                <w:snapToGrid w:val="0"/>
              </w:rPr>
              <w:t xml:space="preserve">Reprint 4: The </w:t>
            </w:r>
            <w:r>
              <w:rPr>
                <w:b/>
                <w:i/>
                <w:noProof/>
                <w:snapToGrid w:val="0"/>
              </w:rPr>
              <w:t>Industrial Relations Commission Regulations 2005</w:t>
            </w:r>
            <w:r>
              <w:rPr>
                <w:b/>
                <w:snapToGrid w:val="0"/>
              </w:rPr>
              <w:t xml:space="preserve"> as at 19 Jul 2019</w:t>
            </w:r>
            <w:r>
              <w:rPr>
                <w:snapToGrid w:val="0"/>
              </w:rPr>
              <w:t xml:space="preserve"> (includes amendments listed above)</w:t>
            </w:r>
          </w:p>
        </w:tc>
      </w:tr>
    </w:tbl>
    <w:p>
      <w:pPr>
        <w:pStyle w:val="nSubsection"/>
        <w:spacing w:before="160"/>
        <w:rPr>
          <w:snapToGrid w:val="0"/>
        </w:rPr>
      </w:pPr>
      <w:r>
        <w:rPr>
          <w:snapToGrid w:val="0"/>
          <w:vertAlign w:val="superscript"/>
        </w:rPr>
        <w:t>2</w:t>
      </w:r>
      <w:r>
        <w:rPr>
          <w:snapToGrid w:val="0"/>
          <w:vertAlign w:val="superscript"/>
        </w:rPr>
        <w:tab/>
      </w:r>
      <w:r>
        <w:t xml:space="preserve">Although the commencement date of 1 Jul 2008 was specified in the </w:t>
      </w:r>
      <w:r>
        <w:rPr>
          <w:i/>
          <w:iCs/>
        </w:rPr>
        <w:t>Industrial Relations Commission Amendment Regulations (No. 2) 2008</w:t>
      </w:r>
      <w:r>
        <w:t xml:space="preserve">, because of the </w:t>
      </w:r>
      <w:r>
        <w:rPr>
          <w:i/>
          <w:iCs/>
        </w:rPr>
        <w:t xml:space="preserve">Interpretation Act 1984 </w:t>
      </w:r>
      <w:r>
        <w:t xml:space="preserve">s. 25(3) those regulations came into operation on 1 Aug 2008 when the </w:t>
      </w:r>
      <w:r>
        <w:rPr>
          <w:i/>
          <w:iCs/>
        </w:rPr>
        <w:t>Owner-Drivers (Contracts and Disputes) Act 2007</w:t>
      </w:r>
      <w:r>
        <w:t xml:space="preserve"> Sch. 3 cl. 1 came into operation.</w:t>
      </w:r>
    </w:p>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29" w:name="_Toc5353082"/>
      <w:bookmarkStart w:id="330" w:name="_Toc5353711"/>
      <w:bookmarkStart w:id="331" w:name="_Toc8742776"/>
      <w:bookmarkStart w:id="332" w:name="_Toc11053512"/>
      <w:bookmarkStart w:id="333" w:name="_Toc11744598"/>
      <w:r>
        <w:rPr>
          <w:sz w:val="28"/>
        </w:rPr>
        <w:t>Defined terms</w:t>
      </w:r>
      <w:bookmarkEnd w:id="329"/>
      <w:bookmarkEnd w:id="330"/>
      <w:bookmarkEnd w:id="331"/>
      <w:bookmarkEnd w:id="332"/>
      <w:bookmarkEnd w:id="3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appeal against removal action</w:t>
      </w:r>
      <w:r>
        <w:tab/>
        <w:t>89A, 89H, 89</w:t>
      </w:r>
    </w:p>
    <w:p>
      <w:pPr>
        <w:pStyle w:val="DefinedTerms"/>
      </w:pPr>
      <w:r>
        <w:t>appellant</w:t>
      </w:r>
      <w:r>
        <w:tab/>
        <w:t>89A, 89H, 89</w:t>
      </w:r>
    </w:p>
    <w:p>
      <w:pPr>
        <w:pStyle w:val="DefinedTerms"/>
      </w:pPr>
      <w:r>
        <w:t>applicant</w:t>
      </w:r>
      <w:r>
        <w:tab/>
        <w:t>99A</w:t>
      </w:r>
    </w:p>
    <w:p>
      <w:pPr>
        <w:pStyle w:val="DefinedTerms"/>
      </w:pPr>
      <w:r>
        <w:t>approved form</w:t>
      </w:r>
      <w:r>
        <w:tab/>
        <w:t>3</w:t>
      </w:r>
    </w:p>
    <w:p>
      <w:pPr>
        <w:pStyle w:val="DefinedTerms"/>
      </w:pPr>
      <w:r>
        <w:t>Arbitrator</w:t>
      </w:r>
      <w:r>
        <w:tab/>
        <w:t>105</w:t>
      </w:r>
    </w:p>
    <w:p>
      <w:pPr>
        <w:pStyle w:val="DefinedTerms"/>
      </w:pPr>
      <w:r>
        <w:t>Board</w:t>
      </w:r>
      <w:r>
        <w:tab/>
        <w:t>102A(1), 105, 109</w:t>
      </w:r>
    </w:p>
    <w:p>
      <w:pPr>
        <w:pStyle w:val="DefinedTerms"/>
      </w:pPr>
      <w:r>
        <w:t>chief executive officer</w:t>
      </w:r>
      <w:r>
        <w:tab/>
        <w:t>89A, 89H</w:t>
      </w:r>
    </w:p>
    <w:p>
      <w:pPr>
        <w:pStyle w:val="DefinedTerms"/>
      </w:pPr>
      <w:r>
        <w:t>Commission</w:t>
      </w:r>
      <w:r>
        <w:tab/>
        <w:t>3</w:t>
      </w:r>
    </w:p>
    <w:p>
      <w:pPr>
        <w:pStyle w:val="DefinedTerms"/>
      </w:pPr>
      <w:r>
        <w:t>Commissioner of Police</w:t>
      </w:r>
      <w:r>
        <w:tab/>
        <w:t>89</w:t>
      </w:r>
    </w:p>
    <w:p>
      <w:pPr>
        <w:pStyle w:val="DefinedTerms"/>
      </w:pPr>
      <w:r>
        <w:t>custodial officer</w:t>
      </w:r>
      <w:r>
        <w:tab/>
        <w:t>89H</w:t>
      </w:r>
    </w:p>
    <w:p>
      <w:pPr>
        <w:pStyle w:val="DefinedTerms"/>
      </w:pPr>
      <w:r>
        <w:t>decision</w:t>
      </w:r>
      <w:r>
        <w:tab/>
        <w:t>65(3)</w:t>
      </w:r>
    </w:p>
    <w:p>
      <w:pPr>
        <w:pStyle w:val="DefinedTerms"/>
      </w:pPr>
      <w:r>
        <w:t>discovery</w:t>
      </w:r>
      <w:r>
        <w:tab/>
        <w:t>20(1)</w:t>
      </w:r>
    </w:p>
    <w:p>
      <w:pPr>
        <w:pStyle w:val="DefinedTerms"/>
      </w:pPr>
      <w:r>
        <w:t>document</w:t>
      </w:r>
      <w:r>
        <w:tab/>
        <w:t>20(1)</w:t>
      </w:r>
    </w:p>
    <w:p>
      <w:pPr>
        <w:pStyle w:val="DefinedTerms"/>
      </w:pPr>
      <w:r>
        <w:t>electronic document</w:t>
      </w:r>
      <w:r>
        <w:tab/>
        <w:t>3</w:t>
      </w:r>
    </w:p>
    <w:p>
      <w:pPr>
        <w:pStyle w:val="DefinedTerms"/>
      </w:pPr>
      <w:r>
        <w:t>employer</w:t>
      </w:r>
      <w:r>
        <w:tab/>
        <w:t>105</w:t>
      </w:r>
    </w:p>
    <w:p>
      <w:pPr>
        <w:pStyle w:val="DefinedTerms"/>
      </w:pPr>
      <w:r>
        <w:t>employing authority</w:t>
      </w:r>
      <w:r>
        <w:tab/>
        <w:t>63A(1)</w:t>
      </w:r>
    </w:p>
    <w:p>
      <w:pPr>
        <w:pStyle w:val="DefinedTerms"/>
      </w:pPr>
      <w:r>
        <w:t>expert’s report</w:t>
      </w:r>
      <w:r>
        <w:tab/>
        <w:t>45(1)</w:t>
      </w:r>
    </w:p>
    <w:p>
      <w:pPr>
        <w:pStyle w:val="DefinedTerms"/>
      </w:pPr>
      <w:r>
        <w:t>Form</w:t>
      </w:r>
      <w:r>
        <w:tab/>
        <w:t>3</w:t>
      </w:r>
    </w:p>
    <w:p>
      <w:pPr>
        <w:pStyle w:val="DefinedTerms"/>
      </w:pPr>
      <w:r>
        <w:t>government officer</w:t>
      </w:r>
      <w:r>
        <w:tab/>
        <w:t>105</w:t>
      </w:r>
    </w:p>
    <w:p>
      <w:pPr>
        <w:pStyle w:val="DefinedTerms"/>
      </w:pPr>
      <w:r>
        <w:t>inspection</w:t>
      </w:r>
      <w:r>
        <w:tab/>
        <w:t>20(1)</w:t>
      </w:r>
    </w:p>
    <w:p>
      <w:pPr>
        <w:pStyle w:val="DefinedTerms"/>
      </w:pPr>
      <w:r>
        <w:t>interested person</w:t>
      </w:r>
      <w:r>
        <w:tab/>
        <w:t>86(1)</w:t>
      </w:r>
    </w:p>
    <w:p>
      <w:pPr>
        <w:pStyle w:val="DefinedTerms"/>
      </w:pPr>
      <w:r>
        <w:t>lodged electronically</w:t>
      </w:r>
      <w:r>
        <w:tab/>
        <w:t>3</w:t>
      </w:r>
    </w:p>
    <w:p>
      <w:pPr>
        <w:pStyle w:val="DefinedTerms"/>
      </w:pPr>
      <w:r>
        <w:t>member of a constituent authority</w:t>
      </w:r>
      <w:r>
        <w:tab/>
        <w:t>120(8)</w:t>
      </w:r>
    </w:p>
    <w:p>
      <w:pPr>
        <w:pStyle w:val="DefinedTerms"/>
      </w:pPr>
      <w:r>
        <w:t>modified form</w:t>
      </w:r>
      <w:r>
        <w:tab/>
        <w:t>99(1), 99E(1)</w:t>
      </w:r>
    </w:p>
    <w:p>
      <w:pPr>
        <w:pStyle w:val="DefinedTerms"/>
      </w:pPr>
      <w:r>
        <w:t>notice to admit</w:t>
      </w:r>
      <w:r>
        <w:tab/>
        <w:t>23(1)</w:t>
      </w:r>
    </w:p>
    <w:p>
      <w:pPr>
        <w:pStyle w:val="DefinedTerms"/>
      </w:pPr>
      <w:r>
        <w:t>person to be joined</w:t>
      </w:r>
      <w:r>
        <w:tab/>
        <w:t>18(1)(b)</w:t>
      </w:r>
    </w:p>
    <w:p>
      <w:pPr>
        <w:pStyle w:val="DefinedTerms"/>
      </w:pPr>
      <w:r>
        <w:t>police officer</w:t>
      </w:r>
      <w:r>
        <w:tab/>
        <w:t>89</w:t>
      </w:r>
    </w:p>
    <w:p>
      <w:pPr>
        <w:pStyle w:val="DefinedTerms"/>
      </w:pPr>
      <w:r>
        <w:t>prison officer</w:t>
      </w:r>
      <w:r>
        <w:tab/>
        <w:t>89A</w:t>
      </w:r>
    </w:p>
    <w:p>
      <w:pPr>
        <w:pStyle w:val="DefinedTerms"/>
      </w:pPr>
      <w:r>
        <w:t>Public Transport Authority</w:t>
      </w:r>
      <w:r>
        <w:tab/>
        <w:t>109</w:t>
      </w:r>
    </w:p>
    <w:p>
      <w:pPr>
        <w:pStyle w:val="DefinedTerms"/>
      </w:pPr>
      <w:r>
        <w:t>railway officer</w:t>
      </w:r>
      <w:r>
        <w:tab/>
        <w:t>109</w:t>
      </w:r>
    </w:p>
    <w:p>
      <w:pPr>
        <w:pStyle w:val="DefinedTerms"/>
      </w:pPr>
      <w:r>
        <w:t>Registrar</w:t>
      </w:r>
      <w:r>
        <w:tab/>
        <w:t>3</w:t>
      </w:r>
    </w:p>
    <w:p>
      <w:pPr>
        <w:pStyle w:val="DefinedTerms"/>
      </w:pPr>
      <w:r>
        <w:t>removal action</w:t>
      </w:r>
      <w:r>
        <w:tab/>
        <w:t>89A, 89H, 89</w:t>
      </w:r>
    </w:p>
    <w:p>
      <w:pPr>
        <w:pStyle w:val="DefinedTerms"/>
      </w:pPr>
      <w:r>
        <w:t>reviewable decision</w:t>
      </w:r>
      <w:r>
        <w:tab/>
        <w:t>102A(1)</w:t>
      </w:r>
    </w:p>
    <w:p>
      <w:pPr>
        <w:pStyle w:val="DefinedTerms"/>
      </w:pPr>
      <w:r>
        <w:t>salaried position</w:t>
      </w:r>
      <w:r>
        <w:tab/>
        <w:t>109</w:t>
      </w:r>
    </w:p>
    <w:p>
      <w:pPr>
        <w:pStyle w:val="DefinedTerms"/>
      </w:pPr>
      <w:r>
        <w:t>substantive proceedings</w:t>
      </w:r>
      <w:r>
        <w:tab/>
        <w:t>18(1)</w:t>
      </w:r>
    </w:p>
    <w:p>
      <w:pPr>
        <w:pStyle w:val="DefinedTerms"/>
      </w:pPr>
      <w:r>
        <w:t>Tribunal</w:t>
      </w:r>
      <w:r>
        <w:tab/>
        <w:t>95(1), 99A</w:t>
      </w:r>
    </w:p>
    <w:p>
      <w:pPr>
        <w:pStyle w:val="DefinedTerms"/>
      </w:pPr>
      <w:r>
        <w:t>warrant</w:t>
      </w:r>
      <w:r>
        <w:tab/>
        <w:t>63(1)</w:t>
      </w:r>
    </w:p>
    <w:p>
      <w:pPr>
        <w:pStyle w:val="DefinedTerms"/>
      </w:pPr>
      <w:r>
        <w:t>writing</w:t>
      </w:r>
      <w:r>
        <w:tab/>
        <w:t>3</w:t>
      </w:r>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21" w:name="Schedule"/>
    <w:bookmarkEnd w:id="3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8" w:name="Compilation"/>
    <w:bookmarkEnd w:id="3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4" w:name="DefinedTerms"/>
    <w:bookmarkEnd w:id="33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5" w:name="Coversheet"/>
    <w:bookmarkEnd w:id="33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28E9A"/>
    <w:lvl w:ilvl="0">
      <w:start w:val="1"/>
      <w:numFmt w:val="decimal"/>
      <w:lvlText w:val="%1."/>
      <w:lvlJc w:val="left"/>
      <w:pPr>
        <w:tabs>
          <w:tab w:val="num" w:pos="1492"/>
        </w:tabs>
        <w:ind w:left="1492" w:hanging="360"/>
      </w:pPr>
    </w:lvl>
  </w:abstractNum>
  <w:abstractNum w:abstractNumId="1">
    <w:nsid w:val="FFFFFF7D"/>
    <w:multiLevelType w:val="singleLevel"/>
    <w:tmpl w:val="BE88F062"/>
    <w:lvl w:ilvl="0">
      <w:start w:val="1"/>
      <w:numFmt w:val="decimal"/>
      <w:lvlText w:val="%1."/>
      <w:lvlJc w:val="left"/>
      <w:pPr>
        <w:tabs>
          <w:tab w:val="num" w:pos="1209"/>
        </w:tabs>
        <w:ind w:left="1209" w:hanging="360"/>
      </w:pPr>
    </w:lvl>
  </w:abstractNum>
  <w:abstractNum w:abstractNumId="2">
    <w:nsid w:val="FFFFFF7E"/>
    <w:multiLevelType w:val="singleLevel"/>
    <w:tmpl w:val="58342B90"/>
    <w:lvl w:ilvl="0">
      <w:start w:val="1"/>
      <w:numFmt w:val="decimal"/>
      <w:lvlText w:val="%1."/>
      <w:lvlJc w:val="left"/>
      <w:pPr>
        <w:tabs>
          <w:tab w:val="num" w:pos="926"/>
        </w:tabs>
        <w:ind w:left="926" w:hanging="360"/>
      </w:pPr>
    </w:lvl>
  </w:abstractNum>
  <w:abstractNum w:abstractNumId="3">
    <w:nsid w:val="FFFFFF7F"/>
    <w:multiLevelType w:val="singleLevel"/>
    <w:tmpl w:val="2B92DBD0"/>
    <w:lvl w:ilvl="0">
      <w:start w:val="1"/>
      <w:numFmt w:val="decimal"/>
      <w:lvlText w:val="%1."/>
      <w:lvlJc w:val="left"/>
      <w:pPr>
        <w:tabs>
          <w:tab w:val="num" w:pos="643"/>
        </w:tabs>
        <w:ind w:left="643" w:hanging="360"/>
      </w:pPr>
    </w:lvl>
  </w:abstractNum>
  <w:abstractNum w:abstractNumId="4">
    <w:nsid w:val="FFFFFF80"/>
    <w:multiLevelType w:val="singleLevel"/>
    <w:tmpl w:val="226CCC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348A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249E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EB427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18C398"/>
    <w:lvl w:ilvl="0">
      <w:start w:val="1"/>
      <w:numFmt w:val="decimal"/>
      <w:lvlText w:val="%1."/>
      <w:lvlJc w:val="left"/>
      <w:pPr>
        <w:tabs>
          <w:tab w:val="num" w:pos="360"/>
        </w:tabs>
        <w:ind w:left="360" w:hanging="360"/>
      </w:pPr>
    </w:lvl>
  </w:abstractNum>
  <w:abstractNum w:abstractNumId="9">
    <w:nsid w:val="FFFFFF89"/>
    <w:multiLevelType w:val="singleLevel"/>
    <w:tmpl w:val="BD2AA70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3F36751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405102939"/>
    <w:docVar w:name="WAFER_20140130093812" w:val="RemoveTocBookmarks,RemoveUnusedBookmarks,RemoveLanguageTags,UsedStyles,ResetPageSize,UpdateArrangement"/>
    <w:docVar w:name="WAFER_20140130093812_GUID" w:val="255c6959-9a63-4bcd-a8a7-eb40d342331c"/>
    <w:docVar w:name="WAFER_20140130093830" w:val="RemoveTocBookmarks,RunningHeaders"/>
    <w:docVar w:name="WAFER_20140130093830_GUID" w:val="f13fef86-7d59-4034-a06b-b69ee996d690"/>
    <w:docVar w:name="WAFER_20140704130927" w:val="RemoveTocBookmarks,RemoveUnusedBookmarks,RemoveLanguageTags,UsedStyles,ResetPageSize"/>
    <w:docVar w:name="WAFER_20140704130927_GUID" w:val="0e8d263d-25b4-4faf-95c3-b71f1bed9161"/>
    <w:docVar w:name="WAFER_20140813112752" w:val="ResetPageSize"/>
    <w:docVar w:name="WAFER_20140813112752_GUID" w:val="4e4fbc1b-320b-4e93-b000-7b8fb67c8464"/>
    <w:docVar w:name="WAFER_20140828110549" w:val="RemoveTocBookmarks,RemoveUnusedBookmarks,RemoveLanguageTags,UsedStyles,ResetPageSize,RemoveBadVanishTags,RemoveDocumentProtection,RemoveTrackChanges"/>
    <w:docVar w:name="WAFER_20140828110549_GUID" w:val="3de1789a-d33b-4f18-84cc-f0690deeda2d"/>
    <w:docVar w:name="WAFER_20150108142101" w:val="RemoveTocBookmarks,RemoveUnusedBookmarks,RemoveLanguageTags,UsedStyles,ResetPageSize,UpdateArrangement"/>
    <w:docVar w:name="WAFER_20150108142101_GUID" w:val="e17bd9d7-ff50-42a0-b653-1ccce7fc5c3e"/>
    <w:docVar w:name="WAFER_20150514135109" w:val="ResetPageSize,UpdateArrangement,UpdateNTable"/>
    <w:docVar w:name="WAFER_20150514135109_GUID" w:val="43b61719-074e-4fa5-af28-0b2456162b07"/>
    <w:docVar w:name="WAFER_20151106090139" w:val="UpdateStyles,UsedStyles"/>
    <w:docVar w:name="WAFER_20151106090139_GUID" w:val="293ce43d-0227-429c-ac33-81232440ca71"/>
    <w:docVar w:name="WAFER_20190305121844" w:val="RemoveTocBookmarks,RemoveUnusedBookmarks,RemoveLanguageTags,UpdateStyles,UsedStyles,ResetPageSize"/>
    <w:docVar w:name="WAFER_20190305121844_GUID" w:val="3398b2f7-f309-4fab-9ea3-5a47f86fc3ea"/>
    <w:docVar w:name="WAFER_20190405102939" w:val="RemoveTocBookmarks,RemoveUnusedBookmarks,RemoveLanguageTags,ResetPageSize,RunningHeaders,UpdateStyles,UsedStyles"/>
    <w:docVar w:name="WAFER_20190405102939_GUID" w:val="c2b91591-a335-40f6-b8f2-6d7c20e33c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wairc.wa.gov.au" TargetMode="Externa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wairc.wa.gov.au" TargetMode="Externa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6CC47-50CB-481D-BC48-145E6AF57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132</Pages>
  <Words>31372</Words>
  <Characters>151843</Characters>
  <Application>Microsoft Office Word</Application>
  <DocSecurity>0</DocSecurity>
  <Lines>4103</Lines>
  <Paragraphs>2058</Paragraphs>
  <ScaleCrop>false</ScaleCrop>
  <HeadingPairs>
    <vt:vector size="2" baseType="variant">
      <vt:variant>
        <vt:lpstr>Title</vt:lpstr>
      </vt:variant>
      <vt:variant>
        <vt:i4>1</vt:i4>
      </vt:variant>
    </vt:vector>
  </HeadingPairs>
  <TitlesOfParts>
    <vt:vector size="1" baseType="lpstr">
      <vt:lpstr>Industrial Relations Commission Regulations 2005</vt:lpstr>
    </vt:vector>
  </TitlesOfParts>
  <Manager/>
  <Company/>
  <LinksUpToDate>false</LinksUpToDate>
  <CharactersWithSpaces>181157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2005 - 04-a0-00</dc:title>
  <dc:subject/>
  <dc:creator/>
  <cp:keywords/>
  <dc:description/>
  <cp:lastModifiedBy>svcMRProcess</cp:lastModifiedBy>
  <cp:revision>4</cp:revision>
  <cp:lastPrinted>2019-07-10T03:32:00Z</cp:lastPrinted>
  <dcterms:created xsi:type="dcterms:W3CDTF">2019-08-05T06:08:00Z</dcterms:created>
  <dcterms:modified xsi:type="dcterms:W3CDTF">2019-08-05T06:08:00Z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DocumentType">
    <vt:lpwstr>Reg</vt:lpwstr>
  </property>
  <property fmtid="{D5CDD505-2E9C-101B-9397-08002B2CF9AE}" pid="4" name="OwlsUID">
    <vt:i4>9839</vt:i4>
  </property>
  <property fmtid="{D5CDD505-2E9C-101B-9397-08002B2CF9AE}" pid="5" name="ReprintedAsAt">
    <vt:filetime>2019-07-18T16:00:00Z</vt:filetime>
  </property>
  <property fmtid="{D5CDD505-2E9C-101B-9397-08002B2CF9AE}" pid="6" name="ReprintNo">
    <vt:lpwstr>4</vt:lpwstr>
  </property>
  <property fmtid="{D5CDD505-2E9C-101B-9397-08002B2CF9AE}" pid="7" name="CommencementDate">
    <vt:lpwstr>20190719</vt:lpwstr>
  </property>
  <property fmtid="{D5CDD505-2E9C-101B-9397-08002B2CF9AE}" pid="8" name="AsAtDate">
    <vt:lpwstr>19 Jul 2019</vt:lpwstr>
  </property>
  <property fmtid="{D5CDD505-2E9C-101B-9397-08002B2CF9AE}" pid="9" name="Suffix">
    <vt:lpwstr>04-a0-00</vt:lpwstr>
  </property>
</Properties>
</file>