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(Warralong Restricted Area)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(Warralong Restricted Area)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_Toc16239621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_Toc16239622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_Toc16239623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_Toc16239624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_Toc16239625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Warralong Aboriginal Community</w:t>
      </w:r>
      <w:r>
        <w:tab/>
      </w:r>
      <w:r>
        <w:fldChar w:fldCharType="begin"/>
      </w:r>
      <w:r>
        <w:instrText xml:space="preserve"> PAGEREF _Toc16239626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_Toc16239627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_Toc16239628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_Toc16239630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(Warralong Restricted Area) Regulations 2013</w:t>
      </w:r>
    </w:p>
    <w:p>
      <w:pPr>
        <w:pStyle w:val="Heading5"/>
      </w:pPr>
      <w:bookmarkStart w:id="3" w:name="_Toc16239621"/>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(Warralong Restricted Area) Regulations 2013</w:t>
      </w:r>
      <w:r>
        <w:t>.</w:t>
      </w:r>
    </w:p>
    <w:p>
      <w:pPr>
        <w:pStyle w:val="Heading5"/>
        <w:rPr>
          <w:spacing w:val="-2"/>
        </w:rPr>
      </w:pPr>
      <w:bookmarkStart w:id="5" w:name="_Toc1623962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16239623"/>
      <w:r>
        <w:rPr>
          <w:rStyle w:val="CharSectno"/>
        </w:rPr>
        <w:t>3</w:t>
      </w:r>
      <w:r>
        <w:t>.</w:t>
      </w:r>
      <w:r>
        <w:tab/>
        <w:t>Terms used</w:t>
      </w:r>
      <w:bookmarkEnd w:id="6"/>
    </w:p>
    <w:p>
      <w:pPr>
        <w:pStyle w:val="Subsection"/>
      </w:pPr>
      <w:r>
        <w:tab/>
      </w:r>
      <w:r>
        <w:tab/>
        <w:t xml:space="preserve">In these regulations — </w:t>
      </w:r>
    </w:p>
    <w:p>
      <w:pPr>
        <w:pStyle w:val="Defstart"/>
        <w:keepNext/>
      </w:pPr>
      <w:r>
        <w:tab/>
      </w:r>
      <w:r>
        <w:rPr>
          <w:rStyle w:val="CharDefText"/>
        </w:rPr>
        <w:t>Warralong Aboriginal Community</w:t>
      </w:r>
      <w:r>
        <w:t xml:space="preserve"> means —</w:t>
      </w:r>
    </w:p>
    <w:p>
      <w:pPr>
        <w:pStyle w:val="Defpara"/>
        <w:keepNext/>
        <w:spacing w:before="100"/>
      </w:pPr>
      <w:r>
        <w:tab/>
        <w:t>(a)</w:t>
      </w:r>
      <w:r>
        <w:tab/>
        <w:t>the land lying within a circle of 20 kilometres radius measured from the centre of the Warralong basketball court located at 20.6484722°  S, 119.590333°  E; and</w:t>
      </w:r>
    </w:p>
    <w:p>
      <w:pPr>
        <w:pStyle w:val="Defpara"/>
        <w:spacing w:before="100"/>
      </w:pPr>
      <w:r>
        <w:tab/>
        <w:t>(b)</w:t>
      </w:r>
      <w:r>
        <w:tab/>
        <w:t>the land lying within 15 metres of the centreline of that part of Goldsworthy Road which runs between Marble Bar Road and the circle described in paragraph (a); and</w:t>
      </w:r>
    </w:p>
    <w:p>
      <w:pPr>
        <w:pStyle w:val="Defpara"/>
        <w:keepNext/>
        <w:spacing w:before="100"/>
      </w:pPr>
      <w:r>
        <w:tab/>
        <w:t>(c)</w:t>
      </w:r>
      <w:r>
        <w:tab/>
        <w:t xml:space="preserve">the land lying within 1 kilometre either side of the centreline of that part of Goldsworthy Road that runs </w:t>
      </w:r>
      <w:r>
        <w:lastRenderedPageBreak/>
        <w:t>between Great Northern Highway and the circle described in paragraph (a).</w:t>
      </w:r>
    </w:p>
    <w:p>
      <w:pPr>
        <w:pStyle w:val="Footnotesection"/>
      </w:pPr>
      <w:r>
        <w:tab/>
        <w:t>[Regulation 3 amended: Gazette 16 Sep 2016 p. 3942.]</w:t>
      </w:r>
    </w:p>
    <w:p>
      <w:pPr>
        <w:pStyle w:val="Ednotesection"/>
        <w:rPr>
          <w:rStyle w:val="CharSectno"/>
          <w:b/>
        </w:rPr>
      </w:pPr>
      <w:r>
        <w:t>[</w:t>
      </w:r>
      <w:r>
        <w:rPr>
          <w:b/>
        </w:rPr>
        <w:t>4.</w:t>
      </w:r>
      <w:r>
        <w:rPr>
          <w:b/>
        </w:rPr>
        <w:tab/>
      </w:r>
      <w:r>
        <w:t>Deleted: Gazette 16 Sep 2016 p. 3942.]</w:t>
      </w:r>
    </w:p>
    <w:p>
      <w:pPr>
        <w:pStyle w:val="Heading5"/>
      </w:pPr>
      <w:bookmarkStart w:id="7" w:name="_Toc16239624"/>
      <w:r>
        <w:rPr>
          <w:rStyle w:val="CharSectno"/>
        </w:rPr>
        <w:t>5</w:t>
      </w:r>
      <w:r>
        <w:t>.</w:t>
      </w:r>
      <w:r>
        <w:tab/>
        <w:t>Declaration of restricted area</w:t>
      </w:r>
      <w:bookmarkEnd w:id="7"/>
    </w:p>
    <w:p>
      <w:pPr>
        <w:pStyle w:val="Subsection"/>
      </w:pPr>
      <w:r>
        <w:tab/>
      </w:r>
      <w:r>
        <w:tab/>
        <w:t>The Warralong Aboriginal Community is declared to be a restricted area for the purposes of section 175(1a) of the Act.</w:t>
      </w:r>
    </w:p>
    <w:p>
      <w:pPr>
        <w:pStyle w:val="Heading5"/>
      </w:pPr>
      <w:bookmarkStart w:id="8" w:name="_Toc16239625"/>
      <w:r>
        <w:rPr>
          <w:rStyle w:val="CharSectno"/>
        </w:rPr>
        <w:t>6</w:t>
      </w:r>
      <w:r>
        <w:t>.</w:t>
      </w:r>
      <w:r>
        <w:tab/>
        <w:t>Notice of restricted area</w:t>
      </w:r>
      <w:bookmarkEnd w:id="8"/>
    </w:p>
    <w:p>
      <w:pPr>
        <w:pStyle w:val="Subsection"/>
      </w:pPr>
      <w:r>
        <w:tab/>
        <w:t>(1)</w:t>
      </w:r>
      <w:r>
        <w:tab/>
        <w:t xml:space="preserve">The Director of Liquor Licensing is to take all reasonable steps to cause to be posted and, while the Warralong Aboriginal Community continues to be a restricted area by operation of regulation 5, to be kept posted at each place where a customary access route enters the Warralong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6239626"/>
      <w:r>
        <w:rPr>
          <w:rStyle w:val="CharSectno"/>
        </w:rPr>
        <w:t>7</w:t>
      </w:r>
      <w:r>
        <w:t>.</w:t>
      </w:r>
      <w:r>
        <w:tab/>
        <w:t>Prohibitions as to liquor in the Warralong Aboriginal Community</w:t>
      </w:r>
      <w:bookmarkEnd w:id="9"/>
    </w:p>
    <w:p>
      <w:pPr>
        <w:pStyle w:val="Subsection"/>
      </w:pPr>
      <w:r>
        <w:tab/>
        <w:t>(1)</w:t>
      </w:r>
      <w:r>
        <w:tab/>
        <w:t xml:space="preserve">A person, other than an exempt person, who — </w:t>
      </w:r>
    </w:p>
    <w:p>
      <w:pPr>
        <w:pStyle w:val="Indenta"/>
      </w:pPr>
      <w:r>
        <w:tab/>
        <w:t>(a)</w:t>
      </w:r>
      <w:r>
        <w:tab/>
        <w:t>brings liquor into, or causes liquor to be brought into, the Warralong Aboriginal Community; or</w:t>
      </w:r>
    </w:p>
    <w:p>
      <w:pPr>
        <w:pStyle w:val="Indenta"/>
      </w:pPr>
      <w:r>
        <w:tab/>
        <w:t>(b)</w:t>
      </w:r>
      <w:r>
        <w:tab/>
        <w:t xml:space="preserve">has liquor in his or her possession in the Warralong Aboriginal Community </w:t>
      </w:r>
    </w:p>
    <w:p>
      <w:pPr>
        <w:pStyle w:val="Subsection"/>
      </w:pPr>
      <w:r>
        <w:tab/>
      </w:r>
      <w:r>
        <w:tab/>
        <w:t>commits an offence.</w:t>
      </w:r>
    </w:p>
    <w:p>
      <w:pPr>
        <w:pStyle w:val="Penstart"/>
      </w:pPr>
      <w:r>
        <w:tab/>
        <w:t>Penalty:</w:t>
      </w:r>
    </w:p>
    <w:p>
      <w:pPr>
        <w:pStyle w:val="Penpara"/>
      </w:pPr>
      <w:r>
        <w:lastRenderedPageBreak/>
        <w:tab/>
        <w:t>(a)</w:t>
      </w:r>
      <w:r>
        <w:tab/>
        <w:t>if committed by a licensee, a manager of licensed premises or a director of a body corporate that holds a licence — a fine of $5 000;</w:t>
      </w:r>
    </w:p>
    <w:p>
      <w:pPr>
        <w:pStyle w:val="Penpara"/>
      </w:pPr>
      <w:r>
        <w:tab/>
        <w:t>(b)</w:t>
      </w:r>
      <w:r>
        <w:tab/>
        <w:t>in any other case — a fine of $2 000.</w:t>
      </w:r>
    </w:p>
    <w:p>
      <w:pPr>
        <w:pStyle w:val="Subsection"/>
      </w:pPr>
      <w:r>
        <w:tab/>
        <w:t>(2)</w:t>
      </w:r>
      <w:r>
        <w:tab/>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Warralong Aboriginal Community on a public road without — </w:t>
      </w:r>
    </w:p>
    <w:p>
      <w:pPr>
        <w:pStyle w:val="Defpara"/>
      </w:pPr>
      <w:r>
        <w:tab/>
        <w:t>(a)</w:t>
      </w:r>
      <w:r>
        <w:tab/>
        <w:t>stopping; or</w:t>
      </w:r>
    </w:p>
    <w:p>
      <w:pPr>
        <w:pStyle w:val="Defpara"/>
      </w:pPr>
      <w:r>
        <w:tab/>
        <w:t>(b)</w:t>
      </w:r>
      <w:r>
        <w:tab/>
        <w:t>discharging any person or item.</w:t>
      </w:r>
    </w:p>
    <w:p>
      <w:pPr>
        <w:pStyle w:val="Heading5"/>
      </w:pPr>
      <w:bookmarkStart w:id="10" w:name="_Toc16239627"/>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6239628"/>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20 September 2022.</w:t>
      </w:r>
    </w:p>
    <w:p>
      <w:pPr>
        <w:pStyle w:val="Footnotesection"/>
      </w:pPr>
      <w:r>
        <w:tab/>
        <w:t>[Regulation 9 inserted: Gazette 16 Sep 2016 p. 3943; amended: Gazette 9 Aug 2019 p. 3025.]</w:t>
      </w:r>
    </w:p>
    <w:p>
      <w:pPr>
        <w:pStyle w:val="Subsection"/>
        <w:tabs>
          <w:tab w:val="clear" w:pos="595"/>
          <w:tab w:val="left" w:pos="1134"/>
        </w:tabs>
        <w:spacing w:before="0"/>
        <w:ind w:left="1134" w:hanging="1134"/>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16239629"/>
      <w:r>
        <w:lastRenderedPageBreak/>
        <w:t>Notes</w:t>
      </w:r>
      <w:bookmarkEnd w:id="12"/>
    </w:p>
    <w:p>
      <w:pPr>
        <w:pStyle w:val="nSubsection"/>
      </w:pPr>
      <w:r>
        <w:t>1</w:t>
      </w:r>
      <w:r>
        <w:tab/>
        <w:t xml:space="preserve">This is a compilation of the </w:t>
      </w:r>
      <w:r>
        <w:rPr>
          <w:i/>
          <w:noProof/>
        </w:rPr>
        <w:t>Liquor Control (Warralong Restricted Area) Regulations 2013 </w:t>
      </w:r>
      <w:r>
        <w:rPr>
          <w:noProof/>
          <w:vertAlign w:val="superscript"/>
        </w:rPr>
        <w:t>2</w:t>
      </w:r>
      <w:r>
        <w:t xml:space="preserve"> and includes the amendments made by the other written laws referred to in the following table.</w:t>
      </w:r>
    </w:p>
    <w:p>
      <w:pPr>
        <w:pStyle w:val="nHeading3"/>
      </w:pPr>
      <w:bookmarkStart w:id="13" w:name="_Toc16239630"/>
      <w:r>
        <w:t>Compilation table</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(Warralong Restricted Area) Regulations 2013</w:t>
            </w:r>
          </w:p>
        </w:tc>
        <w:tc>
          <w:tcPr>
            <w:tcW w:w="1276" w:type="dxa"/>
            <w:tcBorders>
              <w:bottom w:val="nil"/>
            </w:tcBorders>
          </w:tcPr>
          <w:p>
            <w:pPr>
              <w:pStyle w:val="nTable"/>
              <w:spacing w:after="40"/>
            </w:pPr>
            <w:r>
              <w:t>20 Sep 2013 p. 4360</w:t>
            </w:r>
            <w:r>
              <w:noBreakHyphen/>
              <w:t>1</w:t>
            </w:r>
          </w:p>
        </w:tc>
        <w:tc>
          <w:tcPr>
            <w:tcW w:w="2693" w:type="dxa"/>
            <w:tcBorders>
              <w:bottom w:val="nil"/>
            </w:tcBorders>
          </w:tcPr>
          <w:p>
            <w:pPr>
              <w:pStyle w:val="nTable"/>
              <w:spacing w:after="40"/>
            </w:pPr>
            <w:r>
              <w:rPr>
                <w:snapToGrid w:val="0"/>
                <w:spacing w:val="-2"/>
              </w:rPr>
              <w:t>r. 1 and 2: 20 Sep 2013 (see r. 2(a));</w:t>
            </w:r>
            <w:r>
              <w:rPr>
                <w:snapToGrid w:val="0"/>
                <w:spacing w:val="-2"/>
              </w:rPr>
              <w:br/>
              <w:t>Regulations other than r. 1 and 2: 21 Sep 2013 (see r. 2(b))</w:t>
            </w:r>
          </w:p>
        </w:tc>
      </w:tr>
      <w:tr>
        <w:tc>
          <w:tcPr>
            <w:tcW w:w="3118" w:type="dxa"/>
            <w:tcBorders>
              <w:top w:val="nil"/>
              <w:bottom w:val="nil"/>
            </w:tcBorders>
          </w:tcPr>
          <w:p>
            <w:pPr>
              <w:pStyle w:val="nTable"/>
              <w:spacing w:after="40"/>
              <w:rPr>
                <w:i/>
              </w:rPr>
            </w:pPr>
            <w:r>
              <w:rPr>
                <w:i/>
              </w:rPr>
              <w:t>Liquor Control (Warralong Restricted Area) Amendment Regulations 2016</w:t>
            </w:r>
          </w:p>
        </w:tc>
        <w:tc>
          <w:tcPr>
            <w:tcW w:w="1276" w:type="dxa"/>
            <w:tcBorders>
              <w:top w:val="nil"/>
              <w:bottom w:val="nil"/>
            </w:tcBorders>
          </w:tcPr>
          <w:p>
            <w:pPr>
              <w:pStyle w:val="nTable"/>
              <w:spacing w:after="40"/>
            </w:pPr>
            <w:r>
              <w:t>16 Sep 2016 p. 3942-3</w:t>
            </w:r>
          </w:p>
        </w:tc>
        <w:tc>
          <w:tcPr>
            <w:tcW w:w="2693" w:type="dxa"/>
            <w:tcBorders>
              <w:top w:val="nil"/>
              <w:bottom w:val="nil"/>
            </w:tcBorders>
          </w:tcPr>
          <w:p>
            <w:pPr>
              <w:pStyle w:val="nTable"/>
              <w:spacing w:after="40"/>
              <w:rPr>
                <w:snapToGrid w:val="0"/>
                <w:spacing w:val="-2"/>
              </w:rPr>
            </w:pPr>
            <w:r>
              <w:rPr>
                <w:bCs/>
                <w:snapToGrid w:val="0"/>
                <w:spacing w:val="-2"/>
              </w:rPr>
              <w:t>r. 1 and 2: 16 Sep 2016 (see r. 2(a));</w:t>
            </w:r>
            <w:r>
              <w:rPr>
                <w:bCs/>
                <w:snapToGrid w:val="0"/>
                <w:spacing w:val="-2"/>
              </w:rPr>
              <w:br/>
              <w:t>Regulations other than r. 1 and 2: 17 Sep 2016 (see r. 2(b))</w:t>
            </w:r>
          </w:p>
        </w:tc>
      </w:tr>
      <w:tr>
        <w:tc>
          <w:tcPr>
            <w:tcW w:w="3118" w:type="dxa"/>
            <w:tcBorders>
              <w:top w:val="nil"/>
              <w:bottom w:val="single" w:sz="4" w:space="0" w:color="auto"/>
            </w:tcBorders>
          </w:tcPr>
          <w:p>
            <w:pPr>
              <w:pStyle w:val="nTable"/>
              <w:spacing w:after="40"/>
              <w:rPr>
                <w:i/>
              </w:rPr>
            </w:pPr>
            <w:r>
              <w:rPr>
                <w:i/>
              </w:rPr>
              <w:t>Liquor Control (Warralong Restricted Area) Amendment Regulations 2019</w:t>
            </w:r>
          </w:p>
        </w:tc>
        <w:tc>
          <w:tcPr>
            <w:tcW w:w="1276" w:type="dxa"/>
            <w:tcBorders>
              <w:top w:val="nil"/>
              <w:bottom w:val="single" w:sz="4" w:space="0" w:color="auto"/>
            </w:tcBorders>
          </w:tcPr>
          <w:p>
            <w:pPr>
              <w:pStyle w:val="nTable"/>
              <w:spacing w:after="40"/>
            </w:pPr>
            <w:r>
              <w:t>9 Aug 2019 p. 3025</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bl>
    <w:p>
      <w:pPr>
        <w:pStyle w:val="nSubsection"/>
        <w:rPr>
          <w:snapToGrid w:val="0"/>
        </w:rPr>
      </w:pPr>
      <w:r>
        <w:rPr>
          <w:vertAlign w:val="superscript"/>
        </w:rPr>
        <w:t>2</w:t>
      </w:r>
      <w:r>
        <w:tab/>
        <w:t>These regulations expire at the close of 20 September 2022.</w:t>
      </w:r>
    </w:p>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5" w:name="_Toc16239631"/>
      <w:r>
        <w:rPr>
          <w:sz w:val="28"/>
        </w:rPr>
        <w:lastRenderedPageBreak/>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7(2)</w:t>
      </w:r>
    </w:p>
    <w:p>
      <w:pPr>
        <w:pStyle w:val="DefinedTerms"/>
      </w:pPr>
      <w:r>
        <w:t>transiting vehicle</w:t>
      </w:r>
      <w:r>
        <w:tab/>
        <w:t>7(2)</w:t>
      </w:r>
    </w:p>
    <w:p>
      <w:pPr>
        <w:pStyle w:val="DefinedTerms"/>
      </w:pPr>
      <w:r>
        <w:t>Warralong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 w:name="Coversheet"/>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808152206"/>
    <w:docVar w:name="WAFER_20150602110730" w:val="ResetPageSize,UpdateArrangement,UpdateNTable"/>
    <w:docVar w:name="WAFER_20150602110730_GUID" w:val="615ffe1f-9030-4845-b7f9-8eebfed34750"/>
    <w:docVar w:name="WAFER_20151126102923" w:val="UpdateStyles"/>
    <w:docVar w:name="WAFER_20151126102923_GUID" w:val="df2de134-133f-436e-b1ba-195f86abc19b"/>
    <w:docVar w:name="WAFER_20151126103935" w:val="UsedStyles"/>
    <w:docVar w:name="WAFER_20151126103935_GUID" w:val="a8fa6bbf-f07f-4b68-bd81-4871cb406db4"/>
    <w:docVar w:name="WAFER_20190808152206" w:val="RemoveTocBookmarks,RemoveUnusedBookmarks,RemoveLanguageTags,ResetPageSize,RunningHeaders,UpdateStyles,UsedStyles"/>
    <w:docVar w:name="WAFER_20190808152206_GUID" w:val="b867cf33-eb20-4dec-90bf-b2a107e7ca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7DBFF57B-EBA3-4C99-AA19-B1027CB9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5FEF-3EA1-48E2-BDA7-1139CFEB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4576</Characters>
  <Application>Microsoft Office Word</Application>
  <DocSecurity>0</DocSecurity>
  <Lines>169</Lines>
  <Paragraphs>112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(Warralong Restricted Area) Regulations 2013 - 00-c0-01</dc:title>
  <dc:subject/>
  <dc:creator/>
  <cp:keywords/>
  <dc:description/>
  <cp:lastModifiedBy>Master Repository Process</cp:lastModifiedBy>
  <cp:revision>4</cp:revision>
  <cp:lastPrinted>2019-08-09T02:36:00Z</cp:lastPrinted>
  <dcterms:created xsi:type="dcterms:W3CDTF">2022-08-30T06:25:00Z</dcterms:created>
  <dcterms:modified xsi:type="dcterms:W3CDTF">2022-08-30T06:25:00Z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(Warralong Restricted Area) Regulations 2013</vt:lpwstr>
  </property>
  <property fmtid="{D5CDD505-2E9C-101B-9397-08002B2CF9AE}" pid="3" name="Citation">
    <vt:lpwstr>Liquor Control (Warralong Restricted Area) Regulations 2013</vt:lpwstr>
  </property>
  <property fmtid="{D5CDD505-2E9C-101B-9397-08002B2CF9AE}" pid="4" name="PrincipalAct">
    <vt:lpwstr>Liquor Control Act 1988</vt:lpwstr>
  </property>
  <property fmtid="{D5CDD505-2E9C-101B-9397-08002B2CF9AE}" pid="5" name="ID">
    <vt:lpwstr>20 Sep 2013 p 4360‑1</vt:lpwstr>
  </property>
  <property fmtid="{D5CDD505-2E9C-101B-9397-08002B2CF9AE}" pid="6" name="DocumentType">
    <vt:lpwstr>Reg</vt:lpwstr>
  </property>
  <property fmtid="{D5CDD505-2E9C-101B-9397-08002B2CF9AE}" pid="7" name="AsAtDate">
    <vt:lpwstr>10 Aug 2019</vt:lpwstr>
  </property>
  <property fmtid="{D5CDD505-2E9C-101B-9397-08002B2CF9AE}" pid="8" name="Suffix">
    <vt:lpwstr>00-c0-01</vt:lpwstr>
  </property>
  <property fmtid="{D5CDD505-2E9C-101B-9397-08002B2CF9AE}" pid="9" name="CommencementDate">
    <vt:lpwstr>20190810</vt:lpwstr>
  </property>
</Properties>
</file>