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Parks (Long-stay Tenants)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_Toc17981296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_Toc17981297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_Toc17981298 \h </w:instrText>
      </w:r>
      <w:r>
        <w:fldChar w:fldCharType="separate"/>
      </w:r>
      <w:r>
        <w:t>1</w:t>
      </w:r>
      <w:r>
        <w:fldChar w:fldCharType="end"/>
      </w:r>
    </w:p>
    <w:p>
      <w:pPr>
        <w:pStyle w:val="TOC8"/>
        <w:rPr>
          <w:rFonts w:asciiTheme="minorHAnsi" w:eastAsiaTheme="minorEastAsia" w:hAnsiTheme="minorHAnsi" w:cstheme="minorBidi"/>
          <w:szCs w:val="22"/>
        </w:rPr>
      </w:pPr>
      <w:r>
        <w:t>4.</w:t>
      </w:r>
      <w:r>
        <w:tab/>
        <w:t>Periodic on</w:t>
      </w:r>
      <w:r>
        <w:noBreakHyphen/>
        <w:t>site home agreement (s. 10(b) and (c) of the Act)</w:t>
      </w:r>
      <w:r>
        <w:tab/>
      </w:r>
      <w:r>
        <w:fldChar w:fldCharType="begin"/>
      </w:r>
      <w:r>
        <w:instrText xml:space="preserve"> PAGEREF _Toc17981299 \h </w:instrText>
      </w:r>
      <w:r>
        <w:fldChar w:fldCharType="separate"/>
      </w:r>
      <w:r>
        <w:t>2</w:t>
      </w:r>
      <w:r>
        <w:fldChar w:fldCharType="end"/>
      </w:r>
    </w:p>
    <w:p>
      <w:pPr>
        <w:pStyle w:val="TOC8"/>
        <w:rPr>
          <w:rFonts w:asciiTheme="minorHAnsi" w:eastAsiaTheme="minorEastAsia" w:hAnsiTheme="minorHAnsi" w:cstheme="minorBidi"/>
          <w:szCs w:val="22"/>
        </w:rPr>
      </w:pPr>
      <w:r>
        <w:t>5.</w:t>
      </w:r>
      <w:r>
        <w:tab/>
        <w:t>Fixed term on</w:t>
      </w:r>
      <w:r>
        <w:noBreakHyphen/>
        <w:t>site home agreement (s. 10(b) and (c) of the Act)</w:t>
      </w:r>
      <w:r>
        <w:tab/>
      </w:r>
      <w:r>
        <w:fldChar w:fldCharType="begin"/>
      </w:r>
      <w:r>
        <w:instrText xml:space="preserve"> PAGEREF _Toc17981300 \h </w:instrText>
      </w:r>
      <w:r>
        <w:fldChar w:fldCharType="separate"/>
      </w:r>
      <w:r>
        <w:t>2</w:t>
      </w:r>
      <w:r>
        <w:fldChar w:fldCharType="end"/>
      </w:r>
    </w:p>
    <w:p>
      <w:pPr>
        <w:pStyle w:val="TOC8"/>
        <w:rPr>
          <w:rFonts w:asciiTheme="minorHAnsi" w:eastAsiaTheme="minorEastAsia" w:hAnsiTheme="minorHAnsi" w:cstheme="minorBidi"/>
          <w:szCs w:val="22"/>
        </w:rPr>
      </w:pPr>
      <w:r>
        <w:t>6.</w:t>
      </w:r>
      <w:r>
        <w:tab/>
        <w:t>Periodic site</w:t>
      </w:r>
      <w:r>
        <w:noBreakHyphen/>
        <w:t>only agreement (s. 10(b) and (c) of the Act)</w:t>
      </w:r>
      <w:r>
        <w:tab/>
      </w:r>
      <w:r>
        <w:fldChar w:fldCharType="begin"/>
      </w:r>
      <w:r>
        <w:instrText xml:space="preserve"> PAGEREF _Toc17981301 \h </w:instrText>
      </w:r>
      <w:r>
        <w:fldChar w:fldCharType="separate"/>
      </w:r>
      <w:r>
        <w:t>2</w:t>
      </w:r>
      <w:r>
        <w:fldChar w:fldCharType="end"/>
      </w:r>
    </w:p>
    <w:p>
      <w:pPr>
        <w:pStyle w:val="TOC8"/>
        <w:rPr>
          <w:rFonts w:asciiTheme="minorHAnsi" w:eastAsiaTheme="minorEastAsia" w:hAnsiTheme="minorHAnsi" w:cstheme="minorBidi"/>
          <w:szCs w:val="22"/>
        </w:rPr>
      </w:pPr>
      <w:r>
        <w:t>7.</w:t>
      </w:r>
      <w:r>
        <w:tab/>
        <w:t>Fixed term site</w:t>
      </w:r>
      <w:r>
        <w:noBreakHyphen/>
        <w:t>only agreement (s. 10(b) and (c) of the Act)</w:t>
      </w:r>
      <w:r>
        <w:tab/>
      </w:r>
      <w:r>
        <w:fldChar w:fldCharType="begin"/>
      </w:r>
      <w:r>
        <w:instrText xml:space="preserve"> PAGEREF _Toc17981302 \h </w:instrText>
      </w:r>
      <w:r>
        <w:fldChar w:fldCharType="separate"/>
      </w:r>
      <w:r>
        <w:t>3</w:t>
      </w:r>
      <w:r>
        <w:fldChar w:fldCharType="end"/>
      </w:r>
    </w:p>
    <w:p>
      <w:pPr>
        <w:pStyle w:val="TOC8"/>
        <w:rPr>
          <w:rFonts w:asciiTheme="minorHAnsi" w:eastAsiaTheme="minorEastAsia" w:hAnsiTheme="minorHAnsi" w:cstheme="minorBidi"/>
          <w:szCs w:val="22"/>
        </w:rPr>
      </w:pPr>
      <w:r>
        <w:t>8.</w:t>
      </w:r>
      <w:r>
        <w:tab/>
        <w:t>Condition report (s. 11(1)(d) and 95(2)(a) of the Act)</w:t>
      </w:r>
      <w:r>
        <w:tab/>
      </w:r>
      <w:r>
        <w:fldChar w:fldCharType="begin"/>
      </w:r>
      <w:r>
        <w:instrText xml:space="preserve"> PAGEREF _Toc17981303 \h </w:instrText>
      </w:r>
      <w:r>
        <w:fldChar w:fldCharType="separate"/>
      </w:r>
      <w:r>
        <w:t>3</w:t>
      </w:r>
      <w:r>
        <w:fldChar w:fldCharType="end"/>
      </w:r>
    </w:p>
    <w:p>
      <w:pPr>
        <w:pStyle w:val="TOC8"/>
        <w:rPr>
          <w:rFonts w:asciiTheme="minorHAnsi" w:eastAsiaTheme="minorEastAsia" w:hAnsiTheme="minorHAnsi" w:cstheme="minorBidi"/>
          <w:szCs w:val="22"/>
        </w:rPr>
      </w:pPr>
      <w:r>
        <w:t>9.</w:t>
      </w:r>
      <w:r>
        <w:tab/>
        <w:t>Information sheet (s. 11(1)(g) of the Act)</w:t>
      </w:r>
      <w:r>
        <w:tab/>
      </w:r>
      <w:r>
        <w:fldChar w:fldCharType="begin"/>
      </w:r>
      <w:r>
        <w:instrText xml:space="preserve"> PAGEREF _Toc17981304 \h </w:instrText>
      </w:r>
      <w:r>
        <w:fldChar w:fldCharType="separate"/>
      </w:r>
      <w:r>
        <w:t>4</w:t>
      </w:r>
      <w:r>
        <w:fldChar w:fldCharType="end"/>
      </w:r>
    </w:p>
    <w:p>
      <w:pPr>
        <w:pStyle w:val="TOC8"/>
        <w:rPr>
          <w:rFonts w:asciiTheme="minorHAnsi" w:eastAsiaTheme="minorEastAsia" w:hAnsiTheme="minorHAnsi" w:cstheme="minorBidi"/>
          <w:szCs w:val="22"/>
        </w:rPr>
      </w:pPr>
      <w:r>
        <w:t>10.</w:t>
      </w:r>
      <w:r>
        <w:tab/>
        <w:t>Prescribed payments (s. 12(2)(c) of the Act)</w:t>
      </w:r>
      <w:r>
        <w:tab/>
      </w:r>
      <w:r>
        <w:fldChar w:fldCharType="begin"/>
      </w:r>
      <w:r>
        <w:instrText xml:space="preserve"> PAGEREF _Toc17981305 \h </w:instrText>
      </w:r>
      <w:r>
        <w:fldChar w:fldCharType="separate"/>
      </w:r>
      <w:r>
        <w:t>4</w:t>
      </w:r>
      <w:r>
        <w:fldChar w:fldCharType="end"/>
      </w:r>
    </w:p>
    <w:p>
      <w:pPr>
        <w:pStyle w:val="TOC8"/>
        <w:rPr>
          <w:rFonts w:asciiTheme="minorHAnsi" w:eastAsiaTheme="minorEastAsia" w:hAnsiTheme="minorHAnsi" w:cstheme="minorBidi"/>
          <w:szCs w:val="22"/>
        </w:rPr>
      </w:pPr>
      <w:r>
        <w:t>11.</w:t>
      </w:r>
      <w:r>
        <w:tab/>
        <w:t>Maximum amount payable for screening suitability of prospective purchasers of relocatable homes</w:t>
      </w:r>
      <w:r>
        <w:tab/>
      </w:r>
      <w:r>
        <w:fldChar w:fldCharType="begin"/>
      </w:r>
      <w:r>
        <w:instrText xml:space="preserve"> PAGEREF _Toc17981306 \h </w:instrText>
      </w:r>
      <w:r>
        <w:fldChar w:fldCharType="separate"/>
      </w:r>
      <w:r>
        <w:t>5</w:t>
      </w:r>
      <w:r>
        <w:fldChar w:fldCharType="end"/>
      </w:r>
    </w:p>
    <w:p>
      <w:pPr>
        <w:pStyle w:val="TOC8"/>
        <w:rPr>
          <w:rFonts w:asciiTheme="minorHAnsi" w:eastAsiaTheme="minorEastAsia" w:hAnsiTheme="minorHAnsi" w:cstheme="minorBidi"/>
          <w:szCs w:val="22"/>
        </w:rPr>
      </w:pPr>
      <w:r>
        <w:t>12.</w:t>
      </w:r>
      <w:r>
        <w:tab/>
        <w:t>Default notice (s. 37(c) of the Act)</w:t>
      </w:r>
      <w:r>
        <w:tab/>
      </w:r>
      <w:r>
        <w:fldChar w:fldCharType="begin"/>
      </w:r>
      <w:r>
        <w:instrText xml:space="preserve"> PAGEREF _Toc17981307 \h </w:instrText>
      </w:r>
      <w:r>
        <w:fldChar w:fldCharType="separate"/>
      </w:r>
      <w:r>
        <w:t>5</w:t>
      </w:r>
      <w:r>
        <w:fldChar w:fldCharType="end"/>
      </w:r>
    </w:p>
    <w:p>
      <w:pPr>
        <w:pStyle w:val="TOC8"/>
        <w:rPr>
          <w:rFonts w:asciiTheme="minorHAnsi" w:eastAsiaTheme="minorEastAsia" w:hAnsiTheme="minorHAnsi" w:cstheme="minorBidi"/>
          <w:szCs w:val="22"/>
        </w:rPr>
      </w:pPr>
      <w:r>
        <w:t>13.</w:t>
      </w:r>
      <w:r>
        <w:tab/>
        <w:t>Notice of termination (s. 38(1)(d) and (2) of Act)</w:t>
      </w:r>
      <w:r>
        <w:tab/>
      </w:r>
      <w:r>
        <w:fldChar w:fldCharType="begin"/>
      </w:r>
      <w:r>
        <w:instrText xml:space="preserve"> PAGEREF _Toc17981308 \h </w:instrText>
      </w:r>
      <w:r>
        <w:fldChar w:fldCharType="separate"/>
      </w:r>
      <w:r>
        <w:t>5</w:t>
      </w:r>
      <w:r>
        <w:fldChar w:fldCharType="end"/>
      </w:r>
    </w:p>
    <w:p>
      <w:pPr>
        <w:pStyle w:val="TOC8"/>
        <w:rPr>
          <w:rFonts w:asciiTheme="minorHAnsi" w:eastAsiaTheme="minorEastAsia" w:hAnsiTheme="minorHAnsi" w:cstheme="minorBidi"/>
          <w:szCs w:val="22"/>
        </w:rPr>
      </w:pPr>
      <w:r>
        <w:t>13A.</w:t>
      </w:r>
      <w:r>
        <w:tab/>
        <w:t>Prescribed person for s. 45A(2)(d)(vi) of Act</w:t>
      </w:r>
      <w:r>
        <w:tab/>
      </w:r>
      <w:r>
        <w:fldChar w:fldCharType="begin"/>
      </w:r>
      <w:r>
        <w:instrText xml:space="preserve"> PAGEREF _Toc17981309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to former tenant about abandoned goods (s. 48(4)(a) of the Act)</w:t>
      </w:r>
      <w:r>
        <w:tab/>
      </w:r>
      <w:r>
        <w:fldChar w:fldCharType="begin"/>
      </w:r>
      <w:r>
        <w:instrText xml:space="preserve"> PAGEREF _Toc17981310 \h </w:instrText>
      </w:r>
      <w:r>
        <w:fldChar w:fldCharType="separate"/>
      </w:r>
      <w:r>
        <w:t>7</w:t>
      </w:r>
      <w:r>
        <w:fldChar w:fldCharType="end"/>
      </w:r>
    </w:p>
    <w:p>
      <w:pPr>
        <w:pStyle w:val="TOC8"/>
        <w:rPr>
          <w:rFonts w:asciiTheme="minorHAnsi" w:eastAsiaTheme="minorEastAsia" w:hAnsiTheme="minorHAnsi" w:cstheme="minorBidi"/>
          <w:szCs w:val="22"/>
        </w:rPr>
      </w:pPr>
      <w:r>
        <w:t>15.</w:t>
      </w:r>
      <w:r>
        <w:tab/>
        <w:t>Park liaison committee’s prescribed functions (s. 61(2)(a)(iv) of the Act)</w:t>
      </w:r>
      <w:r>
        <w:tab/>
      </w:r>
      <w:r>
        <w:fldChar w:fldCharType="begin"/>
      </w:r>
      <w:r>
        <w:instrText xml:space="preserve"> PAGEREF _Toc17981311 \h </w:instrText>
      </w:r>
      <w:r>
        <w:fldChar w:fldCharType="separate"/>
      </w:r>
      <w:r>
        <w:t>7</w:t>
      </w:r>
      <w:r>
        <w:fldChar w:fldCharType="end"/>
      </w:r>
    </w:p>
    <w:p>
      <w:pPr>
        <w:pStyle w:val="TOC8"/>
        <w:rPr>
          <w:rFonts w:asciiTheme="minorHAnsi" w:eastAsiaTheme="minorEastAsia" w:hAnsiTheme="minorHAnsi" w:cstheme="minorBidi"/>
          <w:szCs w:val="22"/>
        </w:rPr>
      </w:pPr>
      <w:r>
        <w:t>16.</w:t>
      </w:r>
      <w:r>
        <w:tab/>
        <w:t>Prescribed matters relating to compensation determination (s. 65(2)(e) of the Act)</w:t>
      </w:r>
      <w:r>
        <w:tab/>
      </w:r>
      <w:r>
        <w:fldChar w:fldCharType="begin"/>
      </w:r>
      <w:r>
        <w:instrText xml:space="preserve"> PAGEREF _Toc17981312 \h </w:instrText>
      </w:r>
      <w:r>
        <w:fldChar w:fldCharType="separate"/>
      </w:r>
      <w:r>
        <w:t>7</w:t>
      </w:r>
      <w:r>
        <w:fldChar w:fldCharType="end"/>
      </w:r>
    </w:p>
    <w:p>
      <w:pPr>
        <w:pStyle w:val="TOC8"/>
        <w:rPr>
          <w:rFonts w:asciiTheme="minorHAnsi" w:eastAsiaTheme="minorEastAsia" w:hAnsiTheme="minorHAnsi" w:cstheme="minorBidi"/>
          <w:szCs w:val="22"/>
        </w:rPr>
      </w:pPr>
      <w:r>
        <w:t>17.</w:t>
      </w:r>
      <w:r>
        <w:tab/>
        <w:t>Interest on security bond amount paid into ADI account (s. 92 of the Act)</w:t>
      </w:r>
      <w:r>
        <w:tab/>
      </w:r>
      <w:r>
        <w:fldChar w:fldCharType="begin"/>
      </w:r>
      <w:r>
        <w:instrText xml:space="preserve"> PAGEREF _Toc17981313 \h </w:instrText>
      </w:r>
      <w:r>
        <w:fldChar w:fldCharType="separate"/>
      </w:r>
      <w:r>
        <w:t>8</w:t>
      </w:r>
      <w:r>
        <w:fldChar w:fldCharType="end"/>
      </w:r>
    </w:p>
    <w:p>
      <w:pPr>
        <w:pStyle w:val="TOC8"/>
        <w:rPr>
          <w:rFonts w:asciiTheme="minorHAnsi" w:eastAsiaTheme="minorEastAsia" w:hAnsiTheme="minorHAnsi" w:cstheme="minorBidi"/>
          <w:szCs w:val="22"/>
        </w:rPr>
      </w:pPr>
      <w:r>
        <w:t>18.</w:t>
      </w:r>
      <w:r>
        <w:tab/>
        <w:t>Disposal of security bond amounts — general (s. 92(e) and 94(c) of the Act)</w:t>
      </w:r>
      <w:r>
        <w:tab/>
      </w:r>
      <w:r>
        <w:fldChar w:fldCharType="begin"/>
      </w:r>
      <w:r>
        <w:instrText xml:space="preserve"> PAGEREF _Toc17981314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Disposal of unclaimed security bond amounts </w:t>
      </w:r>
      <w:r>
        <w:t>(s. 92(e) and 94(c) of the Act)</w:t>
      </w:r>
      <w:r>
        <w:tab/>
      </w:r>
      <w:r>
        <w:fldChar w:fldCharType="begin"/>
      </w:r>
      <w:r>
        <w:instrText xml:space="preserve"> PAGEREF _Toc17981315 \h </w:instrText>
      </w:r>
      <w:r>
        <w:fldChar w:fldCharType="separate"/>
      </w:r>
      <w:r>
        <w:t>9</w:t>
      </w:r>
      <w:r>
        <w:fldChar w:fldCharType="end"/>
      </w:r>
    </w:p>
    <w:p>
      <w:pPr>
        <w:pStyle w:val="TOC8"/>
        <w:rPr>
          <w:rFonts w:asciiTheme="minorHAnsi" w:eastAsiaTheme="minorEastAsia" w:hAnsiTheme="minorHAnsi" w:cstheme="minorBidi"/>
          <w:szCs w:val="22"/>
        </w:rPr>
      </w:pPr>
      <w:r>
        <w:t>20.</w:t>
      </w:r>
      <w:r>
        <w:tab/>
        <w:t>Park rules (s. 95(2)(f) of the Act)</w:t>
      </w:r>
      <w:r>
        <w:tab/>
      </w:r>
      <w:r>
        <w:fldChar w:fldCharType="begin"/>
      </w:r>
      <w:r>
        <w:instrText xml:space="preserve"> PAGEREF _Toc17981316 \h </w:instrText>
      </w:r>
      <w:r>
        <w:fldChar w:fldCharType="separate"/>
      </w:r>
      <w:r>
        <w:t>10</w:t>
      </w:r>
      <w:r>
        <w:fldChar w:fldCharType="end"/>
      </w:r>
    </w:p>
    <w:p>
      <w:pPr>
        <w:pStyle w:val="TOC8"/>
        <w:rPr>
          <w:rFonts w:asciiTheme="minorHAnsi" w:eastAsiaTheme="minorEastAsia" w:hAnsiTheme="minorHAnsi" w:cstheme="minorBidi"/>
          <w:szCs w:val="22"/>
        </w:rPr>
      </w:pPr>
      <w:r>
        <w:t>21.</w:t>
      </w:r>
      <w:r>
        <w:tab/>
        <w:t>Amendments to park rules (s. 95(2)(f) of the Act)</w:t>
      </w:r>
      <w:r>
        <w:tab/>
      </w:r>
      <w:r>
        <w:fldChar w:fldCharType="begin"/>
      </w:r>
      <w:r>
        <w:instrText xml:space="preserve"> PAGEREF _Toc17981317 \h </w:instrText>
      </w:r>
      <w:r>
        <w:fldChar w:fldCharType="separate"/>
      </w:r>
      <w:r>
        <w:t>11</w:t>
      </w:r>
      <w:r>
        <w:fldChar w:fldCharType="end"/>
      </w:r>
    </w:p>
    <w:p>
      <w:pPr>
        <w:pStyle w:val="TOC8"/>
        <w:rPr>
          <w:rFonts w:asciiTheme="minorHAnsi" w:eastAsiaTheme="minorEastAsia" w:hAnsiTheme="minorHAnsi" w:cstheme="minorBidi"/>
          <w:szCs w:val="22"/>
        </w:rPr>
      </w:pPr>
      <w:r>
        <w:t>22.</w:t>
      </w:r>
      <w:r>
        <w:tab/>
        <w:t>Prescribed alterations for Sch. 1 cl. 14(4) of Act</w:t>
      </w:r>
      <w:r>
        <w:tab/>
      </w:r>
      <w:r>
        <w:fldChar w:fldCharType="begin"/>
      </w:r>
      <w:r>
        <w:instrText xml:space="preserve"> PAGEREF _Toc17981318 \h </w:instrText>
      </w:r>
      <w:r>
        <w:fldChar w:fldCharType="separate"/>
      </w:r>
      <w:r>
        <w:t>11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Periodic on</w:t>
      </w:r>
      <w:r>
        <w:noBreakHyphen/>
        <w:t>site home agreement</w:t>
      </w:r>
    </w:p>
    <w:p>
      <w:pPr>
        <w:pStyle w:val="TOC4"/>
        <w:keepNext w:val="0"/>
        <w:tabs>
          <w:tab w:val="right" w:leader="dot" w:pos="7077"/>
        </w:tabs>
        <w:rPr>
          <w:rFonts w:asciiTheme="minorHAnsi" w:eastAsiaTheme="minorEastAsia" w:hAnsiTheme="minorHAnsi" w:cstheme="minorBidi"/>
          <w:b w:val="0"/>
          <w:szCs w:val="22"/>
        </w:rPr>
      </w:pPr>
      <w:r>
        <w:t>Division 1 — Preliminary</w:t>
      </w:r>
    </w:p>
    <w:p>
      <w:pPr>
        <w:pStyle w:val="TOC4"/>
        <w:keepNext w:val="0"/>
        <w:tabs>
          <w:tab w:val="right" w:leader="dot" w:pos="7077"/>
        </w:tabs>
        <w:rPr>
          <w:rFonts w:asciiTheme="minorHAnsi" w:eastAsiaTheme="minorEastAsia" w:hAnsiTheme="minorHAnsi" w:cstheme="minorBidi"/>
          <w:b w:val="0"/>
          <w:szCs w:val="22"/>
        </w:rPr>
      </w:pPr>
      <w:r>
        <w:t>Division 2 — Rent, fees and charges</w:t>
      </w:r>
    </w:p>
    <w:p>
      <w:pPr>
        <w:pStyle w:val="TOC4"/>
        <w:keepNext w:val="0"/>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keepNext w:val="0"/>
        <w:tabs>
          <w:tab w:val="right" w:leader="dot" w:pos="7077"/>
        </w:tabs>
        <w:rPr>
          <w:rFonts w:asciiTheme="minorHAnsi" w:eastAsiaTheme="minorEastAsia" w:hAnsiTheme="minorHAnsi" w:cstheme="minorBidi"/>
          <w:b w:val="0"/>
          <w:szCs w:val="22"/>
        </w:rPr>
      </w:pPr>
      <w:r>
        <w:t>Division 4 — General terms</w:t>
      </w:r>
    </w:p>
    <w:p>
      <w:pPr>
        <w:pStyle w:val="TOC4"/>
        <w:keepNext w:val="0"/>
        <w:tabs>
          <w:tab w:val="right" w:leader="dot" w:pos="7077"/>
        </w:tabs>
        <w:rPr>
          <w:rFonts w:asciiTheme="minorHAnsi" w:eastAsiaTheme="minorEastAsia" w:hAnsiTheme="minorHAnsi" w:cstheme="minorBidi"/>
          <w:b w:val="0"/>
          <w:szCs w:val="22"/>
        </w:rPr>
      </w:pPr>
      <w:r>
        <w:t>Division 5 — Special terms</w:t>
      </w:r>
    </w:p>
    <w:p>
      <w:pPr>
        <w:pStyle w:val="TOC4"/>
        <w:keepNext w:val="0"/>
        <w:tabs>
          <w:tab w:val="right" w:leader="dot" w:pos="7077"/>
        </w:tabs>
        <w:rPr>
          <w:rFonts w:asciiTheme="minorHAnsi" w:eastAsiaTheme="minorEastAsia" w:hAnsiTheme="minorHAnsi" w:cstheme="minorBidi"/>
          <w:b w:val="0"/>
          <w:szCs w:val="22"/>
        </w:rPr>
      </w:pPr>
      <w:r>
        <w:t>Division 6 — Condition report</w:t>
      </w:r>
    </w:p>
    <w:p>
      <w:pPr>
        <w:pStyle w:val="TOC4"/>
        <w:keepNext w:val="0"/>
        <w:tabs>
          <w:tab w:val="right" w:leader="dot" w:pos="7077"/>
        </w:tabs>
        <w:rPr>
          <w:rFonts w:asciiTheme="minorHAnsi" w:eastAsiaTheme="minorEastAsia" w:hAnsiTheme="minorHAnsi" w:cstheme="minorBidi"/>
          <w:b w:val="0"/>
          <w:szCs w:val="22"/>
        </w:rPr>
      </w:pPr>
      <w:r>
        <w:t>Division 7 — Park rules</w:t>
      </w:r>
    </w:p>
    <w:p>
      <w:pPr>
        <w:pStyle w:val="TOC4"/>
        <w:keepNext w:val="0"/>
        <w:tabs>
          <w:tab w:val="right" w:leader="dot" w:pos="7077"/>
        </w:tabs>
        <w:rPr>
          <w:rFonts w:asciiTheme="minorHAnsi" w:eastAsiaTheme="minorEastAsia" w:hAnsiTheme="minorHAnsi" w:cstheme="minorBidi"/>
          <w:b w:val="0"/>
          <w:szCs w:val="22"/>
        </w:rPr>
      </w:pPr>
      <w:r>
        <w:t>Division 8 — Information sheet</w:t>
      </w:r>
    </w:p>
    <w:p>
      <w:pPr>
        <w:pStyle w:val="TOC4"/>
        <w:keepNext w:val="0"/>
        <w:tabs>
          <w:tab w:val="right" w:leader="dot" w:pos="7077"/>
        </w:tabs>
        <w:rPr>
          <w:rFonts w:asciiTheme="minorHAnsi" w:eastAsiaTheme="minorEastAsia" w:hAnsiTheme="minorHAnsi" w:cstheme="minorBidi"/>
          <w:b w:val="0"/>
          <w:szCs w:val="22"/>
        </w:rPr>
      </w:pPr>
      <w:r>
        <w:t>Division 9 — Acceptance</w:t>
      </w:r>
    </w:p>
    <w:p>
      <w:pPr>
        <w:pStyle w:val="TOC4"/>
        <w:keepNext w:val="0"/>
        <w:tabs>
          <w:tab w:val="right" w:leader="dot" w:pos="7077"/>
        </w:tabs>
        <w:rPr>
          <w:rFonts w:asciiTheme="minorHAnsi" w:eastAsiaTheme="minorEastAsia" w:hAnsiTheme="minorHAnsi" w:cstheme="minorBidi"/>
          <w:b w:val="0"/>
          <w:szCs w:val="22"/>
        </w:rPr>
      </w:pPr>
      <w:r>
        <w:t>Division 10 — Tenant’s checklist</w:t>
      </w:r>
    </w:p>
    <w:p>
      <w:pPr>
        <w:pStyle w:val="TOC2"/>
        <w:keepNext w:val="0"/>
        <w:tabs>
          <w:tab w:val="right" w:leader="dot" w:pos="7077"/>
        </w:tabs>
        <w:rPr>
          <w:rFonts w:asciiTheme="minorHAnsi" w:eastAsiaTheme="minorEastAsia" w:hAnsiTheme="minorHAnsi" w:cstheme="minorBidi"/>
          <w:b w:val="0"/>
          <w:sz w:val="22"/>
          <w:szCs w:val="22"/>
        </w:rPr>
      </w:pPr>
      <w:r>
        <w:t>Schedule 2 — Fixed term on</w:t>
      </w:r>
      <w:r>
        <w:noBreakHyphen/>
        <w:t>site home agreement</w:t>
      </w:r>
    </w:p>
    <w:p>
      <w:pPr>
        <w:pStyle w:val="TOC4"/>
        <w:keepNext w:val="0"/>
        <w:tabs>
          <w:tab w:val="right" w:leader="dot" w:pos="7077"/>
        </w:tabs>
        <w:rPr>
          <w:rFonts w:asciiTheme="minorHAnsi" w:eastAsiaTheme="minorEastAsia" w:hAnsiTheme="minorHAnsi" w:cstheme="minorBidi"/>
          <w:b w:val="0"/>
          <w:szCs w:val="22"/>
        </w:rPr>
      </w:pPr>
      <w:r>
        <w:t>Division 1 — Preliminary</w:t>
      </w:r>
    </w:p>
    <w:p>
      <w:pPr>
        <w:pStyle w:val="TOC4"/>
        <w:keepNext w:val="0"/>
        <w:tabs>
          <w:tab w:val="right" w:leader="dot" w:pos="7077"/>
        </w:tabs>
        <w:rPr>
          <w:rFonts w:asciiTheme="minorHAnsi" w:eastAsiaTheme="minorEastAsia" w:hAnsiTheme="minorHAnsi" w:cstheme="minorBidi"/>
          <w:b w:val="0"/>
          <w:szCs w:val="22"/>
        </w:rPr>
      </w:pPr>
      <w:r>
        <w:t>Division 2 — Rent, fees and charges</w:t>
      </w:r>
    </w:p>
    <w:p>
      <w:pPr>
        <w:pStyle w:val="TOC4"/>
        <w:keepNext w:val="0"/>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keepNext w:val="0"/>
        <w:tabs>
          <w:tab w:val="right" w:leader="dot" w:pos="7077"/>
        </w:tabs>
        <w:rPr>
          <w:rFonts w:asciiTheme="minorHAnsi" w:eastAsiaTheme="minorEastAsia" w:hAnsiTheme="minorHAnsi" w:cstheme="minorBidi"/>
          <w:b w:val="0"/>
          <w:szCs w:val="22"/>
        </w:rPr>
      </w:pPr>
      <w:r>
        <w:t>Division 4 — General terms</w:t>
      </w:r>
    </w:p>
    <w:p>
      <w:pPr>
        <w:pStyle w:val="TOC4"/>
        <w:keepNext w:val="0"/>
        <w:tabs>
          <w:tab w:val="right" w:leader="dot" w:pos="7077"/>
        </w:tabs>
        <w:rPr>
          <w:rFonts w:asciiTheme="minorHAnsi" w:eastAsiaTheme="minorEastAsia" w:hAnsiTheme="minorHAnsi" w:cstheme="minorBidi"/>
          <w:b w:val="0"/>
          <w:szCs w:val="22"/>
        </w:rPr>
      </w:pPr>
      <w:r>
        <w:t>Division 5 — Special terms</w:t>
      </w:r>
    </w:p>
    <w:p>
      <w:pPr>
        <w:pStyle w:val="TOC4"/>
        <w:keepNext w:val="0"/>
        <w:tabs>
          <w:tab w:val="right" w:leader="dot" w:pos="7077"/>
        </w:tabs>
        <w:rPr>
          <w:rFonts w:asciiTheme="minorHAnsi" w:eastAsiaTheme="minorEastAsia" w:hAnsiTheme="minorHAnsi" w:cstheme="minorBidi"/>
          <w:b w:val="0"/>
          <w:szCs w:val="22"/>
        </w:rPr>
      </w:pPr>
      <w:r>
        <w:t>Division 6 — Condition report</w:t>
      </w:r>
    </w:p>
    <w:p>
      <w:pPr>
        <w:pStyle w:val="TOC4"/>
        <w:keepNext w:val="0"/>
        <w:tabs>
          <w:tab w:val="right" w:leader="dot" w:pos="7077"/>
        </w:tabs>
        <w:rPr>
          <w:rFonts w:asciiTheme="minorHAnsi" w:eastAsiaTheme="minorEastAsia" w:hAnsiTheme="minorHAnsi" w:cstheme="minorBidi"/>
          <w:b w:val="0"/>
          <w:szCs w:val="22"/>
        </w:rPr>
      </w:pPr>
      <w:r>
        <w:t>Division 7 — Park rules</w:t>
      </w:r>
    </w:p>
    <w:p>
      <w:pPr>
        <w:pStyle w:val="TOC4"/>
        <w:keepNext w:val="0"/>
        <w:tabs>
          <w:tab w:val="right" w:leader="dot" w:pos="7077"/>
        </w:tabs>
        <w:rPr>
          <w:rFonts w:asciiTheme="minorHAnsi" w:eastAsiaTheme="minorEastAsia" w:hAnsiTheme="minorHAnsi" w:cstheme="minorBidi"/>
          <w:b w:val="0"/>
          <w:szCs w:val="22"/>
        </w:rPr>
      </w:pPr>
      <w:r>
        <w:t>Division 8 — Information sheet</w:t>
      </w:r>
    </w:p>
    <w:p>
      <w:pPr>
        <w:pStyle w:val="TOC4"/>
        <w:keepNext w:val="0"/>
        <w:tabs>
          <w:tab w:val="right" w:leader="dot" w:pos="7077"/>
        </w:tabs>
        <w:rPr>
          <w:rFonts w:asciiTheme="minorHAnsi" w:eastAsiaTheme="minorEastAsia" w:hAnsiTheme="minorHAnsi" w:cstheme="minorBidi"/>
          <w:b w:val="0"/>
          <w:szCs w:val="22"/>
        </w:rPr>
      </w:pPr>
      <w:r>
        <w:t>Division 9 — Acceptance</w:t>
      </w:r>
    </w:p>
    <w:p>
      <w:pPr>
        <w:pStyle w:val="TOC4"/>
        <w:keepNext w:val="0"/>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3 — Periodic site</w:t>
      </w:r>
      <w:r>
        <w:noBreakHyphen/>
        <w:t>only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4 — Fixed term site</w:t>
      </w:r>
      <w:r>
        <w:noBreakHyphen/>
        <w:t>only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5 — Condition report</w:t>
      </w:r>
    </w:p>
    <w:p>
      <w:pPr>
        <w:pStyle w:val="TOC8"/>
        <w:rPr>
          <w:rFonts w:asciiTheme="minorHAnsi" w:eastAsiaTheme="minorEastAsia" w:hAnsiTheme="minorHAnsi" w:cstheme="minorBidi"/>
          <w:szCs w:val="22"/>
        </w:rPr>
      </w:pPr>
      <w:r>
        <w:t>1.</w:t>
      </w:r>
      <w:r>
        <w:tab/>
        <w:t>On</w:t>
      </w:r>
      <w:r>
        <w:noBreakHyphen/>
        <w:t>site home</w:t>
      </w:r>
      <w:r>
        <w:tab/>
      </w:r>
      <w:r>
        <w:fldChar w:fldCharType="begin"/>
      </w:r>
      <w:r>
        <w:instrText xml:space="preserve"> PAGEREF _Toc17981364 \h </w:instrText>
      </w:r>
      <w:r>
        <w:fldChar w:fldCharType="separate"/>
      </w:r>
      <w:r>
        <w:t>102</w:t>
      </w:r>
      <w:r>
        <w:fldChar w:fldCharType="end"/>
      </w:r>
    </w:p>
    <w:p>
      <w:pPr>
        <w:pStyle w:val="TOC8"/>
        <w:rPr>
          <w:rFonts w:asciiTheme="minorHAnsi" w:eastAsiaTheme="minorEastAsia" w:hAnsiTheme="minorHAnsi" w:cstheme="minorBidi"/>
          <w:szCs w:val="22"/>
        </w:rPr>
      </w:pPr>
      <w:r>
        <w:t>2.</w:t>
      </w:r>
      <w:r>
        <w:tab/>
        <w:t>Site</w:t>
      </w:r>
      <w:r>
        <w:tab/>
      </w:r>
      <w:r>
        <w:fldChar w:fldCharType="begin"/>
      </w:r>
      <w:r>
        <w:instrText xml:space="preserve"> PAGEREF _Toc17981365 \h </w:instrText>
      </w:r>
      <w:r>
        <w:fldChar w:fldCharType="separate"/>
      </w:r>
      <w:r>
        <w:t>113</w:t>
      </w:r>
      <w:r>
        <w:fldChar w:fldCharType="end"/>
      </w:r>
    </w:p>
    <w:p>
      <w:pPr>
        <w:pStyle w:val="TOC8"/>
        <w:rPr>
          <w:rFonts w:asciiTheme="minorHAnsi" w:eastAsiaTheme="minorEastAsia" w:hAnsiTheme="minorHAnsi" w:cstheme="minorBidi"/>
          <w:szCs w:val="22"/>
        </w:rPr>
      </w:pPr>
      <w:r>
        <w:t>3.</w:t>
      </w:r>
      <w:r>
        <w:tab/>
        <w:t>Specific work to be undertaken by park operator</w:t>
      </w:r>
      <w:r>
        <w:tab/>
      </w:r>
      <w:r>
        <w:fldChar w:fldCharType="begin"/>
      </w:r>
      <w:r>
        <w:instrText xml:space="preserve"> PAGEREF _Toc17981366 \h </w:instrText>
      </w:r>
      <w:r>
        <w:fldChar w:fldCharType="separate"/>
      </w:r>
      <w:r>
        <w:t>114</w:t>
      </w:r>
      <w:r>
        <w:fldChar w:fldCharType="end"/>
      </w:r>
    </w:p>
    <w:p>
      <w:pPr>
        <w:pStyle w:val="TOC8"/>
        <w:rPr>
          <w:rFonts w:asciiTheme="minorHAnsi" w:eastAsiaTheme="minorEastAsia" w:hAnsiTheme="minorHAnsi" w:cstheme="minorBidi"/>
          <w:szCs w:val="22"/>
        </w:rPr>
      </w:pPr>
      <w:r>
        <w:t>4.</w:t>
      </w:r>
      <w:r>
        <w:tab/>
        <w:t>Signatures</w:t>
      </w:r>
      <w:r>
        <w:tab/>
      </w:r>
      <w:r>
        <w:fldChar w:fldCharType="begin"/>
      </w:r>
      <w:r>
        <w:instrText xml:space="preserve"> PAGEREF _Toc17981367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6 — Information sheet (on</w:t>
      </w:r>
      <w:r>
        <w:noBreakHyphen/>
        <w:t>site home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_Toc17981369 \h </w:instrText>
      </w:r>
      <w:r>
        <w:fldChar w:fldCharType="separate"/>
      </w:r>
      <w:r>
        <w:t>116</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_Toc17981370 \h </w:instrText>
      </w:r>
      <w:r>
        <w:fldChar w:fldCharType="separate"/>
      </w:r>
      <w:r>
        <w:t>117</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_Toc17981371 \h </w:instrText>
      </w:r>
      <w:r>
        <w:fldChar w:fldCharType="separate"/>
      </w:r>
      <w:r>
        <w:t>117</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_Toc17981372 \h </w:instrText>
      </w:r>
      <w:r>
        <w:fldChar w:fldCharType="separate"/>
      </w:r>
      <w:r>
        <w:t>117</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_Toc17981373 \h </w:instrText>
      </w:r>
      <w:r>
        <w:fldChar w:fldCharType="separate"/>
      </w:r>
      <w:r>
        <w:t>117</w:t>
      </w:r>
      <w:r>
        <w:fldChar w:fldCharType="end"/>
      </w:r>
    </w:p>
    <w:p>
      <w:pPr>
        <w:pStyle w:val="TOC8"/>
        <w:rPr>
          <w:rFonts w:asciiTheme="minorHAnsi" w:eastAsiaTheme="minorEastAsia" w:hAnsiTheme="minorHAnsi" w:cstheme="minorBidi"/>
          <w:szCs w:val="22"/>
        </w:rPr>
      </w:pPr>
      <w:r>
        <w:t>6.</w:t>
      </w:r>
      <w:r>
        <w:tab/>
        <w:t>Sub</w:t>
      </w:r>
      <w:r>
        <w:noBreakHyphen/>
        <w:t>letting or otherwise assigning the agreed premises</w:t>
      </w:r>
      <w:r>
        <w:tab/>
      </w:r>
      <w:r>
        <w:fldChar w:fldCharType="begin"/>
      </w:r>
      <w:r>
        <w:instrText xml:space="preserve"> PAGEREF _Toc17981374 \h </w:instrText>
      </w:r>
      <w:r>
        <w:fldChar w:fldCharType="separate"/>
      </w:r>
      <w:r>
        <w:t>117</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_Toc17981375 \h </w:instrText>
      </w:r>
      <w:r>
        <w:fldChar w:fldCharType="separate"/>
      </w:r>
      <w:r>
        <w:t>118</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_Toc17981376 \h </w:instrText>
      </w:r>
      <w:r>
        <w:fldChar w:fldCharType="separate"/>
      </w:r>
      <w:r>
        <w:t>118</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_Toc17981377 \h </w:instrText>
      </w:r>
      <w:r>
        <w:fldChar w:fldCharType="separate"/>
      </w:r>
      <w:r>
        <w:t>118</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_Toc17981378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7 — Information sheet (site</w:t>
      </w:r>
      <w:r>
        <w:noBreakHyphen/>
        <w:t>only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_Toc17981380 \h </w:instrText>
      </w:r>
      <w:r>
        <w:fldChar w:fldCharType="separate"/>
      </w:r>
      <w:r>
        <w:t>119</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_Toc17981381 \h </w:instrText>
      </w:r>
      <w:r>
        <w:fldChar w:fldCharType="separate"/>
      </w:r>
      <w:r>
        <w:t>120</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_Toc17981382 \h </w:instrText>
      </w:r>
      <w:r>
        <w:fldChar w:fldCharType="separate"/>
      </w:r>
      <w:r>
        <w:t>120</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_Toc17981383 \h </w:instrText>
      </w:r>
      <w:r>
        <w:fldChar w:fldCharType="separate"/>
      </w:r>
      <w:r>
        <w:t>120</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_Toc17981384 \h </w:instrText>
      </w:r>
      <w:r>
        <w:fldChar w:fldCharType="separate"/>
      </w:r>
      <w:r>
        <w:t>120</w:t>
      </w:r>
      <w:r>
        <w:fldChar w:fldCharType="end"/>
      </w:r>
    </w:p>
    <w:p>
      <w:pPr>
        <w:pStyle w:val="TOC8"/>
        <w:rPr>
          <w:rFonts w:asciiTheme="minorHAnsi" w:eastAsiaTheme="minorEastAsia" w:hAnsiTheme="minorHAnsi" w:cstheme="minorBidi"/>
          <w:szCs w:val="22"/>
        </w:rPr>
      </w:pPr>
      <w:r>
        <w:t>6.</w:t>
      </w:r>
      <w:r>
        <w:tab/>
        <w:t>Selling a relocatable home or sub</w:t>
      </w:r>
      <w:r>
        <w:noBreakHyphen/>
        <w:t>letting or otherwise assigning the agreed premises</w:t>
      </w:r>
      <w:r>
        <w:tab/>
      </w:r>
      <w:r>
        <w:fldChar w:fldCharType="begin"/>
      </w:r>
      <w:r>
        <w:instrText xml:space="preserve"> PAGEREF _Toc17981385 \h </w:instrText>
      </w:r>
      <w:r>
        <w:fldChar w:fldCharType="separate"/>
      </w:r>
      <w:r>
        <w:t>120</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_Toc17981386 \h </w:instrText>
      </w:r>
      <w:r>
        <w:fldChar w:fldCharType="separate"/>
      </w:r>
      <w:r>
        <w:t>121</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_Toc17981387 \h </w:instrText>
      </w:r>
      <w:r>
        <w:fldChar w:fldCharType="separate"/>
      </w:r>
      <w:r>
        <w:t>121</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_Toc17981388 \h </w:instrText>
      </w:r>
      <w:r>
        <w:fldChar w:fldCharType="separate"/>
      </w:r>
      <w:r>
        <w:t>121</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_Toc17981389 \h </w:instrText>
      </w:r>
      <w:r>
        <w:fldChar w:fldCharType="separate"/>
      </w:r>
      <w:r>
        <w:t>121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8 — Prescribed classes of payment</w:t>
      </w:r>
    </w:p>
    <w:p>
      <w:pPr>
        <w:pStyle w:val="TOC2"/>
        <w:tabs>
          <w:tab w:val="right" w:leader="dot" w:pos="7077"/>
        </w:tabs>
        <w:rPr>
          <w:rFonts w:asciiTheme="minorHAnsi" w:eastAsiaTheme="minorEastAsia" w:hAnsiTheme="minorHAnsi" w:cstheme="minorBidi"/>
          <w:b w:val="0"/>
          <w:sz w:val="22"/>
          <w:szCs w:val="22"/>
        </w:rPr>
      </w:pPr>
      <w:r>
        <w:t>Schedule 9 — Default notice</w:t>
      </w:r>
    </w:p>
    <w:p>
      <w:pPr>
        <w:pStyle w:val="TOC4"/>
        <w:tabs>
          <w:tab w:val="right" w:leader="dot" w:pos="7077"/>
        </w:tabs>
        <w:rPr>
          <w:rFonts w:asciiTheme="minorHAnsi" w:eastAsiaTheme="minorEastAsia" w:hAnsiTheme="minorHAnsi" w:cstheme="minorBidi"/>
          <w:b w:val="0"/>
          <w:szCs w:val="22"/>
        </w:rPr>
      </w:pPr>
      <w:r>
        <w:t>Division 1 — Termination for non</w:t>
      </w:r>
      <w:r>
        <w:noBreakHyphen/>
        <w:t>payment of rent</w:t>
      </w:r>
    </w:p>
    <w:p>
      <w:pPr>
        <w:pStyle w:val="TOC4"/>
        <w:tabs>
          <w:tab w:val="right" w:leader="dot" w:pos="7077"/>
        </w:tabs>
        <w:rPr>
          <w:rFonts w:asciiTheme="minorHAnsi" w:eastAsiaTheme="minorEastAsia" w:hAnsiTheme="minorHAnsi" w:cstheme="minorBidi"/>
          <w:b w:val="0"/>
          <w:szCs w:val="22"/>
        </w:rPr>
      </w:pPr>
      <w:r>
        <w:t>Division 2 — Termination for other breach of agreement</w:t>
      </w:r>
    </w:p>
    <w:p>
      <w:pPr>
        <w:pStyle w:val="TOC2"/>
        <w:tabs>
          <w:tab w:val="right" w:leader="dot" w:pos="7077"/>
        </w:tabs>
        <w:rPr>
          <w:rFonts w:asciiTheme="minorHAnsi" w:eastAsiaTheme="minorEastAsia" w:hAnsiTheme="minorHAnsi" w:cstheme="minorBidi"/>
          <w:b w:val="0"/>
          <w:sz w:val="22"/>
          <w:szCs w:val="22"/>
        </w:rPr>
      </w:pPr>
      <w:r>
        <w:t>Schedule 10 — Notice of termination</w:t>
      </w:r>
    </w:p>
    <w:p>
      <w:pPr>
        <w:pStyle w:val="TOC4"/>
        <w:tabs>
          <w:tab w:val="right" w:leader="dot" w:pos="7077"/>
        </w:tabs>
        <w:rPr>
          <w:rFonts w:asciiTheme="minorHAnsi" w:eastAsiaTheme="minorEastAsia" w:hAnsiTheme="minorHAnsi" w:cstheme="minorBidi"/>
          <w:b w:val="0"/>
          <w:szCs w:val="22"/>
        </w:rPr>
      </w:pPr>
      <w:r>
        <w:t>Division 1 — Termination by park operator</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Termination for non</w:t>
      </w:r>
      <w:r>
        <w:noBreakHyphen/>
        <w:t>payment of rent (default notice issued)</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Termination for non</w:t>
      </w:r>
      <w:r>
        <w:noBreakHyphen/>
        <w:t>payment of rent (no default notice issued)</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Termination for other breach of agreement</w:t>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Termination for sale of park</w:t>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Termination without grounds</w:t>
      </w:r>
    </w:p>
    <w:p>
      <w:pPr>
        <w:pStyle w:val="TOC4"/>
        <w:tabs>
          <w:tab w:val="right" w:leader="dot" w:pos="7077"/>
        </w:tabs>
        <w:rPr>
          <w:rFonts w:asciiTheme="minorHAnsi" w:eastAsiaTheme="minorEastAsia" w:hAnsiTheme="minorHAnsi" w:cstheme="minorBidi"/>
          <w:b w:val="0"/>
          <w:szCs w:val="22"/>
        </w:rPr>
      </w:pPr>
      <w:r>
        <w:t>Division 2 — Termination by tenant</w:t>
      </w:r>
    </w:p>
    <w:p>
      <w:pPr>
        <w:pStyle w:val="TOC4"/>
        <w:tabs>
          <w:tab w:val="right" w:leader="dot" w:pos="7077"/>
        </w:tabs>
        <w:rPr>
          <w:rFonts w:asciiTheme="minorHAnsi" w:eastAsiaTheme="minorEastAsia" w:hAnsiTheme="minorHAnsi" w:cstheme="minorBidi"/>
          <w:b w:val="0"/>
          <w:szCs w:val="22"/>
        </w:rPr>
      </w:pPr>
      <w:r>
        <w:t>Division 3 — Termination by park operator or tenant — agreement frustrated</w:t>
      </w:r>
    </w:p>
    <w:p>
      <w:pPr>
        <w:pStyle w:val="TOC4"/>
        <w:tabs>
          <w:tab w:val="right" w:leader="dot" w:pos="7077"/>
        </w:tabs>
        <w:rPr>
          <w:rFonts w:asciiTheme="minorHAnsi" w:eastAsiaTheme="minorEastAsia" w:hAnsiTheme="minorHAnsi" w:cstheme="minorBidi"/>
          <w:b w:val="0"/>
          <w:szCs w:val="22"/>
        </w:rPr>
      </w:pPr>
      <w:r>
        <w:t>Division 4 — Termination by tenant of tenant’s interest in on-site home agreement</w:t>
      </w:r>
    </w:p>
    <w:p>
      <w:pPr>
        <w:pStyle w:val="TOC2"/>
        <w:tabs>
          <w:tab w:val="right" w:leader="dot" w:pos="7077"/>
        </w:tabs>
        <w:rPr>
          <w:rFonts w:asciiTheme="minorHAnsi" w:eastAsiaTheme="minorEastAsia" w:hAnsiTheme="minorHAnsi" w:cstheme="minorBidi"/>
          <w:b w:val="0"/>
          <w:sz w:val="22"/>
          <w:szCs w:val="22"/>
        </w:rPr>
      </w:pPr>
      <w:r>
        <w:t>Schedule 11 — Notice to former tenant about abandoned goods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_Toc17981406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3" w:name="_Toc17981296"/>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Residential Parks (Long-stay Tenants) Regulations 2007</w:t>
      </w:r>
      <w:r>
        <w:rPr>
          <w:vertAlign w:val="superscript"/>
        </w:rPr>
        <w:t> 1</w:t>
      </w:r>
      <w:r>
        <w:t>.</w:t>
      </w:r>
    </w:p>
    <w:p>
      <w:pPr>
        <w:pStyle w:val="Heading5"/>
      </w:pPr>
      <w:bookmarkStart w:id="5" w:name="_Toc17981297"/>
      <w:r>
        <w:rPr>
          <w:rStyle w:val="CharSectno"/>
        </w:rPr>
        <w:t>2</w:t>
      </w:r>
      <w:r>
        <w:t>.</w:t>
      </w:r>
      <w:r>
        <w:tab/>
        <w:t>Commencement</w:t>
      </w:r>
      <w:bookmarkEnd w:id="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r>
        <w:rPr>
          <w:vertAlign w:val="superscript"/>
        </w:rPr>
        <w:t> 1</w:t>
      </w:r>
      <w:r>
        <w:t>.</w:t>
      </w:r>
    </w:p>
    <w:p>
      <w:pPr>
        <w:pStyle w:val="Heading5"/>
      </w:pPr>
      <w:bookmarkStart w:id="6" w:name="_Toc17981298"/>
      <w:r>
        <w:rPr>
          <w:rStyle w:val="CharSectno"/>
        </w:rPr>
        <w:t>3</w:t>
      </w:r>
      <w:r>
        <w:t>.</w:t>
      </w:r>
      <w:r>
        <w:tab/>
        <w:t>Terms used</w:t>
      </w:r>
      <w:bookmarkEnd w:id="6"/>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7" w:name="_Toc17981299"/>
      <w:r>
        <w:rPr>
          <w:rStyle w:val="CharSectno"/>
        </w:rPr>
        <w:t>4</w:t>
      </w:r>
      <w:r>
        <w:t>.</w:t>
      </w:r>
      <w:r>
        <w:tab/>
        <w:t>Periodic on</w:t>
      </w:r>
      <w:r>
        <w:noBreakHyphen/>
        <w:t>site home agreement (s. 10(b) and (c) of the Act)</w:t>
      </w:r>
      <w:bookmarkEnd w:id="7"/>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8" w:name="_Toc17981300"/>
      <w:r>
        <w:rPr>
          <w:rStyle w:val="CharSectno"/>
        </w:rPr>
        <w:t>5</w:t>
      </w:r>
      <w:r>
        <w:t>.</w:t>
      </w:r>
      <w:r>
        <w:tab/>
        <w:t>Fixed term on</w:t>
      </w:r>
      <w:r>
        <w:noBreakHyphen/>
        <w:t>site home agreement (s. 10(b) and (c) of the Act)</w:t>
      </w:r>
      <w:bookmarkEnd w:id="8"/>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9" w:name="_Toc17981301"/>
      <w:r>
        <w:rPr>
          <w:rStyle w:val="CharSectno"/>
        </w:rPr>
        <w:t>6</w:t>
      </w:r>
      <w:r>
        <w:t>.</w:t>
      </w:r>
      <w:r>
        <w:tab/>
        <w:t>Periodic site</w:t>
      </w:r>
      <w:r>
        <w:noBreakHyphen/>
        <w:t>only agreement (s. 10(b) and (c) of the Act)</w:t>
      </w:r>
      <w:bookmarkEnd w:id="9"/>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ageBreakBefore/>
        <w:spacing w:before="0"/>
      </w:pPr>
      <w:bookmarkStart w:id="10" w:name="_Toc17981302"/>
      <w:r>
        <w:rPr>
          <w:rStyle w:val="CharSectno"/>
        </w:rPr>
        <w:t>7</w:t>
      </w:r>
      <w:r>
        <w:t>.</w:t>
      </w:r>
      <w:r>
        <w:tab/>
        <w:t>Fixed term site</w:t>
      </w:r>
      <w:r>
        <w:noBreakHyphen/>
        <w:t>only agreement (s. 10(b) and (c) of the Act)</w:t>
      </w:r>
      <w:bookmarkEnd w:id="10"/>
    </w:p>
    <w:p>
      <w:pPr>
        <w:pStyle w:val="Subsection"/>
        <w:keepNext/>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11" w:name="_Toc17981303"/>
      <w:r>
        <w:rPr>
          <w:rStyle w:val="CharSectno"/>
        </w:rPr>
        <w:t>8</w:t>
      </w:r>
      <w:r>
        <w:t>.</w:t>
      </w:r>
      <w:r>
        <w:tab/>
        <w:t>Condition report (s. 11(1)(d) and 95(2)(a) of the Act)</w:t>
      </w:r>
      <w:bookmarkEnd w:id="11"/>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keepNext/>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12" w:name="_Toc17981304"/>
      <w:r>
        <w:rPr>
          <w:rStyle w:val="CharSectno"/>
        </w:rPr>
        <w:t>9</w:t>
      </w:r>
      <w:r>
        <w:t>.</w:t>
      </w:r>
      <w:r>
        <w:tab/>
        <w:t>Information sheet (s. 11(1)(g) of the Act)</w:t>
      </w:r>
      <w:bookmarkEnd w:id="12"/>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13" w:name="_Toc17981305"/>
      <w:r>
        <w:rPr>
          <w:rStyle w:val="CharSectno"/>
        </w:rPr>
        <w:t>10</w:t>
      </w:r>
      <w:r>
        <w:t>.</w:t>
      </w:r>
      <w:r>
        <w:tab/>
        <w:t>Prescribed payments (s. 12(2)(c) of the Act)</w:t>
      </w:r>
      <w:bookmarkEnd w:id="13"/>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ageBreakBefore/>
        <w:spacing w:before="0"/>
      </w:pPr>
      <w:bookmarkStart w:id="14" w:name="_Toc17981306"/>
      <w:r>
        <w:rPr>
          <w:rStyle w:val="CharSectno"/>
        </w:rPr>
        <w:t>11</w:t>
      </w:r>
      <w:r>
        <w:t>.</w:t>
      </w:r>
      <w:r>
        <w:tab/>
        <w:t>Maximum amount payable for screening suitability of prospective purchasers of relocatable homes</w:t>
      </w:r>
      <w:bookmarkEnd w:id="14"/>
    </w:p>
    <w:p>
      <w:pPr>
        <w:pStyle w:val="Subsection"/>
      </w:pPr>
      <w:r>
        <w:tab/>
      </w:r>
      <w:r>
        <w:tab/>
        <w:t>For the purposes of section 95(2)(c), the maximum amount that is payable in respect of a charge referred to in Schedule 8 item 12 is $200.</w:t>
      </w:r>
    </w:p>
    <w:p>
      <w:pPr>
        <w:pStyle w:val="Heading5"/>
      </w:pPr>
      <w:bookmarkStart w:id="15" w:name="_Toc17981307"/>
      <w:r>
        <w:rPr>
          <w:rStyle w:val="CharSectno"/>
        </w:rPr>
        <w:t>12</w:t>
      </w:r>
      <w:r>
        <w:t>.</w:t>
      </w:r>
      <w:r>
        <w:tab/>
        <w:t>Default notice (s. 37(c) of the Act)</w:t>
      </w:r>
      <w:bookmarkEnd w:id="15"/>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16" w:name="_Toc17981308"/>
      <w:r>
        <w:rPr>
          <w:rStyle w:val="CharSectno"/>
        </w:rPr>
        <w:t>13</w:t>
      </w:r>
      <w:r>
        <w:t>.</w:t>
      </w:r>
      <w:r>
        <w:tab/>
        <w:t>Notice of termination (s. 38(1)(d) and (2) of Act)</w:t>
      </w:r>
      <w:bookmarkEnd w:id="16"/>
    </w:p>
    <w:p>
      <w:pPr>
        <w:pStyle w:val="Subsection"/>
      </w:pPr>
      <w:r>
        <w:tab/>
        <w:t>(1)</w:t>
      </w:r>
      <w:r>
        <w:tab/>
        <w:t>A notice of termination of a kind referred to in subregulations (2) to (4) —</w:t>
      </w:r>
    </w:p>
    <w:p>
      <w:pPr>
        <w:pStyle w:val="Indenta"/>
      </w:pPr>
      <w:r>
        <w:tab/>
        <w:t>(a)</w:t>
      </w:r>
      <w:r>
        <w:tab/>
        <w:t>may be (but is not required to be) in the form set out in Schedule 10 for a notice of that kind; but</w:t>
      </w:r>
    </w:p>
    <w:p>
      <w:pPr>
        <w:pStyle w:val="Indenta"/>
      </w:pPr>
      <w:r>
        <w:tab/>
        <w:t>(b)</w:t>
      </w:r>
      <w:r>
        <w:tab/>
        <w:t>for the purposes of section 38(1)(d)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Subsection"/>
      </w:pPr>
      <w:r>
        <w:tab/>
        <w:t>(5)</w:t>
      </w:r>
      <w:r>
        <w:tab/>
        <w:t>For the purposes of section 38(2) of the Act, the prescribed form of a notice under section 45A(1) of the Act is set out in Schedule 10 Division 4.</w:t>
      </w:r>
    </w:p>
    <w:p>
      <w:pPr>
        <w:pStyle w:val="Footnotesection"/>
      </w:pPr>
      <w:r>
        <w:tab/>
        <w:t>[Regulation 13 amended: Gazette 9 Apr 2019 p. 1052.]</w:t>
      </w:r>
    </w:p>
    <w:p>
      <w:pPr>
        <w:pStyle w:val="Heading5"/>
      </w:pPr>
      <w:bookmarkStart w:id="17" w:name="_Toc17981309"/>
      <w:r>
        <w:rPr>
          <w:rStyle w:val="CharSectno"/>
        </w:rPr>
        <w:t>13A</w:t>
      </w:r>
      <w:r>
        <w:t>.</w:t>
      </w:r>
      <w:r>
        <w:tab/>
        <w:t>Prescribed person for s. 45A(2)(d)(vi) of Act</w:t>
      </w:r>
      <w:bookmarkEnd w:id="17"/>
    </w:p>
    <w:p>
      <w:pPr>
        <w:pStyle w:val="Subsection"/>
      </w:pPr>
      <w:r>
        <w:tab/>
      </w:r>
      <w:r>
        <w:tab/>
        <w:t xml:space="preserve">For the purposes of section 45A(2)(d)(vi)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keepNext/>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pPr>
      <w:r>
        <w:tab/>
        <w:t>[Regulation 13A inserted: Gazette 9 Apr 2019 p. 1053.]</w:t>
      </w:r>
    </w:p>
    <w:p>
      <w:pPr>
        <w:pStyle w:val="Heading5"/>
      </w:pPr>
      <w:bookmarkStart w:id="18" w:name="_Toc17981310"/>
      <w:r>
        <w:rPr>
          <w:rStyle w:val="CharSectno"/>
        </w:rPr>
        <w:t>14</w:t>
      </w:r>
      <w:r>
        <w:t>.</w:t>
      </w:r>
      <w:r>
        <w:tab/>
        <w:t>Notice to former tenant about abandoned goods (s. 48(4)(a) of the Act)</w:t>
      </w:r>
      <w:bookmarkEnd w:id="18"/>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19" w:name="_Toc17981311"/>
      <w:r>
        <w:rPr>
          <w:rStyle w:val="CharSectno"/>
        </w:rPr>
        <w:t>15</w:t>
      </w:r>
      <w:r>
        <w:t>.</w:t>
      </w:r>
      <w:r>
        <w:tab/>
        <w:t>Park liaison committee’s prescribed functions (s. 61(2)(a)(iv) of the Act)</w:t>
      </w:r>
      <w:bookmarkEnd w:id="19"/>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20" w:name="_Toc17981312"/>
      <w:r>
        <w:rPr>
          <w:rStyle w:val="CharSectno"/>
        </w:rPr>
        <w:t>16</w:t>
      </w:r>
      <w:r>
        <w:t>.</w:t>
      </w:r>
      <w:r>
        <w:tab/>
        <w:t>Prescribed matters relating to compensation determination (s. 65(2)(e) of the Act)</w:t>
      </w:r>
      <w:bookmarkEnd w:id="20"/>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21" w:name="_Toc17981313"/>
      <w:r>
        <w:rPr>
          <w:rStyle w:val="CharSectno"/>
        </w:rPr>
        <w:t>17</w:t>
      </w:r>
      <w:r>
        <w:t>.</w:t>
      </w:r>
      <w:r>
        <w:tab/>
        <w:t>Interest on security bond amount paid into ADI account (s. 92 of the Act)</w:t>
      </w:r>
      <w:bookmarkEnd w:id="21"/>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22" w:name="_Toc17981314"/>
      <w:r>
        <w:rPr>
          <w:rStyle w:val="CharSectno"/>
        </w:rPr>
        <w:t>18</w:t>
      </w:r>
      <w:r>
        <w:t>.</w:t>
      </w:r>
      <w:r>
        <w:tab/>
        <w:t>Disposal of security bond amounts — general (s. 92(e) and 94(c) of the Act)</w:t>
      </w:r>
      <w:bookmarkEnd w:id="22"/>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keepNext/>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23" w:name="_Toc17981315"/>
      <w:r>
        <w:rPr>
          <w:rStyle w:val="CharSectno"/>
        </w:rPr>
        <w:t>19</w:t>
      </w:r>
      <w:r>
        <w:rPr>
          <w:snapToGrid w:val="0"/>
        </w:rPr>
        <w:t>.</w:t>
      </w:r>
      <w:r>
        <w:rPr>
          <w:snapToGrid w:val="0"/>
        </w:rPr>
        <w:tab/>
        <w:t xml:space="preserve">Disposal of unclaimed security bond amounts </w:t>
      </w:r>
      <w:r>
        <w:t>(s. 92(e) and 94(c) of the Act)</w:t>
      </w:r>
      <w:bookmarkEnd w:id="23"/>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24" w:name="_Toc17981316"/>
      <w:r>
        <w:rPr>
          <w:rStyle w:val="CharSectno"/>
        </w:rPr>
        <w:t>20</w:t>
      </w:r>
      <w:r>
        <w:t>.</w:t>
      </w:r>
      <w:r>
        <w:tab/>
        <w:t>Park rules (s. 95(2)(f) of the Act)</w:t>
      </w:r>
      <w:bookmarkEnd w:id="24"/>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25" w:name="_Toc17981317"/>
      <w:r>
        <w:rPr>
          <w:rStyle w:val="CharSectno"/>
        </w:rPr>
        <w:t>21</w:t>
      </w:r>
      <w:r>
        <w:t>.</w:t>
      </w:r>
      <w:r>
        <w:tab/>
        <w:t>Amendments to park rules (s. 95(2)(f) of the Act)</w:t>
      </w:r>
      <w:bookmarkEnd w:id="25"/>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pPr>
      <w:r>
        <w:tab/>
        <w:t>[Regulation 21 amended: Gazette 5 Jul 2011 p. 2813.]</w:t>
      </w:r>
    </w:p>
    <w:p>
      <w:pPr>
        <w:pStyle w:val="Heading5"/>
      </w:pPr>
      <w:bookmarkStart w:id="26" w:name="_Toc17981318"/>
      <w:r>
        <w:rPr>
          <w:rStyle w:val="CharSectno"/>
        </w:rPr>
        <w:t>22</w:t>
      </w:r>
      <w:r>
        <w:t>.</w:t>
      </w:r>
      <w:r>
        <w:tab/>
        <w:t>Prescribed alterations for Sch. 1 cl. 14(4) of Act</w:t>
      </w:r>
      <w:bookmarkEnd w:id="26"/>
    </w:p>
    <w:p>
      <w:pPr>
        <w:pStyle w:val="Subsection"/>
      </w:pPr>
      <w:r>
        <w:tab/>
      </w:r>
      <w:r>
        <w:tab/>
        <w:t xml:space="preserve">For the purposes of Schedule 1 clause 14(4)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agreed premises.</w:t>
      </w:r>
    </w:p>
    <w:p>
      <w:pPr>
        <w:pStyle w:val="Footnotesection"/>
      </w:pPr>
      <w:r>
        <w:tab/>
        <w:t>[Regulation 22 inserted: Gazette 9 Apr 2019 p. 1053.]</w:t>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 w:name="_Toc7531827"/>
      <w:bookmarkStart w:id="28" w:name="_Toc11075615"/>
      <w:bookmarkStart w:id="29" w:name="_Toc13032634"/>
      <w:bookmarkStart w:id="30" w:name="_Toc13580163"/>
      <w:bookmarkStart w:id="31" w:name="_Toc14700017"/>
      <w:bookmarkStart w:id="32" w:name="_Toc14777445"/>
      <w:bookmarkStart w:id="33" w:name="_Toc14871194"/>
      <w:bookmarkStart w:id="34" w:name="_Toc17279162"/>
      <w:bookmarkStart w:id="35" w:name="_Toc17279274"/>
      <w:bookmarkStart w:id="36" w:name="_Toc17981319"/>
      <w:r>
        <w:rPr>
          <w:rStyle w:val="CharSchNo"/>
        </w:rPr>
        <w:t>Schedule 1</w:t>
      </w:r>
      <w:r>
        <w:t> — </w:t>
      </w:r>
      <w:r>
        <w:rPr>
          <w:rStyle w:val="CharSchText"/>
        </w:rPr>
        <w:t>Periodic on</w:t>
      </w:r>
      <w:r>
        <w:rPr>
          <w:rStyle w:val="CharSchText"/>
        </w:rPr>
        <w:noBreakHyphen/>
        <w:t>site home agreement</w:t>
      </w:r>
      <w:bookmarkEnd w:id="27"/>
      <w:bookmarkEnd w:id="28"/>
      <w:bookmarkEnd w:id="29"/>
      <w:bookmarkEnd w:id="30"/>
      <w:bookmarkEnd w:id="31"/>
      <w:bookmarkEnd w:id="32"/>
      <w:bookmarkEnd w:id="33"/>
      <w:bookmarkEnd w:id="34"/>
      <w:bookmarkEnd w:id="35"/>
      <w:bookmarkEnd w:id="36"/>
    </w:p>
    <w:p>
      <w:pPr>
        <w:pStyle w:val="yShoulderClause"/>
      </w:pPr>
      <w:r>
        <w:t>[r. 4]</w:t>
      </w:r>
    </w:p>
    <w:p>
      <w:pPr>
        <w:pStyle w:val="yHeading3"/>
      </w:pPr>
      <w:bookmarkStart w:id="37" w:name="_Toc7531828"/>
      <w:bookmarkStart w:id="38" w:name="_Toc11075616"/>
      <w:bookmarkStart w:id="39" w:name="_Toc13032635"/>
      <w:bookmarkStart w:id="40" w:name="_Toc13580164"/>
      <w:bookmarkStart w:id="41" w:name="_Toc14700018"/>
      <w:bookmarkStart w:id="42" w:name="_Toc14777446"/>
      <w:bookmarkStart w:id="43" w:name="_Toc14871195"/>
      <w:bookmarkStart w:id="44" w:name="_Toc17279163"/>
      <w:bookmarkStart w:id="45" w:name="_Toc17279275"/>
      <w:bookmarkStart w:id="46" w:name="_Toc17981320"/>
      <w:r>
        <w:rPr>
          <w:rStyle w:val="CharSDivNo"/>
        </w:rPr>
        <w:t>Division 1</w:t>
      </w:r>
      <w:r>
        <w:t> — </w:t>
      </w:r>
      <w:r>
        <w:rPr>
          <w:rStyle w:val="CharSDivText"/>
        </w:rPr>
        <w:t>Preliminary</w:t>
      </w:r>
      <w:bookmarkEnd w:id="37"/>
      <w:bookmarkEnd w:id="38"/>
      <w:bookmarkEnd w:id="39"/>
      <w:bookmarkEnd w:id="40"/>
      <w:bookmarkEnd w:id="41"/>
      <w:bookmarkEnd w:id="42"/>
      <w:bookmarkEnd w:id="43"/>
      <w:bookmarkEnd w:id="44"/>
      <w:bookmarkEnd w:id="45"/>
      <w:bookmarkEnd w:id="4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yTable"/>
              <w:tabs>
                <w:tab w:val="left" w:pos="459"/>
              </w:tabs>
              <w:ind w:left="459" w:hanging="459"/>
              <w:rPr>
                <w:rFonts w:ascii="Arial" w:hAnsi="Arial" w:cs="Arial"/>
                <w:sz w:val="18"/>
              </w:rPr>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ind w:left="459" w:hanging="459"/>
              <w:rPr>
                <w:rFonts w:ascii="Arial" w:hAnsi="Arial" w:cs="Arial"/>
                <w:sz w:val="14"/>
                <w:szCs w:val="14"/>
              </w:rPr>
            </w:pPr>
            <w:r>
              <w:rPr>
                <w:rFonts w:ascii="Arial" w:hAnsi="Arial" w:cs="Arial"/>
                <w:sz w:val="14"/>
                <w:szCs w:val="14"/>
              </w:rPr>
              <w:t>This agreement is in 10 Divisions:</w:t>
            </w:r>
          </w:p>
          <w:p>
            <w:pPr>
              <w:pStyle w:val="yTable"/>
              <w:ind w:left="459" w:hanging="459"/>
              <w:rPr>
                <w:rFonts w:ascii="Arial" w:hAnsi="Arial" w:cs="Arial"/>
                <w:sz w:val="14"/>
                <w:szCs w:val="14"/>
              </w:rPr>
            </w:pPr>
            <w:r>
              <w:rPr>
                <w:rFonts w:ascii="Arial" w:hAnsi="Arial" w:cs="Arial"/>
                <w:sz w:val="14"/>
                <w:szCs w:val="14"/>
              </w:rPr>
              <w:t>Division 1 — Preliminary</w:t>
            </w:r>
          </w:p>
          <w:p>
            <w:pPr>
              <w:pStyle w:val="yTable"/>
              <w:ind w:left="459" w:hanging="459"/>
              <w:rPr>
                <w:rFonts w:ascii="Arial" w:hAnsi="Arial" w:cs="Arial"/>
                <w:sz w:val="14"/>
                <w:szCs w:val="14"/>
              </w:rPr>
            </w:pPr>
            <w:r>
              <w:rPr>
                <w:rFonts w:ascii="Arial" w:hAnsi="Arial" w:cs="Arial"/>
                <w:sz w:val="14"/>
                <w:szCs w:val="14"/>
              </w:rPr>
              <w:t>Division 2 — Rent, fees and charges</w:t>
            </w:r>
          </w:p>
          <w:p>
            <w:pPr>
              <w:pStyle w:val="yTable"/>
              <w:ind w:left="459" w:hanging="459"/>
              <w:rPr>
                <w:rFonts w:ascii="Arial" w:hAnsi="Arial" w:cs="Arial"/>
                <w:sz w:val="14"/>
                <w:szCs w:val="14"/>
              </w:rPr>
            </w:pPr>
            <w:r>
              <w:rPr>
                <w:rFonts w:ascii="Arial" w:hAnsi="Arial" w:cs="Arial"/>
                <w:sz w:val="14"/>
                <w:szCs w:val="14"/>
              </w:rPr>
              <w:t>Division 3 — Table of fees and charges for services and utilities</w:t>
            </w:r>
          </w:p>
          <w:p>
            <w:pPr>
              <w:pStyle w:val="yTable"/>
              <w:ind w:left="459" w:hanging="459"/>
              <w:rPr>
                <w:rFonts w:ascii="Arial" w:hAnsi="Arial" w:cs="Arial"/>
                <w:sz w:val="14"/>
                <w:szCs w:val="14"/>
              </w:rPr>
            </w:pPr>
            <w:r>
              <w:rPr>
                <w:rFonts w:ascii="Arial" w:hAnsi="Arial" w:cs="Arial"/>
                <w:sz w:val="14"/>
                <w:szCs w:val="14"/>
              </w:rPr>
              <w:t>Division 4 — General terms</w:t>
            </w:r>
          </w:p>
          <w:p>
            <w:pPr>
              <w:pStyle w:val="yTable"/>
              <w:ind w:left="459" w:hanging="459"/>
              <w:rPr>
                <w:rFonts w:ascii="Arial" w:hAnsi="Arial" w:cs="Arial"/>
                <w:sz w:val="14"/>
                <w:szCs w:val="14"/>
              </w:rPr>
            </w:pPr>
            <w:r>
              <w:rPr>
                <w:rFonts w:ascii="Arial" w:hAnsi="Arial" w:cs="Arial"/>
                <w:sz w:val="14"/>
                <w:szCs w:val="14"/>
              </w:rPr>
              <w:t>Division 5 — Special terms</w:t>
            </w:r>
          </w:p>
          <w:p>
            <w:pPr>
              <w:pStyle w:val="yTable"/>
              <w:ind w:left="459" w:hanging="459"/>
              <w:rPr>
                <w:rFonts w:ascii="Arial" w:hAnsi="Arial" w:cs="Arial"/>
                <w:sz w:val="14"/>
                <w:szCs w:val="14"/>
              </w:rPr>
            </w:pPr>
            <w:r>
              <w:rPr>
                <w:rFonts w:ascii="Arial" w:hAnsi="Arial" w:cs="Arial"/>
                <w:sz w:val="14"/>
                <w:szCs w:val="14"/>
              </w:rPr>
              <w:t xml:space="preserve">Division 6 — Condition report </w:t>
            </w:r>
          </w:p>
          <w:p>
            <w:pPr>
              <w:pStyle w:val="yTable"/>
              <w:ind w:left="459" w:hanging="459"/>
              <w:rPr>
                <w:rFonts w:ascii="Arial" w:hAnsi="Arial" w:cs="Arial"/>
                <w:sz w:val="14"/>
                <w:szCs w:val="14"/>
              </w:rPr>
            </w:pPr>
            <w:r>
              <w:rPr>
                <w:rFonts w:ascii="Arial" w:hAnsi="Arial" w:cs="Arial"/>
                <w:sz w:val="14"/>
                <w:szCs w:val="14"/>
              </w:rPr>
              <w:t>Division 7 — Park rules</w:t>
            </w:r>
          </w:p>
          <w:p>
            <w:pPr>
              <w:pStyle w:val="yTable"/>
              <w:ind w:left="459" w:hanging="459"/>
              <w:rPr>
                <w:rFonts w:ascii="Arial" w:hAnsi="Arial" w:cs="Arial"/>
                <w:sz w:val="14"/>
                <w:szCs w:val="14"/>
              </w:rPr>
            </w:pPr>
            <w:r>
              <w:rPr>
                <w:rFonts w:ascii="Arial" w:hAnsi="Arial" w:cs="Arial"/>
                <w:sz w:val="14"/>
                <w:szCs w:val="14"/>
              </w:rPr>
              <w:t>Division 8 — Information sheet</w:t>
            </w:r>
          </w:p>
          <w:p>
            <w:pPr>
              <w:pStyle w:val="yTable"/>
              <w:ind w:left="459" w:hanging="459"/>
              <w:rPr>
                <w:rFonts w:ascii="Arial" w:hAnsi="Arial" w:cs="Arial"/>
                <w:sz w:val="14"/>
                <w:szCs w:val="14"/>
              </w:rPr>
            </w:pPr>
            <w:r>
              <w:rPr>
                <w:rFonts w:ascii="Arial" w:hAnsi="Arial" w:cs="Arial"/>
                <w:sz w:val="14"/>
                <w:szCs w:val="14"/>
              </w:rPr>
              <w:t>Division 9 — Acceptance</w:t>
            </w:r>
          </w:p>
          <w:p>
            <w:pPr>
              <w:pStyle w:val="yTable"/>
              <w:ind w:left="459" w:hanging="459"/>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ind w:left="459" w:hanging="459"/>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5"/>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tabs>
                <w:tab w:val="left" w:pos="459"/>
              </w:tabs>
              <w:ind w:left="459" w:hanging="459"/>
              <w:rPr>
                <w:rFonts w:ascii="Arial" w:hAnsi="Arial" w:cs="Arial"/>
                <w:b/>
                <w:sz w:val="18"/>
                <w:szCs w:val="18"/>
              </w:rPr>
            </w:pPr>
            <w:r>
              <w:rPr>
                <w:rFonts w:ascii="Arial" w:hAnsi="Arial" w:cs="Arial"/>
                <w:b/>
                <w:sz w:val="18"/>
                <w:szCs w:val="18"/>
              </w:rPr>
              <w:t>WARNING</w:t>
            </w:r>
          </w:p>
          <w:p>
            <w:pPr>
              <w:pStyle w:val="yTable"/>
              <w:ind w:left="459" w:hanging="459"/>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with no fixed term.</w:t>
            </w:r>
          </w:p>
          <w:p>
            <w:pPr>
              <w:pStyle w:val="yTable"/>
              <w:rPr>
                <w:rFonts w:ascii="Arial" w:hAnsi="Arial" w:cs="Arial"/>
                <w:sz w:val="14"/>
                <w:szCs w:val="14"/>
              </w:rPr>
            </w:pPr>
            <w:r>
              <w:rPr>
                <w:rFonts w:ascii="Arial" w:hAnsi="Arial" w:cs="Arial"/>
                <w:sz w:val="14"/>
                <w:szCs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r>
              <w:rPr>
                <w:rStyle w:val="CharDefText"/>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r>
              <w:rPr>
                <w:rStyle w:val="CharDefText"/>
                <w:bCs/>
                <w:iCs/>
                <w:sz w:val="18"/>
              </w:rPr>
              <w:t>agreed premises</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b/>
                <w:sz w:val="18"/>
              </w:rPr>
              <w:tab/>
            </w:r>
            <w:r>
              <w:rPr>
                <w:rStyle w:val="CharDefText"/>
                <w:bCs/>
                <w:iCs/>
                <w:sz w:val="18"/>
              </w:rPr>
              <w:t>on-site home</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b/>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b/>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b/>
                <w:sz w:val="18"/>
              </w:rPr>
              <w:tab/>
            </w:r>
            <w:r>
              <w:rPr>
                <w:rStyle w:val="CharDefText"/>
                <w:bCs/>
                <w:iCs/>
                <w:sz w:val="18"/>
              </w:rPr>
              <w:t>tenant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r>
        <w:tab/>
        <w:t>[Division 1 amended: Gazette 5 Jul 2011 p. 2814.]</w:t>
      </w:r>
    </w:p>
    <w:p>
      <w:pPr>
        <w:pStyle w:val="yHeading3"/>
      </w:pPr>
      <w:bookmarkStart w:id="47" w:name="_Toc7531829"/>
      <w:bookmarkStart w:id="48" w:name="_Toc11075617"/>
      <w:bookmarkStart w:id="49" w:name="_Toc13032636"/>
      <w:bookmarkStart w:id="50" w:name="_Toc13580165"/>
      <w:bookmarkStart w:id="51" w:name="_Toc14700019"/>
      <w:bookmarkStart w:id="52" w:name="_Toc14777447"/>
      <w:bookmarkStart w:id="53" w:name="_Toc14871196"/>
      <w:bookmarkStart w:id="54" w:name="_Toc17279164"/>
      <w:bookmarkStart w:id="55" w:name="_Toc17279276"/>
      <w:bookmarkStart w:id="56" w:name="_Toc17981321"/>
      <w:r>
        <w:rPr>
          <w:rStyle w:val="CharSDivNo"/>
        </w:rPr>
        <w:t>Division 2</w:t>
      </w:r>
      <w:r>
        <w:t> — </w:t>
      </w:r>
      <w:r>
        <w:rPr>
          <w:rStyle w:val="CharSDivText"/>
        </w:rPr>
        <w:t>Rent, fees and charges</w:t>
      </w:r>
      <w:bookmarkEnd w:id="47"/>
      <w:bookmarkEnd w:id="48"/>
      <w:bookmarkEnd w:id="49"/>
      <w:bookmarkEnd w:id="50"/>
      <w:bookmarkEnd w:id="51"/>
      <w:bookmarkEnd w:id="52"/>
      <w:bookmarkEnd w:id="53"/>
      <w:bookmarkEnd w:id="54"/>
      <w:bookmarkEnd w:id="55"/>
      <w:bookmarkEnd w:id="5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742" w:hanging="742"/>
              <w:rPr>
                <w:rFonts w:ascii="Arial" w:hAnsi="Arial" w:cs="Arial"/>
                <w:sz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top w:val="single" w:sz="4" w:space="0" w:color="auto"/>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section 30(2) of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park operator must give at least 60 days notice of any rent increase;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2:</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pPr>
            <w:r>
              <w:rPr>
                <w:rFonts w:ascii="Arial" w:hAnsi="Arial" w:cs="Arial"/>
                <w:sz w:val="14"/>
              </w:rPr>
              <w:t>Note 3:</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2814; 14 Nov 2013 p. 5063.]</w:t>
      </w:r>
    </w:p>
    <w:p>
      <w:pPr>
        <w:pStyle w:val="yHeading3"/>
        <w:spacing w:after="60"/>
      </w:pPr>
      <w:bookmarkStart w:id="57" w:name="_Toc7531830"/>
      <w:bookmarkStart w:id="58" w:name="_Toc11075618"/>
      <w:bookmarkStart w:id="59" w:name="_Toc13032637"/>
      <w:bookmarkStart w:id="60" w:name="_Toc13580166"/>
      <w:bookmarkStart w:id="61" w:name="_Toc14700020"/>
      <w:bookmarkStart w:id="62" w:name="_Toc14777448"/>
      <w:bookmarkStart w:id="63" w:name="_Toc14871197"/>
      <w:bookmarkStart w:id="64" w:name="_Toc17279165"/>
      <w:bookmarkStart w:id="65" w:name="_Toc17279277"/>
      <w:bookmarkStart w:id="66" w:name="_Toc17981322"/>
      <w:r>
        <w:rPr>
          <w:rStyle w:val="CharSDivNo"/>
        </w:rPr>
        <w:t>Division 3</w:t>
      </w:r>
      <w:r>
        <w:t> — </w:t>
      </w:r>
      <w:r>
        <w:rPr>
          <w:rStyle w:val="CharSDivText"/>
        </w:rPr>
        <w:t>Table of fees and charges for services and utilities</w:t>
      </w:r>
      <w:bookmarkEnd w:id="57"/>
      <w:bookmarkEnd w:id="58"/>
      <w:bookmarkEnd w:id="59"/>
      <w:bookmarkEnd w:id="60"/>
      <w:bookmarkEnd w:id="61"/>
      <w:bookmarkEnd w:id="62"/>
      <w:bookmarkEnd w:id="63"/>
      <w:bookmarkEnd w:id="64"/>
      <w:bookmarkEnd w:id="65"/>
      <w:bookmarkEnd w:id="66"/>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ageBreakBefore/>
        <w:spacing w:before="0"/>
      </w:pPr>
      <w:bookmarkStart w:id="67" w:name="_Toc7531831"/>
      <w:bookmarkStart w:id="68" w:name="_Toc11075619"/>
      <w:bookmarkStart w:id="69" w:name="_Toc13032638"/>
      <w:bookmarkStart w:id="70" w:name="_Toc13580167"/>
      <w:bookmarkStart w:id="71" w:name="_Toc14700021"/>
      <w:bookmarkStart w:id="72" w:name="_Toc14777449"/>
      <w:bookmarkStart w:id="73" w:name="_Toc14871198"/>
      <w:bookmarkStart w:id="74" w:name="_Toc17279166"/>
      <w:bookmarkStart w:id="75" w:name="_Toc17279278"/>
      <w:bookmarkStart w:id="76" w:name="_Toc17981323"/>
      <w:r>
        <w:rPr>
          <w:rStyle w:val="CharSDivNo"/>
        </w:rPr>
        <w:t>Division 4</w:t>
      </w:r>
      <w:r>
        <w:t> — </w:t>
      </w:r>
      <w:r>
        <w:rPr>
          <w:rStyle w:val="CharSDivText"/>
        </w:rPr>
        <w:t>General terms</w:t>
      </w:r>
      <w:bookmarkEnd w:id="67"/>
      <w:bookmarkEnd w:id="68"/>
      <w:bookmarkEnd w:id="69"/>
      <w:bookmarkEnd w:id="70"/>
      <w:bookmarkEnd w:id="71"/>
      <w:bookmarkEnd w:id="72"/>
      <w:bookmarkEnd w:id="73"/>
      <w:bookmarkEnd w:id="74"/>
      <w:bookmarkEnd w:id="75"/>
      <w:bookmarkEnd w:id="7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keepNext/>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24 — </w:t>
            </w:r>
            <w:r>
              <w:rPr>
                <w:b/>
                <w:bCs/>
                <w:sz w:val="18"/>
              </w:rPr>
              <w:br/>
              <w:t>Park operator’s responsibility for cleanliness and repairs</w:t>
            </w:r>
          </w:p>
        </w:tc>
        <w:tc>
          <w:tcPr>
            <w:tcW w:w="5103" w:type="dxa"/>
            <w:tcBorders>
              <w:top w:val="single" w:sz="4" w:space="0" w:color="auto"/>
            </w:tcBorders>
          </w:tcPr>
          <w:p>
            <w:pPr>
              <w:pStyle w:val="yTable"/>
              <w:keepNext/>
              <w:ind w:left="459" w:hanging="459"/>
              <w:rPr>
                <w:sz w:val="18"/>
              </w:rPr>
            </w:pPr>
            <w:r>
              <w:rPr>
                <w:sz w:val="18"/>
              </w:rPr>
              <w:t>(1)</w:t>
            </w:r>
            <w:r>
              <w:rPr>
                <w:sz w:val="18"/>
              </w:rPr>
              <w:tab/>
              <w:t>The park operator must —</w:t>
            </w:r>
          </w:p>
          <w:p>
            <w:pPr>
              <w:pStyle w:val="yTable"/>
              <w:keepNext/>
              <w:ind w:left="884" w:hanging="425"/>
              <w:rPr>
                <w:sz w:val="18"/>
              </w:rPr>
            </w:pPr>
            <w:r>
              <w:rPr>
                <w:sz w:val="18"/>
              </w:rPr>
              <w:t>(a)</w:t>
            </w:r>
            <w:r>
              <w:rPr>
                <w:sz w:val="18"/>
              </w:rPr>
              <w:tab/>
              <w:t>provide the agreed premises and the shared premises in a reasonable state of cleanliness; and</w:t>
            </w:r>
          </w:p>
          <w:p>
            <w:pPr>
              <w:pStyle w:val="yTable"/>
              <w:keepNext/>
              <w:ind w:left="884" w:hanging="425"/>
              <w:rPr>
                <w:sz w:val="18"/>
              </w:rPr>
            </w:pPr>
            <w:r>
              <w:rPr>
                <w:sz w:val="18"/>
              </w:rPr>
              <w:t>(b)</w:t>
            </w:r>
            <w:r>
              <w:rPr>
                <w:sz w:val="18"/>
              </w:rPr>
              <w:tab/>
              <w:t>maintain the shared premises in a reasonable state of cleanliness; and</w:t>
            </w:r>
          </w:p>
          <w:p>
            <w:pPr>
              <w:pStyle w:val="yTable"/>
              <w:keepNext/>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pPr>
          </w:p>
        </w:tc>
      </w:tr>
    </w:tbl>
    <w:p/>
    <w:tbl>
      <w:tblPr>
        <w:tblW w:w="0" w:type="auto"/>
        <w:tblInd w:w="675" w:type="dxa"/>
        <w:tblLayout w:type="fixed"/>
        <w:tblLook w:val="0000" w:firstRow="0" w:lastRow="0" w:firstColumn="0" w:lastColumn="0" w:noHBand="0" w:noVBand="0"/>
      </w:tblPr>
      <w:tblGrid>
        <w:gridCol w:w="1418"/>
        <w:gridCol w:w="5103"/>
      </w:tblGrid>
      <w:tr>
        <w:tc>
          <w:tcPr>
            <w:tcW w:w="1418" w:type="dxa"/>
            <w:shd w:val="clear" w:color="auto" w:fill="D9D9D9"/>
          </w:tcPr>
          <w:p>
            <w:pPr>
              <w:pStyle w:val="yTable"/>
              <w:rPr>
                <w:b/>
                <w:bCs/>
                <w:sz w:val="18"/>
              </w:rPr>
            </w:pPr>
          </w:p>
        </w:tc>
        <w:tc>
          <w:tcPr>
            <w:tcW w:w="5103" w:type="dxa"/>
          </w:tcPr>
          <w:p>
            <w:pPr>
              <w:pStyle w:val="yTable"/>
              <w:keepNext/>
              <w:keepLines/>
              <w:pageBreakBefore/>
              <w:ind w:left="459" w:hanging="459"/>
              <w:rPr>
                <w:sz w:val="18"/>
              </w:rPr>
            </w:pPr>
            <w:r>
              <w:rPr>
                <w:sz w:val="18"/>
              </w:rPr>
              <w:t>(2)</w:t>
            </w:r>
            <w:r>
              <w:rPr>
                <w:sz w:val="18"/>
              </w:rPr>
              <w:tab/>
              <w:t>However, the park operator is not obliged to compensate the tenant unless —</w:t>
            </w:r>
          </w:p>
          <w:p>
            <w:pPr>
              <w:pStyle w:val="yTable"/>
              <w:keepNext/>
              <w:keepLines/>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spacing w:before="40"/>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tc>
      </w:tr>
      <w:tr>
        <w:tc>
          <w:tcPr>
            <w:tcW w:w="1418" w:type="dxa"/>
            <w:shd w:val="clear" w:color="auto" w:fill="D9D9D9"/>
          </w:tcPr>
          <w:p>
            <w:pPr>
              <w:pStyle w:val="yTable"/>
              <w:rPr>
                <w:b/>
                <w:bCs/>
                <w:sz w:val="18"/>
              </w:rPr>
            </w:pPr>
          </w:p>
        </w:tc>
        <w:tc>
          <w:tcPr>
            <w:tcW w:w="5103" w:type="dxa"/>
          </w:tcPr>
          <w:p>
            <w:pPr>
              <w:pStyle w:val="yTable"/>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Lines/>
              <w:rPr>
                <w:b/>
                <w:bCs/>
                <w:sz w:val="18"/>
              </w:rPr>
            </w:pPr>
          </w:p>
        </w:tc>
        <w:tc>
          <w:tcPr>
            <w:tcW w:w="5103" w:type="dxa"/>
          </w:tcPr>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tc>
      </w:tr>
      <w:tr>
        <w:tc>
          <w:tcPr>
            <w:tcW w:w="1418" w:type="dxa"/>
            <w:shd w:val="clear" w:color="auto" w:fill="D9D9D9"/>
          </w:tcPr>
          <w:p>
            <w:pPr>
              <w:pStyle w:val="yTable"/>
              <w:rPr>
                <w:b/>
                <w:bCs/>
                <w:sz w:val="18"/>
              </w:rPr>
            </w:pPr>
          </w:p>
        </w:tc>
        <w:tc>
          <w:tcPr>
            <w:tcW w:w="5103" w:type="dxa"/>
          </w:tcPr>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459" w:hanging="459"/>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keepNext/>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459" w:hanging="459"/>
              <w:rPr>
                <w:sz w:val="18"/>
              </w:rPr>
            </w:pPr>
            <w:r>
              <w:rPr>
                <w:sz w:val="18"/>
              </w:rPr>
              <w:t>(2)</w:t>
            </w:r>
            <w:r>
              <w:rPr>
                <w:sz w:val="18"/>
              </w:rPr>
              <w:tab/>
              <w:t>If yes —</w:t>
            </w:r>
          </w:p>
          <w:p>
            <w:pPr>
              <w:pStyle w:val="yTable"/>
              <w:keepNext/>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(3)</w:t>
            </w:r>
            <w:r>
              <w:rPr>
                <w:sz w:val="18"/>
              </w:rPr>
              <w:tab/>
              <w:t>The park operator must not withhold consent unreasonably.</w:t>
            </w:r>
          </w:p>
          <w:p>
            <w:pPr>
              <w:pStyle w:val="yTable"/>
              <w:keepNext/>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2815.]</w:t>
      </w:r>
    </w:p>
    <w:p>
      <w:pPr>
        <w:pStyle w:val="yHeading3"/>
        <w:keepNext w:val="0"/>
      </w:pPr>
      <w:bookmarkStart w:id="77" w:name="_Toc7531832"/>
      <w:bookmarkStart w:id="78" w:name="_Toc11075620"/>
      <w:bookmarkStart w:id="79" w:name="_Toc13032639"/>
      <w:bookmarkStart w:id="80" w:name="_Toc13580168"/>
      <w:bookmarkStart w:id="81" w:name="_Toc14700022"/>
      <w:bookmarkStart w:id="82" w:name="_Toc14777450"/>
      <w:bookmarkStart w:id="83" w:name="_Toc14871199"/>
      <w:bookmarkStart w:id="84" w:name="_Toc17279167"/>
      <w:bookmarkStart w:id="85" w:name="_Toc17279279"/>
      <w:bookmarkStart w:id="86" w:name="_Toc17981324"/>
      <w:r>
        <w:rPr>
          <w:rStyle w:val="CharSDivNo"/>
        </w:rPr>
        <w:t>Division 5</w:t>
      </w:r>
      <w:r>
        <w:t> — </w:t>
      </w:r>
      <w:r>
        <w:rPr>
          <w:rStyle w:val="CharSDivText"/>
        </w:rPr>
        <w:t>Special terms</w:t>
      </w:r>
      <w:bookmarkEnd w:id="77"/>
      <w:bookmarkEnd w:id="78"/>
      <w:bookmarkEnd w:id="79"/>
      <w:bookmarkEnd w:id="80"/>
      <w:bookmarkEnd w:id="81"/>
      <w:bookmarkEnd w:id="82"/>
      <w:bookmarkEnd w:id="83"/>
      <w:bookmarkEnd w:id="84"/>
      <w:bookmarkEnd w:id="85"/>
      <w:bookmarkEnd w:id="8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87" w:name="_Toc7531833"/>
      <w:bookmarkStart w:id="88" w:name="_Toc11075621"/>
      <w:bookmarkStart w:id="89" w:name="_Toc13032640"/>
      <w:bookmarkStart w:id="90" w:name="_Toc13580169"/>
      <w:bookmarkStart w:id="91" w:name="_Toc14700023"/>
      <w:bookmarkStart w:id="92" w:name="_Toc14777451"/>
      <w:bookmarkStart w:id="93" w:name="_Toc14871200"/>
      <w:bookmarkStart w:id="94" w:name="_Toc17279168"/>
      <w:bookmarkStart w:id="95" w:name="_Toc17279280"/>
      <w:bookmarkStart w:id="96" w:name="_Toc17981325"/>
      <w:r>
        <w:rPr>
          <w:rStyle w:val="CharSDivNo"/>
        </w:rPr>
        <w:t>Division 6</w:t>
      </w:r>
      <w:r>
        <w:t> — </w:t>
      </w:r>
      <w:r>
        <w:rPr>
          <w:rStyle w:val="CharSDivText"/>
        </w:rPr>
        <w:t>Condition report</w:t>
      </w:r>
      <w:bookmarkEnd w:id="87"/>
      <w:bookmarkEnd w:id="88"/>
      <w:bookmarkEnd w:id="89"/>
      <w:bookmarkEnd w:id="90"/>
      <w:bookmarkEnd w:id="91"/>
      <w:bookmarkEnd w:id="92"/>
      <w:bookmarkEnd w:id="93"/>
      <w:bookmarkEnd w:id="94"/>
      <w:bookmarkEnd w:id="95"/>
      <w:bookmarkEnd w:id="96"/>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97" w:name="_Toc7531834"/>
      <w:bookmarkStart w:id="98" w:name="_Toc11075622"/>
      <w:bookmarkStart w:id="99" w:name="_Toc13032641"/>
      <w:bookmarkStart w:id="100" w:name="_Toc13580170"/>
      <w:bookmarkStart w:id="101" w:name="_Toc14700024"/>
      <w:bookmarkStart w:id="102" w:name="_Toc14777452"/>
      <w:bookmarkStart w:id="103" w:name="_Toc14871201"/>
      <w:bookmarkStart w:id="104" w:name="_Toc17279169"/>
      <w:bookmarkStart w:id="105" w:name="_Toc17279281"/>
      <w:bookmarkStart w:id="106" w:name="_Toc17981326"/>
      <w:r>
        <w:rPr>
          <w:rStyle w:val="CharSDivNo"/>
        </w:rPr>
        <w:t>Division 7</w:t>
      </w:r>
      <w:r>
        <w:t> — </w:t>
      </w:r>
      <w:r>
        <w:rPr>
          <w:rStyle w:val="CharSDivText"/>
        </w:rPr>
        <w:t>Park rules</w:t>
      </w:r>
      <w:bookmarkEnd w:id="97"/>
      <w:bookmarkEnd w:id="98"/>
      <w:bookmarkEnd w:id="99"/>
      <w:bookmarkEnd w:id="100"/>
      <w:bookmarkEnd w:id="101"/>
      <w:bookmarkEnd w:id="102"/>
      <w:bookmarkEnd w:id="103"/>
      <w:bookmarkEnd w:id="104"/>
      <w:bookmarkEnd w:id="105"/>
      <w:bookmarkEnd w:id="106"/>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107" w:name="_Toc7531835"/>
      <w:bookmarkStart w:id="108" w:name="_Toc11075623"/>
      <w:bookmarkStart w:id="109" w:name="_Toc13032642"/>
      <w:bookmarkStart w:id="110" w:name="_Toc13580171"/>
      <w:bookmarkStart w:id="111" w:name="_Toc14700025"/>
      <w:bookmarkStart w:id="112" w:name="_Toc14777453"/>
      <w:bookmarkStart w:id="113" w:name="_Toc14871202"/>
      <w:bookmarkStart w:id="114" w:name="_Toc17279170"/>
      <w:bookmarkStart w:id="115" w:name="_Toc17279282"/>
      <w:bookmarkStart w:id="116" w:name="_Toc17981327"/>
      <w:r>
        <w:rPr>
          <w:rStyle w:val="CharSDivNo"/>
        </w:rPr>
        <w:t>Division 8</w:t>
      </w:r>
      <w:r>
        <w:t> — </w:t>
      </w:r>
      <w:r>
        <w:rPr>
          <w:rStyle w:val="CharSDivText"/>
        </w:rPr>
        <w:t>Information sheet</w:t>
      </w:r>
      <w:bookmarkEnd w:id="107"/>
      <w:bookmarkEnd w:id="108"/>
      <w:bookmarkEnd w:id="109"/>
      <w:bookmarkEnd w:id="110"/>
      <w:bookmarkEnd w:id="111"/>
      <w:bookmarkEnd w:id="112"/>
      <w:bookmarkEnd w:id="113"/>
      <w:bookmarkEnd w:id="114"/>
      <w:bookmarkEnd w:id="115"/>
      <w:bookmarkEnd w:id="116"/>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pPr>
      <w:bookmarkStart w:id="117" w:name="_Toc7531836"/>
      <w:bookmarkStart w:id="118" w:name="_Toc11075624"/>
      <w:bookmarkStart w:id="119" w:name="_Toc13032643"/>
      <w:bookmarkStart w:id="120" w:name="_Toc13580172"/>
      <w:bookmarkStart w:id="121" w:name="_Toc14700026"/>
      <w:bookmarkStart w:id="122" w:name="_Toc14777454"/>
      <w:bookmarkStart w:id="123" w:name="_Toc14871203"/>
      <w:bookmarkStart w:id="124" w:name="_Toc17279171"/>
      <w:bookmarkStart w:id="125" w:name="_Toc17279283"/>
      <w:bookmarkStart w:id="126" w:name="_Toc17981328"/>
      <w:r>
        <w:rPr>
          <w:rStyle w:val="CharSDivNo"/>
        </w:rPr>
        <w:t>Division 9</w:t>
      </w:r>
      <w:r>
        <w:t> — </w:t>
      </w:r>
      <w:r>
        <w:rPr>
          <w:rStyle w:val="CharSDivText"/>
        </w:rPr>
        <w:t>Acceptance</w:t>
      </w:r>
      <w:bookmarkEnd w:id="117"/>
      <w:bookmarkEnd w:id="118"/>
      <w:bookmarkEnd w:id="119"/>
      <w:bookmarkEnd w:id="120"/>
      <w:bookmarkEnd w:id="121"/>
      <w:bookmarkEnd w:id="122"/>
      <w:bookmarkEnd w:id="123"/>
      <w:bookmarkEnd w:id="124"/>
      <w:bookmarkEnd w:id="125"/>
      <w:bookmarkEnd w:id="12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pPr>
      <w:bookmarkStart w:id="127" w:name="_Toc7531837"/>
      <w:bookmarkStart w:id="128" w:name="_Toc11075625"/>
      <w:bookmarkStart w:id="129" w:name="_Toc13032644"/>
      <w:bookmarkStart w:id="130" w:name="_Toc13580173"/>
      <w:bookmarkStart w:id="131" w:name="_Toc14700027"/>
      <w:bookmarkStart w:id="132" w:name="_Toc14777455"/>
      <w:bookmarkStart w:id="133" w:name="_Toc14871204"/>
      <w:bookmarkStart w:id="134" w:name="_Toc17279172"/>
      <w:bookmarkStart w:id="135" w:name="_Toc17279284"/>
      <w:bookmarkStart w:id="136" w:name="_Toc17981329"/>
      <w:r>
        <w:rPr>
          <w:rStyle w:val="CharSDivNo"/>
        </w:rPr>
        <w:t>Division 10</w:t>
      </w:r>
      <w:r>
        <w:t> — </w:t>
      </w:r>
      <w:r>
        <w:rPr>
          <w:rStyle w:val="CharSDivText"/>
        </w:rPr>
        <w:t>Tenant’s checklist</w:t>
      </w:r>
      <w:bookmarkEnd w:id="127"/>
      <w:bookmarkEnd w:id="128"/>
      <w:bookmarkEnd w:id="129"/>
      <w:bookmarkEnd w:id="130"/>
      <w:bookmarkEnd w:id="131"/>
      <w:bookmarkEnd w:id="132"/>
      <w:bookmarkEnd w:id="133"/>
      <w:bookmarkEnd w:id="134"/>
      <w:bookmarkEnd w:id="135"/>
      <w:bookmarkEnd w:id="13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137" w:name="_Toc7531838"/>
      <w:bookmarkStart w:id="138" w:name="_Toc11075626"/>
      <w:bookmarkStart w:id="139" w:name="_Toc13032645"/>
      <w:bookmarkStart w:id="140" w:name="_Toc13580174"/>
      <w:bookmarkStart w:id="141" w:name="_Toc14700028"/>
      <w:bookmarkStart w:id="142" w:name="_Toc14777456"/>
      <w:bookmarkStart w:id="143" w:name="_Toc14871205"/>
      <w:bookmarkStart w:id="144" w:name="_Toc17279173"/>
      <w:bookmarkStart w:id="145" w:name="_Toc17279285"/>
      <w:bookmarkStart w:id="146" w:name="_Toc17981330"/>
      <w:r>
        <w:rPr>
          <w:rStyle w:val="CharSchNo"/>
        </w:rPr>
        <w:t>Schedule 2</w:t>
      </w:r>
      <w:r>
        <w:t> — </w:t>
      </w:r>
      <w:r>
        <w:rPr>
          <w:rStyle w:val="CharSchText"/>
        </w:rPr>
        <w:t>Fixed term on</w:t>
      </w:r>
      <w:r>
        <w:rPr>
          <w:rStyle w:val="CharSchText"/>
        </w:rPr>
        <w:noBreakHyphen/>
        <w:t>site home agreement</w:t>
      </w:r>
      <w:bookmarkEnd w:id="137"/>
      <w:bookmarkEnd w:id="138"/>
      <w:bookmarkEnd w:id="139"/>
      <w:bookmarkEnd w:id="140"/>
      <w:bookmarkEnd w:id="141"/>
      <w:bookmarkEnd w:id="142"/>
      <w:bookmarkEnd w:id="143"/>
      <w:bookmarkEnd w:id="144"/>
      <w:bookmarkEnd w:id="145"/>
      <w:bookmarkEnd w:id="146"/>
    </w:p>
    <w:p>
      <w:pPr>
        <w:pStyle w:val="yShoulderClause"/>
      </w:pPr>
      <w:r>
        <w:t>[r. 5]</w:t>
      </w:r>
    </w:p>
    <w:p>
      <w:pPr>
        <w:pStyle w:val="yHeading3"/>
      </w:pPr>
      <w:bookmarkStart w:id="147" w:name="_Toc7531839"/>
      <w:bookmarkStart w:id="148" w:name="_Toc11075627"/>
      <w:bookmarkStart w:id="149" w:name="_Toc13032646"/>
      <w:bookmarkStart w:id="150" w:name="_Toc13580175"/>
      <w:bookmarkStart w:id="151" w:name="_Toc14700029"/>
      <w:bookmarkStart w:id="152" w:name="_Toc14777457"/>
      <w:bookmarkStart w:id="153" w:name="_Toc14871206"/>
      <w:bookmarkStart w:id="154" w:name="_Toc17279174"/>
      <w:bookmarkStart w:id="155" w:name="_Toc17279286"/>
      <w:bookmarkStart w:id="156" w:name="_Toc17981331"/>
      <w:r>
        <w:rPr>
          <w:rStyle w:val="CharSDivNo"/>
        </w:rPr>
        <w:t>Division 1</w:t>
      </w:r>
      <w:r>
        <w:t> — </w:t>
      </w:r>
      <w:r>
        <w:rPr>
          <w:rStyle w:val="CharSDivText"/>
        </w:rPr>
        <w:t>Preliminary</w:t>
      </w:r>
      <w:bookmarkEnd w:id="147"/>
      <w:bookmarkEnd w:id="148"/>
      <w:bookmarkEnd w:id="149"/>
      <w:bookmarkEnd w:id="150"/>
      <w:bookmarkEnd w:id="151"/>
      <w:bookmarkEnd w:id="152"/>
      <w:bookmarkEnd w:id="153"/>
      <w:bookmarkEnd w:id="154"/>
      <w:bookmarkEnd w:id="155"/>
      <w:bookmarkEnd w:id="15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for a fixed term.</w:t>
            </w:r>
          </w:p>
          <w:p>
            <w:pPr>
              <w:pStyle w:val="yTable"/>
              <w:rPr>
                <w:rFonts w:ascii="Arial" w:hAnsi="Arial" w:cs="Arial"/>
                <w:sz w:val="14"/>
                <w:szCs w:val="14"/>
              </w:rPr>
            </w:pPr>
            <w:r>
              <w:rPr>
                <w:rFonts w:ascii="Arial" w:hAnsi="Arial" w:cs="Arial"/>
                <w:sz w:val="14"/>
                <w:szCs w:val="14"/>
              </w:rPr>
              <w:t>You could be given 60 days notice to vacate the site if the park is being sold, but compensation is payable by the park operator for losses incurred.</w:t>
            </w:r>
          </w:p>
          <w:p>
            <w:pPr>
              <w:pStyle w:val="yTable"/>
              <w:rPr>
                <w:rFonts w:ascii="Arial" w:hAnsi="Arial" w:cs="Arial"/>
                <w:sz w:val="14"/>
                <w:szCs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r>
            <w:r>
              <w:rPr>
                <w:rStyle w:val="CharDefText"/>
                <w:bCs/>
                <w:i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r>
            <w:r>
              <w:rPr>
                <w:rStyle w:val="CharDefText"/>
                <w:bCs/>
                <w:iCs/>
                <w:sz w:val="18"/>
              </w:rPr>
              <w:t>agreed premises</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b/>
                <w:sz w:val="18"/>
              </w:rPr>
              <w:tab/>
            </w:r>
            <w:r>
              <w:rPr>
                <w:rStyle w:val="CharDefText"/>
                <w:bCs/>
                <w:iCs/>
                <w:sz w:val="18"/>
              </w:rPr>
              <w:t>on-site home</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b/>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b/>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b/>
                <w:sz w:val="18"/>
              </w:rPr>
              <w:tab/>
            </w:r>
            <w:r>
              <w:rPr>
                <w:rStyle w:val="CharDefText"/>
                <w:bCs/>
                <w:iCs/>
                <w:sz w:val="18"/>
              </w:rPr>
              <w:t>tenant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pPr>
      <w:r>
        <w:tab/>
        <w:t>[Division 1 amended: Gazette 5 Jul 2011 p. 2815.]</w:t>
      </w:r>
    </w:p>
    <w:p>
      <w:pPr>
        <w:pStyle w:val="yHeading3"/>
        <w:keepLines/>
        <w:pageBreakBefore/>
        <w:spacing w:before="0"/>
      </w:pPr>
      <w:bookmarkStart w:id="157" w:name="_Toc7531840"/>
      <w:bookmarkStart w:id="158" w:name="_Toc11075628"/>
      <w:bookmarkStart w:id="159" w:name="_Toc13032647"/>
      <w:bookmarkStart w:id="160" w:name="_Toc13580176"/>
      <w:bookmarkStart w:id="161" w:name="_Toc14700030"/>
      <w:bookmarkStart w:id="162" w:name="_Toc14777458"/>
      <w:bookmarkStart w:id="163" w:name="_Toc14871207"/>
      <w:bookmarkStart w:id="164" w:name="_Toc17279175"/>
      <w:bookmarkStart w:id="165" w:name="_Toc17279287"/>
      <w:bookmarkStart w:id="166" w:name="_Toc17981332"/>
      <w:r>
        <w:rPr>
          <w:rStyle w:val="CharSDivNo"/>
        </w:rPr>
        <w:t>Division 2</w:t>
      </w:r>
      <w:r>
        <w:t> — </w:t>
      </w:r>
      <w:r>
        <w:rPr>
          <w:rStyle w:val="CharSDivText"/>
        </w:rPr>
        <w:t>Rent, fees and charges</w:t>
      </w:r>
      <w:bookmarkEnd w:id="157"/>
      <w:bookmarkEnd w:id="158"/>
      <w:bookmarkEnd w:id="159"/>
      <w:bookmarkEnd w:id="160"/>
      <w:bookmarkEnd w:id="161"/>
      <w:bookmarkEnd w:id="162"/>
      <w:bookmarkEnd w:id="163"/>
      <w:bookmarkEnd w:id="164"/>
      <w:bookmarkEnd w:id="165"/>
      <w:bookmarkEnd w:id="16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yTable"/>
              <w:jc w:val="right"/>
              <w:rPr>
                <w:sz w:val="18"/>
                <w:szCs w:val="18"/>
              </w:rPr>
            </w:pPr>
            <w:r>
              <w:rPr>
                <w:sz w:val="18"/>
                <w:szCs w:val="18"/>
              </w:rPr>
              <w:t>(Please tick applicable period)</w:t>
            </w:r>
          </w:p>
          <w:p>
            <w:pPr>
              <w:pStyle w:val="yTable"/>
              <w:ind w:left="459" w:hanging="459"/>
              <w:rPr>
                <w:sz w:val="18"/>
                <w:szCs w:val="18"/>
              </w:rPr>
            </w:pPr>
            <w:r>
              <w:rPr>
                <w:sz w:val="18"/>
                <w:szCs w:val="18"/>
              </w:rPr>
              <w:t>(2)</w:t>
            </w:r>
            <w:r>
              <w:rPr>
                <w:sz w:val="18"/>
                <w:szCs w:val="18"/>
              </w:rPr>
              <w:tab/>
              <w:t>An additional charge may apply (see clauses 4A and 14) if additional persons are residing on a temporary basis in the on site home.</w:t>
            </w:r>
          </w:p>
          <w:p>
            <w:pPr>
              <w:pStyle w:val="yTable"/>
              <w:ind w:left="742" w:hanging="742"/>
              <w:rPr>
                <w:sz w:val="14"/>
                <w:szCs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ind w:left="742" w:hanging="742"/>
              <w:rPr>
                <w:b/>
                <w:bCs/>
              </w:rPr>
            </w:pPr>
          </w:p>
        </w:tc>
      </w:tr>
      <w:tr>
        <w:tc>
          <w:tcPr>
            <w:tcW w:w="1418" w:type="dxa"/>
            <w:shd w:val="clear" w:color="auto" w:fill="D9D9D9"/>
          </w:tcPr>
          <w:p>
            <w:pPr>
              <w:pStyle w:val="yTable"/>
              <w:keepNext/>
              <w:rPr>
                <w:b/>
                <w:bCs/>
                <w:sz w:val="18"/>
              </w:rPr>
            </w:pPr>
          </w:p>
        </w:tc>
        <w:tc>
          <w:tcPr>
            <w:tcW w:w="5103" w:type="dxa"/>
            <w:gridSpan w:val="3"/>
          </w:tcPr>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keepNext/>
              <w:keepLines/>
              <w:ind w:left="459" w:hanging="459"/>
              <w:rPr>
                <w:sz w:val="18"/>
              </w:rPr>
            </w:pPr>
            <w:r>
              <w:rPr>
                <w:rFonts w:ascii="Arial" w:hAnsi="Arial" w:cs="Arial"/>
                <w:sz w:val="14"/>
              </w:rPr>
              <w:t>Note 1:</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2:</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keepNext/>
              <w:keepLines/>
              <w:pageBreakBefor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keepNext/>
              <w:keepLines/>
              <w:rPr>
                <w:sz w:val="18"/>
              </w:rPr>
            </w:pPr>
            <w:r>
              <w:rPr>
                <w:sz w:val="18"/>
              </w:rPr>
              <w:t>4 weeks’ rent</w:t>
            </w:r>
          </w:p>
        </w:tc>
        <w:tc>
          <w:tcPr>
            <w:tcW w:w="2977" w:type="dxa"/>
            <w:gridSpan w:val="2"/>
            <w:tcBorders>
              <w:top w:val="single" w:sz="4" w:space="0" w:color="auto"/>
            </w:tcBorders>
          </w:tcPr>
          <w:p>
            <w:pPr>
              <w:pStyle w:val="yTable"/>
              <w:keepNext/>
              <w:keepLines/>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742" w:hanging="742"/>
              <w:rPr>
                <w:sz w:val="14"/>
              </w:rPr>
            </w:pP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2815</w:t>
      </w:r>
      <w:r>
        <w:noBreakHyphen/>
        <w:t>16; 14 Nov 2013 p. 5064.]</w:t>
      </w:r>
    </w:p>
    <w:p>
      <w:pPr>
        <w:pStyle w:val="yHeading3"/>
        <w:spacing w:after="60"/>
      </w:pPr>
      <w:bookmarkStart w:id="167" w:name="_Toc7531841"/>
      <w:bookmarkStart w:id="168" w:name="_Toc11075629"/>
      <w:bookmarkStart w:id="169" w:name="_Toc13032648"/>
      <w:bookmarkStart w:id="170" w:name="_Toc13580177"/>
      <w:bookmarkStart w:id="171" w:name="_Toc14700031"/>
      <w:bookmarkStart w:id="172" w:name="_Toc14777459"/>
      <w:bookmarkStart w:id="173" w:name="_Toc14871208"/>
      <w:bookmarkStart w:id="174" w:name="_Toc17279176"/>
      <w:bookmarkStart w:id="175" w:name="_Toc17279288"/>
      <w:bookmarkStart w:id="176" w:name="_Toc17981333"/>
      <w:r>
        <w:rPr>
          <w:rStyle w:val="CharSDivNo"/>
        </w:rPr>
        <w:t>Division 3</w:t>
      </w:r>
      <w:r>
        <w:t> — </w:t>
      </w:r>
      <w:r>
        <w:rPr>
          <w:rStyle w:val="CharSDivText"/>
        </w:rPr>
        <w:t>Table of fees and charges for services and utilities</w:t>
      </w:r>
      <w:bookmarkEnd w:id="167"/>
      <w:bookmarkEnd w:id="168"/>
      <w:bookmarkEnd w:id="169"/>
      <w:bookmarkEnd w:id="170"/>
      <w:bookmarkEnd w:id="171"/>
      <w:bookmarkEnd w:id="172"/>
      <w:bookmarkEnd w:id="173"/>
      <w:bookmarkEnd w:id="174"/>
      <w:bookmarkEnd w:id="175"/>
      <w:bookmarkEnd w:id="176"/>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pPr>
      <w:bookmarkStart w:id="177" w:name="_Toc7531842"/>
      <w:bookmarkStart w:id="178" w:name="_Toc11075630"/>
      <w:bookmarkStart w:id="179" w:name="_Toc13032649"/>
      <w:bookmarkStart w:id="180" w:name="_Toc13580178"/>
      <w:bookmarkStart w:id="181" w:name="_Toc14700032"/>
      <w:bookmarkStart w:id="182" w:name="_Toc14777460"/>
      <w:bookmarkStart w:id="183" w:name="_Toc14871209"/>
      <w:bookmarkStart w:id="184" w:name="_Toc17279177"/>
      <w:bookmarkStart w:id="185" w:name="_Toc17279289"/>
      <w:bookmarkStart w:id="186" w:name="_Toc17981334"/>
      <w:r>
        <w:rPr>
          <w:rStyle w:val="CharSDivNo"/>
        </w:rPr>
        <w:t>Division 4</w:t>
      </w:r>
      <w:r>
        <w:t> — </w:t>
      </w:r>
      <w:r>
        <w:rPr>
          <w:rStyle w:val="CharSDivText"/>
        </w:rPr>
        <w:t>General terms</w:t>
      </w:r>
      <w:bookmarkEnd w:id="177"/>
      <w:bookmarkEnd w:id="178"/>
      <w:bookmarkEnd w:id="179"/>
      <w:bookmarkEnd w:id="180"/>
      <w:bookmarkEnd w:id="181"/>
      <w:bookmarkEnd w:id="182"/>
      <w:bookmarkEnd w:id="183"/>
      <w:bookmarkEnd w:id="184"/>
      <w:bookmarkEnd w:id="185"/>
      <w:bookmarkEnd w:id="18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b/>
                <w:bCs/>
                <w:sz w:val="18"/>
              </w:rPr>
            </w:pPr>
            <w:r>
              <w:rPr>
                <w:b/>
                <w:bCs/>
                <w:sz w:val="18"/>
              </w:rPr>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sz w:val="18"/>
              </w:rPr>
              <w:t>............................................................................................................</w:t>
            </w: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keepNext/>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rPr>
          <w:cantSplit/>
        </w:trP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29 — </w:t>
            </w:r>
            <w:r>
              <w:rPr>
                <w:b/>
                <w:bCs/>
                <w:sz w:val="18"/>
              </w:rPr>
              <w:br/>
              <w:t>Park operator’s right of entry</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p>
        </w:tc>
      </w:tr>
      <w:tr>
        <w:tc>
          <w:tcPr>
            <w:tcW w:w="1418" w:type="dxa"/>
            <w:shd w:val="clear" w:color="auto" w:fill="D9D9D9"/>
          </w:tcPr>
          <w:p>
            <w:pPr>
              <w:pStyle w:val="yTable"/>
              <w:rPr>
                <w:b/>
                <w:bCs/>
                <w:sz w:val="18"/>
              </w:rPr>
            </w:pPr>
          </w:p>
        </w:tc>
        <w:tc>
          <w:tcPr>
            <w:tcW w:w="5103" w:type="dxa"/>
          </w:tcPr>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459" w:hanging="459"/>
              <w:rPr>
                <w:sz w:val="18"/>
              </w:rPr>
            </w:pPr>
            <w:r>
              <w:rPr>
                <w:sz w:val="18"/>
              </w:rPr>
              <w:t>(2)</w:t>
            </w:r>
            <w:r>
              <w:rPr>
                <w:sz w:val="18"/>
              </w:rPr>
              <w:tab/>
              <w:t>If yes —</w:t>
            </w:r>
          </w:p>
          <w:p>
            <w:pPr>
              <w:pStyle w:val="yTable"/>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884" w:hanging="425"/>
              <w:rPr>
                <w:sz w:val="18"/>
              </w:rPr>
            </w:pPr>
            <w:r>
              <w:rPr>
                <w:sz w:val="18"/>
              </w:rPr>
              <w:t>(b)</w:t>
            </w:r>
            <w:r>
              <w:rPr>
                <w:sz w:val="18"/>
              </w:rPr>
              <w:tab/>
              <w:t>the following additional conditions apply:</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459" w:hanging="459"/>
              <w:rPr>
                <w:sz w:val="18"/>
              </w:rPr>
            </w:pPr>
            <w:r>
              <w:rPr>
                <w:sz w:val="18"/>
              </w:rPr>
              <w:t>(3)</w:t>
            </w:r>
            <w:r>
              <w:rPr>
                <w:sz w:val="18"/>
              </w:rPr>
              <w:tab/>
              <w:t>The park operator must not withhold consent unreasonably.</w:t>
            </w:r>
          </w:p>
          <w:p>
            <w:pPr>
              <w:pStyle w:val="yTable"/>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Lines/>
              <w:ind w:left="459" w:hanging="459"/>
              <w:rPr>
                <w:sz w:val="18"/>
              </w:rPr>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yTable"/>
              <w:keepNext/>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tcBorders>
          </w:tcPr>
          <w:p>
            <w:pPr>
              <w:pStyle w:val="yTable"/>
              <w:keepLines/>
              <w:ind w:left="459" w:hanging="459"/>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keepNext/>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2816.]</w:t>
      </w:r>
    </w:p>
    <w:p>
      <w:pPr>
        <w:pStyle w:val="yHeading3"/>
      </w:pPr>
      <w:bookmarkStart w:id="187" w:name="_Toc7531843"/>
      <w:bookmarkStart w:id="188" w:name="_Toc11075631"/>
      <w:bookmarkStart w:id="189" w:name="_Toc13032650"/>
      <w:bookmarkStart w:id="190" w:name="_Toc13580179"/>
      <w:bookmarkStart w:id="191" w:name="_Toc14700033"/>
      <w:bookmarkStart w:id="192" w:name="_Toc14777461"/>
      <w:bookmarkStart w:id="193" w:name="_Toc14871210"/>
      <w:bookmarkStart w:id="194" w:name="_Toc17279178"/>
      <w:bookmarkStart w:id="195" w:name="_Toc17279290"/>
      <w:bookmarkStart w:id="196" w:name="_Toc17981335"/>
      <w:r>
        <w:rPr>
          <w:rStyle w:val="CharSDivNo"/>
        </w:rPr>
        <w:t>Division 5</w:t>
      </w:r>
      <w:r>
        <w:t> — </w:t>
      </w:r>
      <w:r>
        <w:rPr>
          <w:rStyle w:val="CharSDivText"/>
        </w:rPr>
        <w:t>Special terms</w:t>
      </w:r>
      <w:bookmarkEnd w:id="187"/>
      <w:bookmarkEnd w:id="188"/>
      <w:bookmarkEnd w:id="189"/>
      <w:bookmarkEnd w:id="190"/>
      <w:bookmarkEnd w:id="191"/>
      <w:bookmarkEnd w:id="192"/>
      <w:bookmarkEnd w:id="193"/>
      <w:bookmarkEnd w:id="194"/>
      <w:bookmarkEnd w:id="195"/>
      <w:bookmarkEnd w:id="19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keepNext/>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197" w:name="_Toc7531844"/>
      <w:bookmarkStart w:id="198" w:name="_Toc11075632"/>
      <w:bookmarkStart w:id="199" w:name="_Toc13032651"/>
      <w:bookmarkStart w:id="200" w:name="_Toc13580180"/>
      <w:bookmarkStart w:id="201" w:name="_Toc14700034"/>
      <w:bookmarkStart w:id="202" w:name="_Toc14777462"/>
      <w:bookmarkStart w:id="203" w:name="_Toc14871211"/>
      <w:bookmarkStart w:id="204" w:name="_Toc17279179"/>
      <w:bookmarkStart w:id="205" w:name="_Toc17279291"/>
      <w:bookmarkStart w:id="206" w:name="_Toc17981336"/>
      <w:r>
        <w:rPr>
          <w:rStyle w:val="CharSDivNo"/>
        </w:rPr>
        <w:t>Division 6</w:t>
      </w:r>
      <w:r>
        <w:t> — </w:t>
      </w:r>
      <w:r>
        <w:rPr>
          <w:rStyle w:val="CharSDivText"/>
        </w:rPr>
        <w:t>Condition report</w:t>
      </w:r>
      <w:bookmarkEnd w:id="197"/>
      <w:bookmarkEnd w:id="198"/>
      <w:bookmarkEnd w:id="199"/>
      <w:bookmarkEnd w:id="200"/>
      <w:bookmarkEnd w:id="201"/>
      <w:bookmarkEnd w:id="202"/>
      <w:bookmarkEnd w:id="203"/>
      <w:bookmarkEnd w:id="204"/>
      <w:bookmarkEnd w:id="205"/>
      <w:bookmarkEnd w:id="206"/>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spacing w:before="220"/>
      </w:pPr>
      <w:bookmarkStart w:id="207" w:name="_Toc7531845"/>
      <w:bookmarkStart w:id="208" w:name="_Toc11075633"/>
      <w:bookmarkStart w:id="209" w:name="_Toc13032652"/>
      <w:bookmarkStart w:id="210" w:name="_Toc13580181"/>
      <w:bookmarkStart w:id="211" w:name="_Toc14700035"/>
      <w:bookmarkStart w:id="212" w:name="_Toc14777463"/>
      <w:bookmarkStart w:id="213" w:name="_Toc14871212"/>
      <w:bookmarkStart w:id="214" w:name="_Toc17279180"/>
      <w:bookmarkStart w:id="215" w:name="_Toc17279292"/>
      <w:bookmarkStart w:id="216" w:name="_Toc17981337"/>
      <w:r>
        <w:rPr>
          <w:rStyle w:val="CharSDivNo"/>
        </w:rPr>
        <w:t>Division 7</w:t>
      </w:r>
      <w:r>
        <w:t> — </w:t>
      </w:r>
      <w:r>
        <w:rPr>
          <w:rStyle w:val="CharSDivText"/>
        </w:rPr>
        <w:t>Park rules</w:t>
      </w:r>
      <w:bookmarkEnd w:id="207"/>
      <w:bookmarkEnd w:id="208"/>
      <w:bookmarkEnd w:id="209"/>
      <w:bookmarkEnd w:id="210"/>
      <w:bookmarkEnd w:id="211"/>
      <w:bookmarkEnd w:id="212"/>
      <w:bookmarkEnd w:id="213"/>
      <w:bookmarkEnd w:id="214"/>
      <w:bookmarkEnd w:id="215"/>
      <w:bookmarkEnd w:id="216"/>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pPr>
      <w:bookmarkStart w:id="217" w:name="_Toc7531846"/>
      <w:bookmarkStart w:id="218" w:name="_Toc11075634"/>
      <w:bookmarkStart w:id="219" w:name="_Toc13032653"/>
      <w:bookmarkStart w:id="220" w:name="_Toc13580182"/>
      <w:bookmarkStart w:id="221" w:name="_Toc14700036"/>
      <w:bookmarkStart w:id="222" w:name="_Toc14777464"/>
      <w:bookmarkStart w:id="223" w:name="_Toc14871213"/>
      <w:bookmarkStart w:id="224" w:name="_Toc17279181"/>
      <w:bookmarkStart w:id="225" w:name="_Toc17279293"/>
      <w:bookmarkStart w:id="226" w:name="_Toc17981338"/>
      <w:r>
        <w:rPr>
          <w:rStyle w:val="CharSDivNo"/>
        </w:rPr>
        <w:t>Division 8</w:t>
      </w:r>
      <w:r>
        <w:t> — </w:t>
      </w:r>
      <w:r>
        <w:rPr>
          <w:rStyle w:val="CharSDivText"/>
        </w:rPr>
        <w:t>Information sheet</w:t>
      </w:r>
      <w:bookmarkEnd w:id="217"/>
      <w:bookmarkEnd w:id="218"/>
      <w:bookmarkEnd w:id="219"/>
      <w:bookmarkEnd w:id="220"/>
      <w:bookmarkEnd w:id="221"/>
      <w:bookmarkEnd w:id="222"/>
      <w:bookmarkEnd w:id="223"/>
      <w:bookmarkEnd w:id="224"/>
      <w:bookmarkEnd w:id="225"/>
      <w:bookmarkEnd w:id="226"/>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keepNext w:val="0"/>
        <w:keepLines/>
      </w:pPr>
      <w:bookmarkStart w:id="227" w:name="_Toc7531847"/>
      <w:bookmarkStart w:id="228" w:name="_Toc11075635"/>
      <w:bookmarkStart w:id="229" w:name="_Toc13032654"/>
      <w:bookmarkStart w:id="230" w:name="_Toc13580183"/>
      <w:bookmarkStart w:id="231" w:name="_Toc14700037"/>
      <w:bookmarkStart w:id="232" w:name="_Toc14777465"/>
      <w:bookmarkStart w:id="233" w:name="_Toc14871214"/>
      <w:bookmarkStart w:id="234" w:name="_Toc17279182"/>
      <w:bookmarkStart w:id="235" w:name="_Toc17279294"/>
      <w:bookmarkStart w:id="236" w:name="_Toc17981339"/>
      <w:r>
        <w:rPr>
          <w:rStyle w:val="CharSDivNo"/>
        </w:rPr>
        <w:t>Division 9</w:t>
      </w:r>
      <w:r>
        <w:t> — </w:t>
      </w:r>
      <w:r>
        <w:rPr>
          <w:rStyle w:val="CharSDivText"/>
        </w:rPr>
        <w:t>Acceptance</w:t>
      </w:r>
      <w:bookmarkEnd w:id="227"/>
      <w:bookmarkEnd w:id="228"/>
      <w:bookmarkEnd w:id="229"/>
      <w:bookmarkEnd w:id="230"/>
      <w:bookmarkEnd w:id="231"/>
      <w:bookmarkEnd w:id="232"/>
      <w:bookmarkEnd w:id="233"/>
      <w:bookmarkEnd w:id="234"/>
      <w:bookmarkEnd w:id="235"/>
      <w:bookmarkEnd w:id="23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Lines/>
              <w:rPr>
                <w:b/>
                <w:bCs/>
                <w:sz w:val="18"/>
              </w:rPr>
            </w:pPr>
            <w:r>
              <w:rPr>
                <w:b/>
                <w:bCs/>
                <w:sz w:val="18"/>
              </w:rPr>
              <w:t>Tenant (1)</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D  D   M  M  Y  Y  Y  Y</w:t>
            </w:r>
          </w:p>
          <w:p>
            <w:pPr>
              <w:pStyle w:val="yTable"/>
              <w:keepLines/>
              <w:rPr>
                <w:b/>
                <w:bCs/>
                <w:sz w:val="18"/>
              </w:rPr>
            </w:pPr>
            <w:r>
              <w:rPr>
                <w:b/>
                <w:bCs/>
                <w:sz w:val="18"/>
              </w:rPr>
              <w:t>Tenant (2)</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sz w:val="18"/>
              </w:rPr>
            </w:pPr>
            <w:r>
              <w:rPr>
                <w:sz w:val="18"/>
              </w:rPr>
              <w:t>* Please note the witness cannot be the park operator or tenant.</w:t>
            </w:r>
          </w:p>
        </w:tc>
      </w:tr>
    </w:tbl>
    <w:p>
      <w:pPr>
        <w:pStyle w:val="yHeading3"/>
        <w:keepNext w:val="0"/>
      </w:pPr>
      <w:bookmarkStart w:id="237" w:name="_Toc7531848"/>
      <w:bookmarkStart w:id="238" w:name="_Toc11075636"/>
      <w:bookmarkStart w:id="239" w:name="_Toc13032655"/>
      <w:bookmarkStart w:id="240" w:name="_Toc13580184"/>
      <w:bookmarkStart w:id="241" w:name="_Toc14700038"/>
      <w:bookmarkStart w:id="242" w:name="_Toc14777466"/>
      <w:bookmarkStart w:id="243" w:name="_Toc14871215"/>
      <w:bookmarkStart w:id="244" w:name="_Toc17279183"/>
      <w:bookmarkStart w:id="245" w:name="_Toc17279295"/>
      <w:bookmarkStart w:id="246" w:name="_Toc17981340"/>
      <w:r>
        <w:rPr>
          <w:rStyle w:val="CharSDivNo"/>
        </w:rPr>
        <w:t>Division 10</w:t>
      </w:r>
      <w:r>
        <w:t> — </w:t>
      </w:r>
      <w:r>
        <w:rPr>
          <w:rStyle w:val="CharSDivText"/>
        </w:rPr>
        <w:t>Tenant’s checklist</w:t>
      </w:r>
      <w:bookmarkEnd w:id="237"/>
      <w:bookmarkEnd w:id="238"/>
      <w:bookmarkEnd w:id="239"/>
      <w:bookmarkEnd w:id="240"/>
      <w:bookmarkEnd w:id="241"/>
      <w:bookmarkEnd w:id="242"/>
      <w:bookmarkEnd w:id="243"/>
      <w:bookmarkEnd w:id="244"/>
      <w:bookmarkEnd w:id="245"/>
      <w:bookmarkEnd w:id="24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247" w:name="_Toc7531849"/>
      <w:bookmarkStart w:id="248" w:name="_Toc11075637"/>
      <w:bookmarkStart w:id="249" w:name="_Toc13032656"/>
      <w:bookmarkStart w:id="250" w:name="_Toc13580185"/>
      <w:bookmarkStart w:id="251" w:name="_Toc14700039"/>
      <w:bookmarkStart w:id="252" w:name="_Toc14777467"/>
      <w:bookmarkStart w:id="253" w:name="_Toc14871216"/>
      <w:bookmarkStart w:id="254" w:name="_Toc17279184"/>
      <w:bookmarkStart w:id="255" w:name="_Toc17279296"/>
      <w:bookmarkStart w:id="256" w:name="_Toc17981341"/>
      <w:r>
        <w:rPr>
          <w:rStyle w:val="CharSchNo"/>
        </w:rPr>
        <w:t>Schedule 3</w:t>
      </w:r>
      <w:r>
        <w:t> — </w:t>
      </w:r>
      <w:r>
        <w:rPr>
          <w:rStyle w:val="CharSchText"/>
        </w:rPr>
        <w:t>Periodic site</w:t>
      </w:r>
      <w:r>
        <w:rPr>
          <w:rStyle w:val="CharSchText"/>
        </w:rPr>
        <w:noBreakHyphen/>
        <w:t>only agreement</w:t>
      </w:r>
      <w:bookmarkEnd w:id="247"/>
      <w:bookmarkEnd w:id="248"/>
      <w:bookmarkEnd w:id="249"/>
      <w:bookmarkEnd w:id="250"/>
      <w:bookmarkEnd w:id="251"/>
      <w:bookmarkEnd w:id="252"/>
      <w:bookmarkEnd w:id="253"/>
      <w:bookmarkEnd w:id="254"/>
      <w:bookmarkEnd w:id="255"/>
      <w:bookmarkEnd w:id="256"/>
    </w:p>
    <w:p>
      <w:pPr>
        <w:pStyle w:val="yShoulderClause"/>
      </w:pPr>
      <w:r>
        <w:t>[r. 6]</w:t>
      </w:r>
    </w:p>
    <w:p>
      <w:pPr>
        <w:pStyle w:val="yHeading3"/>
      </w:pPr>
      <w:bookmarkStart w:id="257" w:name="_Toc7531850"/>
      <w:bookmarkStart w:id="258" w:name="_Toc11075638"/>
      <w:bookmarkStart w:id="259" w:name="_Toc13032657"/>
      <w:bookmarkStart w:id="260" w:name="_Toc13580186"/>
      <w:bookmarkStart w:id="261" w:name="_Toc14700040"/>
      <w:bookmarkStart w:id="262" w:name="_Toc14777468"/>
      <w:bookmarkStart w:id="263" w:name="_Toc14871217"/>
      <w:bookmarkStart w:id="264" w:name="_Toc17279185"/>
      <w:bookmarkStart w:id="265" w:name="_Toc17279297"/>
      <w:bookmarkStart w:id="266" w:name="_Toc17981342"/>
      <w:r>
        <w:rPr>
          <w:rStyle w:val="CharSDivNo"/>
        </w:rPr>
        <w:t>Division 1</w:t>
      </w:r>
      <w:r>
        <w:t> — </w:t>
      </w:r>
      <w:r>
        <w:rPr>
          <w:rStyle w:val="CharSDivText"/>
        </w:rPr>
        <w:t>Preliminary</w:t>
      </w:r>
      <w:bookmarkEnd w:id="257"/>
      <w:bookmarkEnd w:id="258"/>
      <w:bookmarkEnd w:id="259"/>
      <w:bookmarkEnd w:id="260"/>
      <w:bookmarkEnd w:id="261"/>
      <w:bookmarkEnd w:id="262"/>
      <w:bookmarkEnd w:id="263"/>
      <w:bookmarkEnd w:id="264"/>
      <w:bookmarkEnd w:id="265"/>
      <w:bookmarkEnd w:id="26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yTable"/>
              <w:ind w:left="742" w:hanging="742"/>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rPr>
            </w:pPr>
            <w:r>
              <w:rPr>
                <w:rFonts w:ascii="Arial" w:hAnsi="Arial" w:cs="Arial"/>
                <w:sz w:val="14"/>
              </w:rPr>
              <w:t>This agreement is in 10 Divisions:</w:t>
            </w:r>
          </w:p>
          <w:p>
            <w:pPr>
              <w:pStyle w:val="yTable"/>
              <w:rPr>
                <w:rFonts w:ascii="Arial" w:hAnsi="Arial" w:cs="Arial"/>
                <w:sz w:val="14"/>
              </w:rPr>
            </w:pPr>
            <w:r>
              <w:rPr>
                <w:rFonts w:ascii="Arial" w:hAnsi="Arial" w:cs="Arial"/>
                <w:sz w:val="14"/>
              </w:rPr>
              <w:t>Division 1 — Preliminary</w:t>
            </w:r>
          </w:p>
          <w:p>
            <w:pPr>
              <w:pStyle w:val="yTable"/>
              <w:rPr>
                <w:rFonts w:ascii="Arial" w:hAnsi="Arial" w:cs="Arial"/>
                <w:sz w:val="14"/>
              </w:rPr>
            </w:pPr>
            <w:r>
              <w:rPr>
                <w:rFonts w:ascii="Arial" w:hAnsi="Arial" w:cs="Arial"/>
                <w:sz w:val="14"/>
              </w:rPr>
              <w:t>Division 2 — Rent, fees and charges</w:t>
            </w:r>
          </w:p>
          <w:p>
            <w:pPr>
              <w:pStyle w:val="yTable"/>
              <w:rPr>
                <w:rFonts w:ascii="Arial" w:hAnsi="Arial" w:cs="Arial"/>
                <w:sz w:val="14"/>
              </w:rPr>
            </w:pPr>
            <w:r>
              <w:rPr>
                <w:rFonts w:ascii="Arial" w:hAnsi="Arial" w:cs="Arial"/>
                <w:sz w:val="14"/>
              </w:rPr>
              <w:t>Division 3 — Table of fees and charges for services and utilities</w:t>
            </w:r>
          </w:p>
          <w:p>
            <w:pPr>
              <w:pStyle w:val="yTable"/>
              <w:rPr>
                <w:rFonts w:ascii="Arial" w:hAnsi="Arial" w:cs="Arial"/>
                <w:sz w:val="14"/>
              </w:rPr>
            </w:pPr>
            <w:r>
              <w:rPr>
                <w:rFonts w:ascii="Arial" w:hAnsi="Arial" w:cs="Arial"/>
                <w:sz w:val="14"/>
              </w:rPr>
              <w:t>Division 4 — General terms</w:t>
            </w:r>
          </w:p>
          <w:p>
            <w:pPr>
              <w:pStyle w:val="yTable"/>
              <w:rPr>
                <w:rFonts w:ascii="Arial" w:hAnsi="Arial" w:cs="Arial"/>
                <w:sz w:val="14"/>
              </w:rPr>
            </w:pPr>
            <w:r>
              <w:rPr>
                <w:rFonts w:ascii="Arial" w:hAnsi="Arial" w:cs="Arial"/>
                <w:sz w:val="14"/>
              </w:rPr>
              <w:t>Division 5 — Special terms</w:t>
            </w:r>
          </w:p>
          <w:p>
            <w:pPr>
              <w:pStyle w:val="yTable"/>
              <w:rPr>
                <w:rFonts w:ascii="Arial" w:hAnsi="Arial" w:cs="Arial"/>
                <w:sz w:val="14"/>
              </w:rPr>
            </w:pPr>
            <w:r>
              <w:rPr>
                <w:rFonts w:ascii="Arial" w:hAnsi="Arial" w:cs="Arial"/>
                <w:sz w:val="14"/>
              </w:rPr>
              <w:t xml:space="preserve">Division 6 — Condition report </w:t>
            </w:r>
          </w:p>
          <w:p>
            <w:pPr>
              <w:pStyle w:val="yTable"/>
              <w:rPr>
                <w:rFonts w:ascii="Arial" w:hAnsi="Arial" w:cs="Arial"/>
                <w:sz w:val="14"/>
              </w:rPr>
            </w:pPr>
            <w:r>
              <w:rPr>
                <w:rFonts w:ascii="Arial" w:hAnsi="Arial" w:cs="Arial"/>
                <w:sz w:val="14"/>
              </w:rPr>
              <w:t>Division 7 — Park rules</w:t>
            </w:r>
          </w:p>
          <w:p>
            <w:pPr>
              <w:pStyle w:val="yTable"/>
              <w:rPr>
                <w:rFonts w:ascii="Arial" w:hAnsi="Arial" w:cs="Arial"/>
                <w:sz w:val="14"/>
              </w:rPr>
            </w:pPr>
            <w:r>
              <w:rPr>
                <w:rFonts w:ascii="Arial" w:hAnsi="Arial" w:cs="Arial"/>
                <w:sz w:val="14"/>
              </w:rPr>
              <w:t>Division 8 — Information sheet</w:t>
            </w:r>
          </w:p>
          <w:p>
            <w:pPr>
              <w:pStyle w:val="yTable"/>
              <w:rPr>
                <w:rFonts w:ascii="Arial" w:hAnsi="Arial" w:cs="Arial"/>
                <w:sz w:val="14"/>
              </w:rPr>
            </w:pPr>
            <w:r>
              <w:rPr>
                <w:rFonts w:ascii="Arial" w:hAnsi="Arial" w:cs="Arial"/>
                <w:sz w:val="14"/>
              </w:rPr>
              <w:t>Division 9 — Acceptance</w:t>
            </w:r>
          </w:p>
          <w:p>
            <w:pPr>
              <w:pStyle w:val="yTable"/>
              <w:rPr>
                <w:rFonts w:ascii="Arial" w:hAnsi="Arial" w:cs="Arial"/>
                <w:sz w:val="14"/>
              </w:rPr>
            </w:pPr>
            <w:r>
              <w:rPr>
                <w:rFonts w:ascii="Arial" w:hAnsi="Arial" w:cs="Arial"/>
                <w:sz w:val="14"/>
              </w:rPr>
              <w:t>Division 10 — Tenant’s checklist</w:t>
            </w:r>
          </w:p>
          <w:p>
            <w:pPr>
              <w:pStyle w:val="yTable"/>
              <w:rPr>
                <w:rFonts w:ascii="Arial" w:hAnsi="Arial" w:cs="Arial"/>
                <w:sz w:val="14"/>
              </w:rPr>
            </w:pPr>
            <w:r>
              <w:rPr>
                <w:rFonts w:ascii="Arial" w:hAnsi="Arial" w:cs="Arial"/>
                <w:sz w:val="14"/>
              </w:rPr>
              <w:t xml:space="preserve">Before you sign this agreement, you should have completed the </w:t>
            </w:r>
            <w:r>
              <w:rPr>
                <w:rFonts w:ascii="Arial" w:hAnsi="Arial" w:cs="Arial"/>
                <w:sz w:val="14"/>
              </w:rPr>
              <w:br/>
            </w:r>
            <w:r>
              <w:rPr>
                <w:rFonts w:ascii="Arial" w:hAnsi="Arial" w:cs="Arial"/>
                <w:b/>
                <w:sz w:val="14"/>
              </w:rPr>
              <w:t>TENANT’S CHECKLIST</w:t>
            </w:r>
            <w:r>
              <w:rPr>
                <w:rFonts w:ascii="Arial" w:hAnsi="Arial" w:cs="Arial"/>
                <w:sz w:val="14"/>
              </w:rPr>
              <w:t xml:space="preserve"> in Division 10.</w:t>
            </w:r>
          </w:p>
          <w:p>
            <w:pPr>
              <w:pStyle w:val="yTable"/>
              <w:rPr>
                <w:rFonts w:ascii="Arial" w:hAnsi="Arial" w:cs="Arial"/>
                <w:sz w:val="14"/>
              </w:rPr>
            </w:pPr>
            <w:r>
              <w:rPr>
                <w:rFonts w:ascii="Arial" w:hAnsi="Arial" w:cs="Arial"/>
                <w:sz w:val="14"/>
              </w:rPr>
              <w:t xml:space="preserve">If you need general information about renting at a residential park — </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call the Consumer Protection Contact Centre: 1300 30 40 54</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rPr>
            </w:pPr>
            <w:r>
              <w:rPr>
                <w:rFonts w:ascii="Arial" w:hAnsi="Arial" w:cs="Arial"/>
                <w:sz w:val="14"/>
              </w:rPr>
              <w:t>This is a long</w:t>
            </w:r>
            <w:r>
              <w:rPr>
                <w:rFonts w:ascii="Arial" w:hAnsi="Arial" w:cs="Arial"/>
                <w:sz w:val="14"/>
              </w:rPr>
              <w:noBreakHyphen/>
              <w:t xml:space="preserve">stay agreement with no fixed term.  </w:t>
            </w:r>
          </w:p>
          <w:p>
            <w:pPr>
              <w:pStyle w:val="yTable"/>
              <w:rPr>
                <w:rFonts w:ascii="Arial" w:hAnsi="Arial" w:cs="Arial"/>
                <w:sz w:val="14"/>
              </w:rPr>
            </w:pPr>
            <w:r>
              <w:rPr>
                <w:rFonts w:ascii="Arial" w:hAnsi="Arial" w:cs="Arial"/>
                <w:sz w:val="14"/>
              </w:rPr>
              <w:t>You could be given 180 days notice to vacate the site without explanation and you MIGHT NOT receive compensation for losses incurred, such as relocation expenses.</w:t>
            </w:r>
          </w:p>
          <w:p>
            <w:pPr>
              <w:pStyle w:val="yTable"/>
              <w:rPr>
                <w:rFonts w:ascii="Arial" w:hAnsi="Arial" w:cs="Arial"/>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rStyle w:val="CharDefText"/>
                <w:bCs/>
                <w:i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rStyle w:val="CharDefText"/>
                <w:bCs/>
                <w:i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rStyle w:val="CharDefText"/>
                <w:bCs/>
                <w:iCs/>
                <w:sz w:val="18"/>
              </w:rPr>
              <w:t>park operator</w:t>
            </w:r>
            <w:r>
              <w:rPr>
                <w:sz w:val="18"/>
              </w:rPr>
              <w:t xml:space="preserve"> means the party referred to in clause 2;</w:t>
            </w:r>
            <w:r>
              <w:rPr>
                <w:sz w:val="18"/>
              </w:rPr>
              <w:br/>
            </w:r>
          </w:p>
          <w:p>
            <w:pPr>
              <w:pStyle w:val="yTable"/>
              <w:tabs>
                <w:tab w:val="left" w:pos="317"/>
                <w:tab w:val="left" w:pos="601"/>
              </w:tabs>
              <w:ind w:left="601" w:hanging="601"/>
              <w:rPr>
                <w:sz w:val="18"/>
              </w:rPr>
            </w:pPr>
            <w:r>
              <w:rPr>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sz w:val="18"/>
              </w:rPr>
              <w:tab/>
            </w:r>
            <w:r>
              <w:rPr>
                <w:rStyle w:val="CharDefText"/>
                <w:bCs/>
                <w:i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rPr>
                <w:sz w:val="18"/>
              </w:rPr>
            </w:pPr>
            <w:r>
              <w:rPr>
                <w:sz w:val="18"/>
              </w:rPr>
              <w:t>Tenant/s name/s .................................................................................</w:t>
            </w:r>
          </w:p>
          <w:p>
            <w:pPr>
              <w:pStyle w:val="yTable"/>
              <w:keepNext/>
              <w:rPr>
                <w:sz w:val="18"/>
              </w:rPr>
            </w:pPr>
            <w:r>
              <w:rPr>
                <w:sz w:val="18"/>
              </w:rPr>
              <w:t>Current address ..................................................................................</w:t>
            </w:r>
          </w:p>
          <w:p>
            <w:pPr>
              <w:pStyle w:val="yTable"/>
              <w:keepNext/>
              <w:rPr>
                <w:sz w:val="18"/>
              </w:rPr>
            </w:pPr>
            <w:r>
              <w:rPr>
                <w:sz w:val="18"/>
              </w:rPr>
              <w:t>............................................................................................................</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p>
            <w:pPr>
              <w:pStyle w:val="yTable"/>
              <w:keepNext/>
              <w:rPr>
                <w:sz w:val="18"/>
              </w:rPr>
            </w:pPr>
            <w:r>
              <w:rPr>
                <w:sz w:val="18"/>
              </w:rPr>
              <w:t>Place of occupation ............................................................................</w:t>
            </w:r>
          </w:p>
          <w:p>
            <w:pPr>
              <w:pStyle w:val="yTable"/>
              <w:keepNext/>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rPr>
                <w:sz w:val="18"/>
              </w:rPr>
            </w:pPr>
            <w:r>
              <w:rPr>
                <w:sz w:val="18"/>
              </w:rPr>
              <w:t>Phone ( ) ................................... Fax ( ) .............................................</w:t>
            </w:r>
          </w:p>
          <w:p>
            <w:pPr>
              <w:pStyle w:val="yTable"/>
              <w:keepNext/>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pPr>
      <w:r>
        <w:tab/>
        <w:t>[Division 1 amended: Gazette 5 Jul 2011 p. 2816.]</w:t>
      </w:r>
    </w:p>
    <w:p>
      <w:pPr>
        <w:pStyle w:val="yHeading3"/>
        <w:keepLines/>
        <w:pageBreakBefore/>
        <w:spacing w:before="0"/>
      </w:pPr>
      <w:bookmarkStart w:id="267" w:name="_Toc7531851"/>
      <w:bookmarkStart w:id="268" w:name="_Toc11075639"/>
      <w:bookmarkStart w:id="269" w:name="_Toc13032658"/>
      <w:bookmarkStart w:id="270" w:name="_Toc13580187"/>
      <w:bookmarkStart w:id="271" w:name="_Toc14700041"/>
      <w:bookmarkStart w:id="272" w:name="_Toc14777469"/>
      <w:bookmarkStart w:id="273" w:name="_Toc14871218"/>
      <w:bookmarkStart w:id="274" w:name="_Toc17279186"/>
      <w:bookmarkStart w:id="275" w:name="_Toc17279298"/>
      <w:bookmarkStart w:id="276" w:name="_Toc17981343"/>
      <w:r>
        <w:rPr>
          <w:rStyle w:val="CharSDivNo"/>
        </w:rPr>
        <w:t>Division 2</w:t>
      </w:r>
      <w:r>
        <w:t> — </w:t>
      </w:r>
      <w:r>
        <w:rPr>
          <w:rStyle w:val="CharSDivText"/>
        </w:rPr>
        <w:t>Rent, fees and charges</w:t>
      </w:r>
      <w:bookmarkEnd w:id="267"/>
      <w:bookmarkEnd w:id="268"/>
      <w:bookmarkEnd w:id="269"/>
      <w:bookmarkEnd w:id="270"/>
      <w:bookmarkEnd w:id="271"/>
      <w:bookmarkEnd w:id="272"/>
      <w:bookmarkEnd w:id="273"/>
      <w:bookmarkEnd w:id="274"/>
      <w:bookmarkEnd w:id="275"/>
      <w:bookmarkEnd w:id="276"/>
    </w:p>
    <w:tbl>
      <w:tblPr>
        <w:tblW w:w="0" w:type="auto"/>
        <w:tblInd w:w="675" w:type="dxa"/>
        <w:tblLayout w:type="fixed"/>
        <w:tblLook w:val="0000" w:firstRow="0" w:lastRow="0" w:firstColumn="0" w:lastColumn="0" w:noHBand="0" w:noVBand="0"/>
      </w:tblPr>
      <w:tblGrid>
        <w:gridCol w:w="1418"/>
        <w:gridCol w:w="2551"/>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2"/>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2"/>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2"/>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2"/>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2"/>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 xml:space="preserve"> Note 1:</w:t>
            </w:r>
            <w:r>
              <w:rPr>
                <w:rFonts w:ascii="Arial" w:hAnsi="Arial"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ind w:left="742" w:hanging="742"/>
              <w:rPr>
                <w:b/>
                <w:bCs/>
              </w:rPr>
            </w:pPr>
          </w:p>
        </w:tc>
      </w:tr>
    </w:tbl>
    <w:p/>
    <w:tbl>
      <w:tblPr>
        <w:tblW w:w="0" w:type="auto"/>
        <w:tblInd w:w="675" w:type="dxa"/>
        <w:tblLayout w:type="fixed"/>
        <w:tblLook w:val="0000" w:firstRow="0" w:lastRow="0" w:firstColumn="0" w:lastColumn="0" w:noHBand="0" w:noVBand="0"/>
      </w:tblPr>
      <w:tblGrid>
        <w:gridCol w:w="1418"/>
        <w:gridCol w:w="2126"/>
        <w:gridCol w:w="2977"/>
      </w:tblGrid>
      <w:tr>
        <w:tc>
          <w:tcPr>
            <w:tcW w:w="1418" w:type="dxa"/>
            <w:shd w:val="clear" w:color="auto" w:fill="D9D9D9"/>
          </w:tcPr>
          <w:p>
            <w:pPr>
              <w:pStyle w:val="yTable"/>
              <w:keepNext/>
              <w:rPr>
                <w:b/>
                <w:bCs/>
                <w:sz w:val="18"/>
              </w:rPr>
            </w:pPr>
          </w:p>
        </w:tc>
        <w:tc>
          <w:tcPr>
            <w:tcW w:w="5103" w:type="dxa"/>
            <w:gridSpan w:val="2"/>
          </w:tcPr>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sz w:val="18"/>
              </w:rPr>
            </w:pPr>
            <w:r>
              <w:rPr>
                <w:rFonts w:ascii="Arial" w:hAnsi="Arial" w:cs="Arial"/>
                <w:sz w:val="14"/>
              </w:rPr>
              <w:t>Note 4:</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5:</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2"/>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tabs>
                <w:tab w:val="left" w:pos="1168"/>
              </w:tabs>
              <w:ind w:left="1168" w:hanging="284"/>
              <w:rPr>
                <w:b/>
                <w:i/>
              </w:rPr>
            </w:pPr>
          </w:p>
        </w:tc>
      </w:tr>
      <w:tr>
        <w:tc>
          <w:tcPr>
            <w:tcW w:w="1418" w:type="dxa"/>
            <w:shd w:val="clear" w:color="auto" w:fill="D9D9D9"/>
          </w:tcPr>
          <w:p>
            <w:pPr>
              <w:pStyle w:val="yTable"/>
              <w:keepNext/>
              <w:rPr>
                <w:b/>
                <w:bCs/>
                <w:sz w:val="18"/>
              </w:rPr>
            </w:pPr>
          </w:p>
        </w:tc>
        <w:tc>
          <w:tcPr>
            <w:tcW w:w="5103" w:type="dxa"/>
            <w:gridSpan w:val="2"/>
          </w:tcPr>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sz w:val="18"/>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742" w:hanging="742"/>
            </w:pPr>
          </w:p>
        </w:tc>
      </w:tr>
      <w:tr>
        <w:trPr>
          <w:cantSplit/>
          <w:trHeight w:val="80"/>
        </w:trPr>
        <w:tc>
          <w:tcPr>
            <w:tcW w:w="1418" w:type="dxa"/>
            <w:shd w:val="clear" w:color="auto" w:fill="D9D9D9"/>
          </w:tcPr>
          <w:p>
            <w:pPr>
              <w:pStyle w:val="yTable"/>
              <w:rPr>
                <w:b/>
                <w:bCs/>
                <w:sz w:val="18"/>
              </w:rPr>
            </w:pPr>
          </w:p>
        </w:tc>
        <w:tc>
          <w:tcPr>
            <w:tcW w:w="5103" w:type="dxa"/>
            <w:gridSpan w:val="2"/>
          </w:tcPr>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sz w:val="18"/>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2"/>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2"/>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shd w:val="clear" w:color="auto" w:fill="D9D9D9"/>
          </w:tcPr>
          <w:p>
            <w:pPr>
              <w:pStyle w:val="yTable"/>
              <w:rPr>
                <w:b/>
                <w:bCs/>
                <w:sz w:val="18"/>
              </w:rPr>
            </w:pPr>
          </w:p>
        </w:tc>
        <w:tc>
          <w:tcPr>
            <w:tcW w:w="5103" w:type="dxa"/>
            <w:gridSpan w:val="2"/>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tabs>
                <w:tab w:val="left" w:pos="1168"/>
              </w:tabs>
              <w:ind w:left="1168" w:hanging="284"/>
            </w:pPr>
          </w:p>
        </w:tc>
      </w:tr>
      <w:tr>
        <w:tc>
          <w:tcPr>
            <w:tcW w:w="1418" w:type="dxa"/>
            <w:tcBorders>
              <w:bottom w:val="single" w:sz="4" w:space="0" w:color="auto"/>
            </w:tcBorders>
            <w:shd w:val="clear" w:color="auto" w:fill="D9D9D9"/>
          </w:tcPr>
          <w:p>
            <w:pPr>
              <w:pStyle w:val="yTable"/>
              <w:keepNext/>
              <w:rPr>
                <w:b/>
                <w:bCs/>
                <w:sz w:val="18"/>
              </w:rPr>
            </w:pPr>
          </w:p>
        </w:tc>
        <w:tc>
          <w:tcPr>
            <w:tcW w:w="5103" w:type="dxa"/>
            <w:gridSpan w:val="2"/>
            <w:tcBorders>
              <w:bottom w:val="single" w:sz="4" w:space="0" w:color="auto"/>
            </w:tcBorders>
          </w:tcPr>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2"/>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2"/>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2816</w:t>
      </w:r>
      <w:r>
        <w:noBreakHyphen/>
        <w:t>17; 14 Nov 2013</w:t>
      </w:r>
      <w:r>
        <w:rPr>
          <w:sz w:val="24"/>
        </w:rPr>
        <w:t xml:space="preserve"> </w:t>
      </w:r>
      <w:r>
        <w:t>p. 5064.]</w:t>
      </w:r>
    </w:p>
    <w:p>
      <w:pPr>
        <w:pStyle w:val="yHeading3"/>
        <w:keepLines/>
        <w:pageBreakBefore/>
        <w:spacing w:before="0" w:after="60"/>
      </w:pPr>
      <w:bookmarkStart w:id="277" w:name="_Toc7531852"/>
      <w:bookmarkStart w:id="278" w:name="_Toc11075640"/>
      <w:bookmarkStart w:id="279" w:name="_Toc13032659"/>
      <w:bookmarkStart w:id="280" w:name="_Toc13580188"/>
      <w:bookmarkStart w:id="281" w:name="_Toc14700042"/>
      <w:bookmarkStart w:id="282" w:name="_Toc14777470"/>
      <w:bookmarkStart w:id="283" w:name="_Toc14871219"/>
      <w:bookmarkStart w:id="284" w:name="_Toc17279187"/>
      <w:bookmarkStart w:id="285" w:name="_Toc17279299"/>
      <w:bookmarkStart w:id="286" w:name="_Toc17981344"/>
      <w:r>
        <w:rPr>
          <w:rStyle w:val="CharSDivNo"/>
        </w:rPr>
        <w:t>Division 3</w:t>
      </w:r>
      <w:r>
        <w:t> — </w:t>
      </w:r>
      <w:r>
        <w:rPr>
          <w:rStyle w:val="CharSDivText"/>
        </w:rPr>
        <w:t>Table of fees and charges for services and utilities</w:t>
      </w:r>
      <w:bookmarkEnd w:id="277"/>
      <w:bookmarkEnd w:id="278"/>
      <w:bookmarkEnd w:id="279"/>
      <w:bookmarkEnd w:id="280"/>
      <w:bookmarkEnd w:id="281"/>
      <w:bookmarkEnd w:id="282"/>
      <w:bookmarkEnd w:id="283"/>
      <w:bookmarkEnd w:id="284"/>
      <w:bookmarkEnd w:id="285"/>
      <w:bookmarkEnd w:id="286"/>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287" w:name="_Toc7531853"/>
      <w:bookmarkStart w:id="288" w:name="_Toc11075641"/>
      <w:bookmarkStart w:id="289" w:name="_Toc13032660"/>
      <w:bookmarkStart w:id="290" w:name="_Toc13580189"/>
      <w:bookmarkStart w:id="291" w:name="_Toc14700043"/>
      <w:bookmarkStart w:id="292" w:name="_Toc14777471"/>
      <w:bookmarkStart w:id="293" w:name="_Toc14871220"/>
      <w:bookmarkStart w:id="294" w:name="_Toc17279188"/>
      <w:bookmarkStart w:id="295" w:name="_Toc17279300"/>
      <w:bookmarkStart w:id="296" w:name="_Toc17981345"/>
      <w:r>
        <w:rPr>
          <w:rStyle w:val="CharSDivNo"/>
        </w:rPr>
        <w:t>Division 4</w:t>
      </w:r>
      <w:r>
        <w:t> — </w:t>
      </w:r>
      <w:r>
        <w:rPr>
          <w:rStyle w:val="CharSDivText"/>
        </w:rPr>
        <w:t>General terms</w:t>
      </w:r>
      <w:bookmarkEnd w:id="287"/>
      <w:bookmarkEnd w:id="288"/>
      <w:bookmarkEnd w:id="289"/>
      <w:bookmarkEnd w:id="290"/>
      <w:bookmarkEnd w:id="291"/>
      <w:bookmarkEnd w:id="292"/>
      <w:bookmarkEnd w:id="293"/>
      <w:bookmarkEnd w:id="294"/>
      <w:bookmarkEnd w:id="295"/>
      <w:bookmarkEnd w:id="29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rPr>
                <w:rFonts w:ascii="Arial Narrow" w:hAnsi="Arial Narrow"/>
                <w:b/>
                <w:bCs/>
                <w:sz w:val="18"/>
              </w:rPr>
            </w:pPr>
            <w:r>
              <w:rPr>
                <w:b/>
                <w:bCs/>
                <w:sz w:val="18"/>
              </w:rPr>
              <w:t xml:space="preserve">Clause 23 — </w:t>
            </w:r>
            <w:r>
              <w:rPr>
                <w:b/>
                <w:bCs/>
                <w:sz w:val="18"/>
              </w:rPr>
              <w:br/>
              <w:t>Responsibility for damage</w:t>
            </w:r>
          </w:p>
        </w:tc>
        <w:tc>
          <w:tcPr>
            <w:tcW w:w="5103" w:type="dxa"/>
            <w:tcBorders>
              <w:top w:val="single" w:sz="4" w:space="0" w:color="auto"/>
            </w:tcBorders>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keepNext/>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rPr>
                <w:sz w:val="18"/>
              </w:rPr>
            </w:pPr>
            <w:r>
              <w:rPr>
                <w:sz w:val="18"/>
              </w:rPr>
              <w:t>If yes, outline the modification or restriction below:</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keepNext/>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spacing w:before="40"/>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spacing w:before="40"/>
              <w:ind w:left="459" w:hanging="459"/>
              <w:rPr>
                <w:sz w:val="18"/>
              </w:rPr>
            </w:pPr>
            <w:r>
              <w:rPr>
                <w:sz w:val="18"/>
              </w:rPr>
              <w:t>(2)</w:t>
            </w:r>
            <w:r>
              <w:rPr>
                <w:sz w:val="18"/>
              </w:rPr>
              <w:tab/>
              <w:t>The park operator may enter the agreed premises —</w:t>
            </w:r>
          </w:p>
          <w:p>
            <w:pPr>
              <w:pStyle w:val="yTable"/>
              <w:spacing w:before="40"/>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spacing w:before="40"/>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spacing w:before="40"/>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spacing w:before="40"/>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spacing w:before="40"/>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rFonts w:ascii="Arial Narrow" w:hAnsi="Arial Narrow"/>
                <w:sz w:val="18"/>
              </w:rPr>
            </w:pPr>
          </w:p>
        </w:tc>
      </w:tr>
      <w:tr>
        <w:tc>
          <w:tcPr>
            <w:tcW w:w="1418" w:type="dxa"/>
            <w:shd w:val="clear" w:color="auto" w:fill="D9D9D9"/>
          </w:tcPr>
          <w:p>
            <w:pPr>
              <w:pStyle w:val="yTable"/>
              <w:keepNext/>
              <w:rPr>
                <w:b/>
                <w:bCs/>
                <w:sz w:val="18"/>
              </w:rPr>
            </w:pPr>
          </w:p>
        </w:tc>
        <w:tc>
          <w:tcPr>
            <w:tcW w:w="5103" w:type="dxa"/>
          </w:tcPr>
          <w:p>
            <w:pPr>
              <w:pStyle w:val="yTable"/>
              <w:keepNext/>
              <w:spacing w:before="40"/>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spacing w:before="40"/>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p>
        </w:tc>
      </w:tr>
    </w:tbl>
    <w:p/>
    <w:tbl>
      <w:tblPr>
        <w:tblW w:w="0" w:type="auto"/>
        <w:tblInd w:w="675" w:type="dxa"/>
        <w:tblLayout w:type="fixed"/>
        <w:tblLook w:val="0000" w:firstRow="0" w:lastRow="0" w:firstColumn="0" w:lastColumn="0" w:noHBand="0" w:noVBand="0"/>
      </w:tblPr>
      <w:tblGrid>
        <w:gridCol w:w="1418"/>
        <w:gridCol w:w="5103"/>
      </w:tblGrid>
      <w:tr>
        <w:tc>
          <w:tcPr>
            <w:tcW w:w="1418" w:type="dxa"/>
            <w:shd w:val="clear" w:color="auto" w:fill="D9D9D9"/>
          </w:tcPr>
          <w:p>
            <w:pPr>
              <w:pStyle w:val="yTable"/>
              <w:keepNext/>
              <w:rPr>
                <w:b/>
                <w:bCs/>
                <w:sz w:val="18"/>
              </w:rPr>
            </w:pPr>
          </w:p>
        </w:tc>
        <w:tc>
          <w:tcPr>
            <w:tcW w:w="5103" w:type="dxa"/>
          </w:tcPr>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sz w:val="14"/>
              </w:rPr>
            </w:pPr>
            <w:r>
              <w:rPr>
                <w:sz w:val="14"/>
              </w:rPr>
              <w:t>(a)</w:t>
            </w:r>
            <w:r>
              <w:rPr>
                <w:sz w:val="14"/>
              </w:rPr>
              <w:tab/>
              <w:t>setting out the modification or restriction in the space provided below the clause; or</w:t>
            </w:r>
          </w:p>
          <w:p>
            <w:pPr>
              <w:pStyle w:val="yTable"/>
              <w:tabs>
                <w:tab w:val="left" w:pos="1168"/>
              </w:tabs>
              <w:ind w:left="1168" w:hanging="284"/>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2817.]</w:t>
      </w:r>
    </w:p>
    <w:p>
      <w:pPr>
        <w:pStyle w:val="yHeading3"/>
      </w:pPr>
      <w:bookmarkStart w:id="297" w:name="_Toc7531854"/>
      <w:bookmarkStart w:id="298" w:name="_Toc11075642"/>
      <w:bookmarkStart w:id="299" w:name="_Toc13032661"/>
      <w:bookmarkStart w:id="300" w:name="_Toc13580190"/>
      <w:bookmarkStart w:id="301" w:name="_Toc14700044"/>
      <w:bookmarkStart w:id="302" w:name="_Toc14777472"/>
      <w:bookmarkStart w:id="303" w:name="_Toc14871221"/>
      <w:bookmarkStart w:id="304" w:name="_Toc17279189"/>
      <w:bookmarkStart w:id="305" w:name="_Toc17279301"/>
      <w:bookmarkStart w:id="306" w:name="_Toc17981346"/>
      <w:r>
        <w:rPr>
          <w:rStyle w:val="CharSDivNo"/>
        </w:rPr>
        <w:t>Division 5</w:t>
      </w:r>
      <w:r>
        <w:t> — </w:t>
      </w:r>
      <w:r>
        <w:rPr>
          <w:rStyle w:val="CharSDivText"/>
        </w:rPr>
        <w:t>Special terms</w:t>
      </w:r>
      <w:bookmarkEnd w:id="297"/>
      <w:bookmarkEnd w:id="298"/>
      <w:bookmarkEnd w:id="299"/>
      <w:bookmarkEnd w:id="300"/>
      <w:bookmarkEnd w:id="301"/>
      <w:bookmarkEnd w:id="302"/>
      <w:bookmarkEnd w:id="303"/>
      <w:bookmarkEnd w:id="304"/>
      <w:bookmarkEnd w:id="305"/>
      <w:bookmarkEnd w:id="30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307" w:name="_Toc7531855"/>
      <w:bookmarkStart w:id="308" w:name="_Toc11075643"/>
      <w:bookmarkStart w:id="309" w:name="_Toc13032662"/>
      <w:bookmarkStart w:id="310" w:name="_Toc13580191"/>
      <w:bookmarkStart w:id="311" w:name="_Toc14700045"/>
      <w:bookmarkStart w:id="312" w:name="_Toc14777473"/>
      <w:bookmarkStart w:id="313" w:name="_Toc14871222"/>
      <w:bookmarkStart w:id="314" w:name="_Toc17279190"/>
      <w:bookmarkStart w:id="315" w:name="_Toc17279302"/>
      <w:bookmarkStart w:id="316" w:name="_Toc17981347"/>
      <w:r>
        <w:rPr>
          <w:rStyle w:val="CharSDivNo"/>
        </w:rPr>
        <w:t>Division 6</w:t>
      </w:r>
      <w:r>
        <w:t> — </w:t>
      </w:r>
      <w:r>
        <w:rPr>
          <w:rStyle w:val="CharSDivText"/>
        </w:rPr>
        <w:t>Condition report</w:t>
      </w:r>
      <w:bookmarkEnd w:id="307"/>
      <w:bookmarkEnd w:id="308"/>
      <w:bookmarkEnd w:id="309"/>
      <w:bookmarkEnd w:id="310"/>
      <w:bookmarkEnd w:id="311"/>
      <w:bookmarkEnd w:id="312"/>
      <w:bookmarkEnd w:id="313"/>
      <w:bookmarkEnd w:id="314"/>
      <w:bookmarkEnd w:id="315"/>
      <w:bookmarkEnd w:id="316"/>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pPr>
      <w:bookmarkStart w:id="317" w:name="_Toc7531856"/>
      <w:bookmarkStart w:id="318" w:name="_Toc11075644"/>
      <w:bookmarkStart w:id="319" w:name="_Toc13032663"/>
      <w:bookmarkStart w:id="320" w:name="_Toc13580192"/>
      <w:bookmarkStart w:id="321" w:name="_Toc14700046"/>
      <w:bookmarkStart w:id="322" w:name="_Toc14777474"/>
      <w:bookmarkStart w:id="323" w:name="_Toc14871223"/>
      <w:bookmarkStart w:id="324" w:name="_Toc17279191"/>
      <w:bookmarkStart w:id="325" w:name="_Toc17279303"/>
      <w:bookmarkStart w:id="326" w:name="_Toc17981348"/>
      <w:r>
        <w:rPr>
          <w:rStyle w:val="CharSDivNo"/>
        </w:rPr>
        <w:t>Division 7</w:t>
      </w:r>
      <w:r>
        <w:t> — </w:t>
      </w:r>
      <w:r>
        <w:rPr>
          <w:rStyle w:val="CharSDivText"/>
        </w:rPr>
        <w:t>Park rules</w:t>
      </w:r>
      <w:bookmarkEnd w:id="317"/>
      <w:bookmarkEnd w:id="318"/>
      <w:bookmarkEnd w:id="319"/>
      <w:bookmarkEnd w:id="320"/>
      <w:bookmarkEnd w:id="321"/>
      <w:bookmarkEnd w:id="322"/>
      <w:bookmarkEnd w:id="323"/>
      <w:bookmarkEnd w:id="324"/>
      <w:bookmarkEnd w:id="325"/>
      <w:bookmarkEnd w:id="326"/>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327" w:name="_Toc7531857"/>
      <w:bookmarkStart w:id="328" w:name="_Toc11075645"/>
      <w:bookmarkStart w:id="329" w:name="_Toc13032664"/>
      <w:bookmarkStart w:id="330" w:name="_Toc13580193"/>
      <w:bookmarkStart w:id="331" w:name="_Toc14700047"/>
      <w:bookmarkStart w:id="332" w:name="_Toc14777475"/>
      <w:bookmarkStart w:id="333" w:name="_Toc14871224"/>
      <w:bookmarkStart w:id="334" w:name="_Toc17279192"/>
      <w:bookmarkStart w:id="335" w:name="_Toc17279304"/>
      <w:bookmarkStart w:id="336" w:name="_Toc17981349"/>
      <w:r>
        <w:rPr>
          <w:rStyle w:val="CharSDivNo"/>
        </w:rPr>
        <w:t>Division 8</w:t>
      </w:r>
      <w:r>
        <w:t> — </w:t>
      </w:r>
      <w:r>
        <w:rPr>
          <w:rStyle w:val="CharSDivText"/>
        </w:rPr>
        <w:t>Information sheet</w:t>
      </w:r>
      <w:bookmarkEnd w:id="327"/>
      <w:bookmarkEnd w:id="328"/>
      <w:bookmarkEnd w:id="329"/>
      <w:bookmarkEnd w:id="330"/>
      <w:bookmarkEnd w:id="331"/>
      <w:bookmarkEnd w:id="332"/>
      <w:bookmarkEnd w:id="333"/>
      <w:bookmarkEnd w:id="334"/>
      <w:bookmarkEnd w:id="335"/>
      <w:bookmarkEnd w:id="336"/>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Lines/>
        <w:pageBreakBefore/>
        <w:spacing w:before="0"/>
      </w:pPr>
      <w:bookmarkStart w:id="337" w:name="_Toc7531858"/>
      <w:bookmarkStart w:id="338" w:name="_Toc11075646"/>
      <w:bookmarkStart w:id="339" w:name="_Toc13032665"/>
      <w:bookmarkStart w:id="340" w:name="_Toc13580194"/>
      <w:bookmarkStart w:id="341" w:name="_Toc14700048"/>
      <w:bookmarkStart w:id="342" w:name="_Toc14777476"/>
      <w:bookmarkStart w:id="343" w:name="_Toc14871225"/>
      <w:bookmarkStart w:id="344" w:name="_Toc17279193"/>
      <w:bookmarkStart w:id="345" w:name="_Toc17279305"/>
      <w:bookmarkStart w:id="346" w:name="_Toc17981350"/>
      <w:r>
        <w:rPr>
          <w:rStyle w:val="CharSDivNo"/>
        </w:rPr>
        <w:t>Division 9</w:t>
      </w:r>
      <w:r>
        <w:t> — </w:t>
      </w:r>
      <w:r>
        <w:rPr>
          <w:rStyle w:val="CharSDivText"/>
        </w:rPr>
        <w:t>Acceptance</w:t>
      </w:r>
      <w:bookmarkEnd w:id="337"/>
      <w:bookmarkEnd w:id="338"/>
      <w:bookmarkEnd w:id="339"/>
      <w:bookmarkEnd w:id="340"/>
      <w:bookmarkEnd w:id="341"/>
      <w:bookmarkEnd w:id="342"/>
      <w:bookmarkEnd w:id="343"/>
      <w:bookmarkEnd w:id="344"/>
      <w:bookmarkEnd w:id="345"/>
      <w:bookmarkEnd w:id="34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keepNext w:val="0"/>
        <w:keepLines/>
        <w:pageBreakBefore/>
        <w:spacing w:before="0"/>
      </w:pPr>
      <w:bookmarkStart w:id="347" w:name="_Toc7531859"/>
      <w:bookmarkStart w:id="348" w:name="_Toc11075647"/>
      <w:bookmarkStart w:id="349" w:name="_Toc13032666"/>
      <w:bookmarkStart w:id="350" w:name="_Toc13580195"/>
      <w:bookmarkStart w:id="351" w:name="_Toc14700049"/>
      <w:bookmarkStart w:id="352" w:name="_Toc14777477"/>
      <w:bookmarkStart w:id="353" w:name="_Toc14871226"/>
      <w:bookmarkStart w:id="354" w:name="_Toc17279194"/>
      <w:bookmarkStart w:id="355" w:name="_Toc17279306"/>
      <w:bookmarkStart w:id="356" w:name="_Toc17981351"/>
      <w:r>
        <w:rPr>
          <w:rStyle w:val="CharSDivNo"/>
        </w:rPr>
        <w:t>Division 10</w:t>
      </w:r>
      <w:r>
        <w:t> — </w:t>
      </w:r>
      <w:r>
        <w:rPr>
          <w:rStyle w:val="CharSDivText"/>
        </w:rPr>
        <w:t>Tenant’s checklist</w:t>
      </w:r>
      <w:bookmarkEnd w:id="347"/>
      <w:bookmarkEnd w:id="348"/>
      <w:bookmarkEnd w:id="349"/>
      <w:bookmarkEnd w:id="350"/>
      <w:bookmarkEnd w:id="351"/>
      <w:bookmarkEnd w:id="352"/>
      <w:bookmarkEnd w:id="353"/>
      <w:bookmarkEnd w:id="354"/>
      <w:bookmarkEnd w:id="355"/>
      <w:bookmarkEnd w:id="35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Lines/>
              <w:rPr>
                <w:sz w:val="18"/>
              </w:rPr>
            </w:pPr>
          </w:p>
        </w:tc>
        <w:tc>
          <w:tcPr>
            <w:tcW w:w="5103" w:type="dxa"/>
            <w:tcBorders>
              <w:top w:val="single" w:sz="4" w:space="0" w:color="auto"/>
            </w:tcBorders>
          </w:tcPr>
          <w:p>
            <w:pPr>
              <w:pStyle w:val="yTable"/>
              <w:keepLines/>
              <w:spacing w:before="160"/>
              <w:ind w:left="318" w:hanging="318"/>
              <w:rPr>
                <w:sz w:val="18"/>
              </w:rPr>
            </w:pPr>
            <w:r>
              <w:rPr>
                <w:sz w:val="18"/>
              </w:rPr>
              <w:sym w:font="Wingdings" w:char="F06F"/>
            </w:r>
            <w:r>
              <w:rPr>
                <w:sz w:val="18"/>
              </w:rPr>
              <w:tab/>
              <w:t>I have received a copy of, and read, this agreement.</w:t>
            </w:r>
          </w:p>
          <w:p>
            <w:pPr>
              <w:pStyle w:val="yTable"/>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Lines/>
              <w:ind w:left="317" w:hanging="317"/>
              <w:rPr>
                <w:sz w:val="18"/>
              </w:rPr>
            </w:pPr>
            <w:r>
              <w:rPr>
                <w:sz w:val="18"/>
              </w:rPr>
              <w:sym w:font="Wingdings" w:char="F06F"/>
            </w:r>
            <w:r>
              <w:rPr>
                <w:sz w:val="18"/>
              </w:rPr>
              <w:tab/>
              <w:t>I have sought, or decided not to seek, independent legal advice.</w:t>
            </w:r>
          </w:p>
          <w:p>
            <w:pPr>
              <w:pStyle w:val="yTable"/>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357" w:name="_Toc7531860"/>
      <w:bookmarkStart w:id="358" w:name="_Toc11075648"/>
      <w:bookmarkStart w:id="359" w:name="_Toc13032667"/>
      <w:bookmarkStart w:id="360" w:name="_Toc13580196"/>
      <w:bookmarkStart w:id="361" w:name="_Toc14700050"/>
      <w:bookmarkStart w:id="362" w:name="_Toc14777478"/>
      <w:bookmarkStart w:id="363" w:name="_Toc14871227"/>
      <w:bookmarkStart w:id="364" w:name="_Toc17279195"/>
      <w:bookmarkStart w:id="365" w:name="_Toc17279307"/>
      <w:bookmarkStart w:id="366" w:name="_Toc17981352"/>
      <w:r>
        <w:rPr>
          <w:rStyle w:val="CharSchNo"/>
        </w:rPr>
        <w:t>Schedule 4</w:t>
      </w:r>
      <w:r>
        <w:t> — </w:t>
      </w:r>
      <w:r>
        <w:rPr>
          <w:rStyle w:val="CharSchText"/>
        </w:rPr>
        <w:t>Fixed term site</w:t>
      </w:r>
      <w:r>
        <w:rPr>
          <w:rStyle w:val="CharSchText"/>
        </w:rPr>
        <w:noBreakHyphen/>
        <w:t>only agreement</w:t>
      </w:r>
      <w:bookmarkEnd w:id="357"/>
      <w:bookmarkEnd w:id="358"/>
      <w:bookmarkEnd w:id="359"/>
      <w:bookmarkEnd w:id="360"/>
      <w:bookmarkEnd w:id="361"/>
      <w:bookmarkEnd w:id="362"/>
      <w:bookmarkEnd w:id="363"/>
      <w:bookmarkEnd w:id="364"/>
      <w:bookmarkEnd w:id="365"/>
      <w:bookmarkEnd w:id="366"/>
    </w:p>
    <w:p>
      <w:pPr>
        <w:pStyle w:val="yShoulderClause"/>
      </w:pPr>
      <w:r>
        <w:t>[r. 7]</w:t>
      </w:r>
    </w:p>
    <w:p>
      <w:pPr>
        <w:pStyle w:val="yHeading3"/>
      </w:pPr>
      <w:bookmarkStart w:id="367" w:name="_Toc7531861"/>
      <w:bookmarkStart w:id="368" w:name="_Toc11075649"/>
      <w:bookmarkStart w:id="369" w:name="_Toc13032668"/>
      <w:bookmarkStart w:id="370" w:name="_Toc13580197"/>
      <w:bookmarkStart w:id="371" w:name="_Toc14700051"/>
      <w:bookmarkStart w:id="372" w:name="_Toc14777479"/>
      <w:bookmarkStart w:id="373" w:name="_Toc14871228"/>
      <w:bookmarkStart w:id="374" w:name="_Toc17279196"/>
      <w:bookmarkStart w:id="375" w:name="_Toc17279308"/>
      <w:bookmarkStart w:id="376" w:name="_Toc17981353"/>
      <w:r>
        <w:rPr>
          <w:rStyle w:val="CharSDivNo"/>
        </w:rPr>
        <w:t>Division 1</w:t>
      </w:r>
      <w:r>
        <w:t> — </w:t>
      </w:r>
      <w:r>
        <w:rPr>
          <w:rStyle w:val="CharSDivText"/>
        </w:rPr>
        <w:t>Preliminary</w:t>
      </w:r>
      <w:bookmarkEnd w:id="367"/>
      <w:bookmarkEnd w:id="368"/>
      <w:bookmarkEnd w:id="369"/>
      <w:bookmarkEnd w:id="370"/>
      <w:bookmarkEnd w:id="371"/>
      <w:bookmarkEnd w:id="372"/>
      <w:bookmarkEnd w:id="373"/>
      <w:bookmarkEnd w:id="374"/>
      <w:bookmarkEnd w:id="375"/>
      <w:bookmarkEnd w:id="37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 xml:space="preserve">TENANT’S CHECKLIST </w:t>
            </w:r>
            <w:r>
              <w:rPr>
                <w:rFonts w:ascii="Arial" w:hAnsi="Arial" w:cs="Arial"/>
                <w:sz w:val="14"/>
                <w:szCs w:val="14"/>
              </w:rPr>
              <w:t>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call the Consumer Protection Contact Centre: 1300 30 40 54</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 xml:space="preserve">stay agreement for a fixed term.  </w:t>
            </w:r>
          </w:p>
          <w:p>
            <w:pPr>
              <w:pStyle w:val="yTable"/>
              <w:rPr>
                <w:rFonts w:ascii="Arial" w:hAnsi="Arial" w:cs="Arial"/>
                <w:sz w:val="14"/>
                <w:szCs w:val="14"/>
              </w:rPr>
            </w:pPr>
            <w:r>
              <w:rPr>
                <w:rFonts w:ascii="Arial" w:hAnsi="Arial" w:cs="Arial"/>
                <w:sz w:val="14"/>
                <w:szCs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rStyle w:val="CharDefText"/>
                <w:bCs/>
                <w:iCs/>
                <w:sz w:val="18"/>
              </w:rPr>
              <w:t>Act</w:t>
            </w:r>
            <w:r>
              <w:rPr>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rStyle w:val="CharDefText"/>
                <w:bCs/>
                <w:i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rStyle w:val="CharDefText"/>
                <w:bCs/>
                <w:i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rStyle w:val="CharDefText"/>
                <w:bCs/>
                <w:i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rStyle w:val="CharDefText"/>
                <w:bCs/>
                <w:i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rStyle w:val="CharDefText"/>
                <w:bCs/>
                <w:iCs/>
                <w:sz w:val="18"/>
              </w:rPr>
              <w:t>relocatable home</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rStyle w:val="CharDefText"/>
                <w:bCs/>
                <w:iCs/>
                <w:sz w:val="18"/>
              </w:rPr>
              <w:t>residential park</w:t>
            </w:r>
            <w:r>
              <w:rPr>
                <w:sz w:val="18"/>
              </w:rPr>
              <w:t xml:space="preserve"> or </w:t>
            </w:r>
            <w:r>
              <w:rPr>
                <w:rStyle w:val="CharDefText"/>
                <w:bCs/>
                <w:iCs/>
                <w:sz w:val="18"/>
              </w:rPr>
              <w:t>park</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rStyle w:val="CharDefText"/>
                <w:bCs/>
                <w:iCs/>
                <w:sz w:val="18"/>
              </w:rPr>
              <w:t>shared premises</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rStyle w:val="CharDefText"/>
                <w:bCs/>
                <w:iCs/>
                <w:sz w:val="18"/>
              </w:rPr>
              <w:t>site</w:t>
            </w:r>
            <w:r>
              <w:rPr>
                <w:sz w:val="18"/>
              </w:rPr>
              <w:t xml:space="preserve"> means the site referred to in clause 4;</w:t>
            </w:r>
          </w:p>
          <w:p>
            <w:pPr>
              <w:pStyle w:val="yTable"/>
              <w:tabs>
                <w:tab w:val="left" w:pos="317"/>
                <w:tab w:val="left" w:pos="601"/>
              </w:tabs>
              <w:ind w:left="601" w:hanging="601"/>
              <w:rPr>
                <w:sz w:val="18"/>
              </w:rPr>
            </w:pPr>
            <w:r>
              <w:rPr>
                <w:sz w:val="18"/>
              </w:rPr>
              <w:tab/>
            </w:r>
            <w:r>
              <w:rPr>
                <w:rStyle w:val="CharDefText"/>
                <w:bCs/>
                <w:i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pPr>
      <w:r>
        <w:tab/>
        <w:t>[Division 1 amended: Gazette 5 Jul 2011 p. 2817</w:t>
      </w:r>
      <w:r>
        <w:noBreakHyphen/>
        <w:t>18.]</w:t>
      </w:r>
    </w:p>
    <w:p>
      <w:pPr>
        <w:pStyle w:val="yHeading3"/>
      </w:pPr>
      <w:bookmarkStart w:id="377" w:name="_Toc7531862"/>
      <w:bookmarkStart w:id="378" w:name="_Toc11075650"/>
      <w:bookmarkStart w:id="379" w:name="_Toc13032669"/>
      <w:bookmarkStart w:id="380" w:name="_Toc13580198"/>
      <w:bookmarkStart w:id="381" w:name="_Toc14700052"/>
      <w:bookmarkStart w:id="382" w:name="_Toc14777480"/>
      <w:bookmarkStart w:id="383" w:name="_Toc14871229"/>
      <w:bookmarkStart w:id="384" w:name="_Toc17279197"/>
      <w:bookmarkStart w:id="385" w:name="_Toc17279309"/>
      <w:bookmarkStart w:id="386" w:name="_Toc17981354"/>
      <w:r>
        <w:rPr>
          <w:rStyle w:val="CharSDivNo"/>
        </w:rPr>
        <w:t>Division 2</w:t>
      </w:r>
      <w:r>
        <w:t> — </w:t>
      </w:r>
      <w:r>
        <w:rPr>
          <w:rStyle w:val="CharSDivText"/>
        </w:rPr>
        <w:t>Rent, fees and charges</w:t>
      </w:r>
      <w:bookmarkEnd w:id="377"/>
      <w:bookmarkEnd w:id="378"/>
      <w:bookmarkEnd w:id="379"/>
      <w:bookmarkEnd w:id="380"/>
      <w:bookmarkEnd w:id="381"/>
      <w:bookmarkEnd w:id="382"/>
      <w:bookmarkEnd w:id="383"/>
      <w:bookmarkEnd w:id="384"/>
      <w:bookmarkEnd w:id="385"/>
      <w:bookmarkEnd w:id="38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3:</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dependent on compliance with this agreement, the Act or another written law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2818; 14 Nov 2013 p. 5064.]</w:t>
      </w:r>
    </w:p>
    <w:p>
      <w:pPr>
        <w:pStyle w:val="yHeading3"/>
        <w:spacing w:after="60"/>
      </w:pPr>
      <w:bookmarkStart w:id="387" w:name="_Toc7531863"/>
      <w:bookmarkStart w:id="388" w:name="_Toc11075651"/>
      <w:bookmarkStart w:id="389" w:name="_Toc13032670"/>
      <w:bookmarkStart w:id="390" w:name="_Toc13580199"/>
      <w:bookmarkStart w:id="391" w:name="_Toc14700053"/>
      <w:bookmarkStart w:id="392" w:name="_Toc14777481"/>
      <w:bookmarkStart w:id="393" w:name="_Toc14871230"/>
      <w:bookmarkStart w:id="394" w:name="_Toc17279198"/>
      <w:bookmarkStart w:id="395" w:name="_Toc17279310"/>
      <w:bookmarkStart w:id="396" w:name="_Toc17981355"/>
      <w:r>
        <w:rPr>
          <w:rStyle w:val="CharSDivNo"/>
        </w:rPr>
        <w:t>Division 3</w:t>
      </w:r>
      <w:r>
        <w:t> — </w:t>
      </w:r>
      <w:r>
        <w:rPr>
          <w:rStyle w:val="CharSDivText"/>
        </w:rPr>
        <w:t>Table of fees and charges for services and utilities</w:t>
      </w:r>
      <w:bookmarkEnd w:id="387"/>
      <w:bookmarkEnd w:id="388"/>
      <w:bookmarkEnd w:id="389"/>
      <w:bookmarkEnd w:id="390"/>
      <w:bookmarkEnd w:id="391"/>
      <w:bookmarkEnd w:id="392"/>
      <w:bookmarkEnd w:id="393"/>
      <w:bookmarkEnd w:id="394"/>
      <w:bookmarkEnd w:id="395"/>
      <w:bookmarkEnd w:id="396"/>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pPr>
      <w:bookmarkStart w:id="397" w:name="_Toc7531864"/>
      <w:bookmarkStart w:id="398" w:name="_Toc11075652"/>
      <w:bookmarkStart w:id="399" w:name="_Toc13032671"/>
      <w:bookmarkStart w:id="400" w:name="_Toc13580200"/>
      <w:bookmarkStart w:id="401" w:name="_Toc14700054"/>
      <w:bookmarkStart w:id="402" w:name="_Toc14777482"/>
      <w:bookmarkStart w:id="403" w:name="_Toc14871231"/>
      <w:bookmarkStart w:id="404" w:name="_Toc17279199"/>
      <w:bookmarkStart w:id="405" w:name="_Toc17279311"/>
      <w:bookmarkStart w:id="406" w:name="_Toc17981356"/>
      <w:r>
        <w:rPr>
          <w:rStyle w:val="CharSDivNo"/>
        </w:rPr>
        <w:t>Division 4</w:t>
      </w:r>
      <w:r>
        <w:t> — </w:t>
      </w:r>
      <w:r>
        <w:rPr>
          <w:rStyle w:val="CharSDivText"/>
        </w:rPr>
        <w:t>General terms</w:t>
      </w:r>
      <w:bookmarkEnd w:id="397"/>
      <w:bookmarkEnd w:id="398"/>
      <w:bookmarkEnd w:id="399"/>
      <w:bookmarkEnd w:id="400"/>
      <w:bookmarkEnd w:id="401"/>
      <w:bookmarkEnd w:id="402"/>
      <w:bookmarkEnd w:id="403"/>
      <w:bookmarkEnd w:id="404"/>
      <w:bookmarkEnd w:id="405"/>
      <w:bookmarkEnd w:id="40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where the residential park is operated under a licence under the Caravan Parks and Camping Grounds Act 1995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r>
            <w:r>
              <w:rPr>
                <w:rStyle w:val="CharDefText"/>
                <w:bCs/>
                <w:i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rPr>
                <w:rFonts w:ascii="Arial Narrow" w:hAnsi="Arial Narrow"/>
              </w:rPr>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p>
          <w:p>
            <w:pPr>
              <w:pStyle w:val="yTable"/>
              <w:ind w:left="884" w:hanging="425"/>
              <w:rPr>
                <w:sz w:val="18"/>
              </w:rPr>
            </w:pP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keepNext/>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pPr>
            <w:r>
              <w:rPr>
                <w:rFonts w:ascii="Arial" w:hAnsi="Arial" w:cs="Arial"/>
                <w:sz w:val="14"/>
              </w:rPr>
              <w:t>(f)</w:t>
            </w:r>
            <w:r>
              <w:rPr>
                <w:rFonts w:ascii="Arial" w:hAnsi="Arial" w:cs="Arial"/>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2818.]</w:t>
      </w:r>
    </w:p>
    <w:p>
      <w:pPr>
        <w:pStyle w:val="yHeading3"/>
      </w:pPr>
      <w:bookmarkStart w:id="407" w:name="_Toc7531865"/>
      <w:bookmarkStart w:id="408" w:name="_Toc11075653"/>
      <w:bookmarkStart w:id="409" w:name="_Toc13032672"/>
      <w:bookmarkStart w:id="410" w:name="_Toc13580201"/>
      <w:bookmarkStart w:id="411" w:name="_Toc14700055"/>
      <w:bookmarkStart w:id="412" w:name="_Toc14777483"/>
      <w:bookmarkStart w:id="413" w:name="_Toc14871232"/>
      <w:bookmarkStart w:id="414" w:name="_Toc17279200"/>
      <w:bookmarkStart w:id="415" w:name="_Toc17279312"/>
      <w:bookmarkStart w:id="416" w:name="_Toc17981357"/>
      <w:r>
        <w:rPr>
          <w:rStyle w:val="CharSDivNo"/>
        </w:rPr>
        <w:t>Division 5</w:t>
      </w:r>
      <w:r>
        <w:t> — </w:t>
      </w:r>
      <w:r>
        <w:rPr>
          <w:rStyle w:val="CharSDivText"/>
        </w:rPr>
        <w:t>Special terms</w:t>
      </w:r>
      <w:bookmarkEnd w:id="407"/>
      <w:bookmarkEnd w:id="408"/>
      <w:bookmarkEnd w:id="409"/>
      <w:bookmarkEnd w:id="410"/>
      <w:bookmarkEnd w:id="411"/>
      <w:bookmarkEnd w:id="412"/>
      <w:bookmarkEnd w:id="413"/>
      <w:bookmarkEnd w:id="414"/>
      <w:bookmarkEnd w:id="415"/>
      <w:bookmarkEnd w:id="41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Lines/>
              <w:spacing w:before="160"/>
              <w:rPr>
                <w:b/>
                <w:bCs/>
                <w:sz w:val="18"/>
              </w:rPr>
            </w:pPr>
          </w:p>
        </w:tc>
        <w:tc>
          <w:tcPr>
            <w:tcW w:w="5103" w:type="dxa"/>
            <w:tcBorders>
              <w:bottom w:val="single" w:sz="4" w:space="0" w:color="auto"/>
            </w:tcBorders>
          </w:tcPr>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417" w:name="_Toc7531866"/>
      <w:bookmarkStart w:id="418" w:name="_Toc11075654"/>
      <w:bookmarkStart w:id="419" w:name="_Toc13032673"/>
      <w:bookmarkStart w:id="420" w:name="_Toc13580202"/>
      <w:bookmarkStart w:id="421" w:name="_Toc14700056"/>
      <w:bookmarkStart w:id="422" w:name="_Toc14777484"/>
      <w:bookmarkStart w:id="423" w:name="_Toc14871233"/>
      <w:bookmarkStart w:id="424" w:name="_Toc17279201"/>
      <w:bookmarkStart w:id="425" w:name="_Toc17279313"/>
      <w:bookmarkStart w:id="426" w:name="_Toc17981358"/>
      <w:r>
        <w:rPr>
          <w:rStyle w:val="CharSDivNo"/>
        </w:rPr>
        <w:t>Division 6</w:t>
      </w:r>
      <w:r>
        <w:t> — </w:t>
      </w:r>
      <w:r>
        <w:rPr>
          <w:rStyle w:val="CharSDivText"/>
        </w:rPr>
        <w:t>Condition report</w:t>
      </w:r>
      <w:bookmarkEnd w:id="417"/>
      <w:bookmarkEnd w:id="418"/>
      <w:bookmarkEnd w:id="419"/>
      <w:bookmarkEnd w:id="420"/>
      <w:bookmarkEnd w:id="421"/>
      <w:bookmarkEnd w:id="422"/>
      <w:bookmarkEnd w:id="423"/>
      <w:bookmarkEnd w:id="424"/>
      <w:bookmarkEnd w:id="425"/>
      <w:bookmarkEnd w:id="426"/>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spacing w:before="220"/>
        <w:rPr>
          <w:rStyle w:val="CharSDivText"/>
        </w:rPr>
      </w:pPr>
      <w:bookmarkStart w:id="427" w:name="_Toc7531867"/>
      <w:bookmarkStart w:id="428" w:name="_Toc11075655"/>
      <w:bookmarkStart w:id="429" w:name="_Toc13032674"/>
      <w:bookmarkStart w:id="430" w:name="_Toc13580203"/>
      <w:bookmarkStart w:id="431" w:name="_Toc14700057"/>
      <w:bookmarkStart w:id="432" w:name="_Toc14777485"/>
      <w:bookmarkStart w:id="433" w:name="_Toc14871234"/>
      <w:bookmarkStart w:id="434" w:name="_Toc17279202"/>
      <w:bookmarkStart w:id="435" w:name="_Toc17279314"/>
      <w:bookmarkStart w:id="436" w:name="_Toc17981359"/>
      <w:r>
        <w:rPr>
          <w:rStyle w:val="CharSDivNo"/>
        </w:rPr>
        <w:t>Division 7</w:t>
      </w:r>
      <w:r>
        <w:t> — </w:t>
      </w:r>
      <w:r>
        <w:rPr>
          <w:rStyle w:val="CharSDivText"/>
        </w:rPr>
        <w:t>Park rules</w:t>
      </w:r>
      <w:bookmarkEnd w:id="427"/>
      <w:bookmarkEnd w:id="428"/>
      <w:bookmarkEnd w:id="429"/>
      <w:bookmarkEnd w:id="430"/>
      <w:bookmarkEnd w:id="431"/>
      <w:bookmarkEnd w:id="432"/>
      <w:bookmarkEnd w:id="433"/>
      <w:bookmarkEnd w:id="434"/>
      <w:bookmarkEnd w:id="435"/>
      <w:bookmarkEnd w:id="436"/>
    </w:p>
    <w:p>
      <w:pPr>
        <w:pStyle w:val="PermNoteHeading"/>
      </w:pPr>
      <w:r>
        <w:tab/>
        <w:t>Note for this Division:</w:t>
      </w:r>
    </w:p>
    <w:p>
      <w:pPr>
        <w:pStyle w:val="PermNoteText"/>
      </w:pPr>
      <w:r>
        <w:tab/>
      </w:r>
      <w:r>
        <w:tab/>
        <w:t>In this Division the park operator should set out the park rules for the residential park.</w:t>
      </w:r>
    </w:p>
    <w:p>
      <w:pPr>
        <w:pStyle w:val="yHeading3"/>
        <w:spacing w:before="220"/>
        <w:rPr>
          <w:rStyle w:val="CharSDivText"/>
        </w:rPr>
      </w:pPr>
      <w:bookmarkStart w:id="437" w:name="_Toc7531868"/>
      <w:bookmarkStart w:id="438" w:name="_Toc11075656"/>
      <w:bookmarkStart w:id="439" w:name="_Toc13032675"/>
      <w:bookmarkStart w:id="440" w:name="_Toc13580204"/>
      <w:bookmarkStart w:id="441" w:name="_Toc14700058"/>
      <w:bookmarkStart w:id="442" w:name="_Toc14777486"/>
      <w:bookmarkStart w:id="443" w:name="_Toc14871235"/>
      <w:bookmarkStart w:id="444" w:name="_Toc17279203"/>
      <w:bookmarkStart w:id="445" w:name="_Toc17279315"/>
      <w:bookmarkStart w:id="446" w:name="_Toc17981360"/>
      <w:r>
        <w:rPr>
          <w:rStyle w:val="CharSDivNo"/>
        </w:rPr>
        <w:t>Division 8</w:t>
      </w:r>
      <w:r>
        <w:t> — </w:t>
      </w:r>
      <w:r>
        <w:rPr>
          <w:rStyle w:val="CharSDivText"/>
        </w:rPr>
        <w:t>Information sheet</w:t>
      </w:r>
      <w:bookmarkEnd w:id="437"/>
      <w:bookmarkEnd w:id="438"/>
      <w:bookmarkEnd w:id="439"/>
      <w:bookmarkEnd w:id="440"/>
      <w:bookmarkEnd w:id="441"/>
      <w:bookmarkEnd w:id="442"/>
      <w:bookmarkEnd w:id="443"/>
      <w:bookmarkEnd w:id="444"/>
      <w:bookmarkEnd w:id="445"/>
      <w:bookmarkEnd w:id="446"/>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Next w:val="0"/>
        <w:keepLines/>
        <w:spacing w:before="220"/>
        <w:outlineLvl w:val="9"/>
      </w:pPr>
      <w:bookmarkStart w:id="447" w:name="_Toc7531869"/>
      <w:bookmarkStart w:id="448" w:name="_Toc11075657"/>
      <w:bookmarkStart w:id="449" w:name="_Toc13032676"/>
      <w:bookmarkStart w:id="450" w:name="_Toc13580205"/>
      <w:bookmarkStart w:id="451" w:name="_Toc14700059"/>
      <w:bookmarkStart w:id="452" w:name="_Toc14777487"/>
      <w:bookmarkStart w:id="453" w:name="_Toc14871236"/>
      <w:bookmarkStart w:id="454" w:name="_Toc17279204"/>
      <w:bookmarkStart w:id="455" w:name="_Toc17279316"/>
      <w:bookmarkStart w:id="456" w:name="_Toc17981361"/>
      <w:r>
        <w:rPr>
          <w:rStyle w:val="CharSDivNo"/>
        </w:rPr>
        <w:t>Division 9</w:t>
      </w:r>
      <w:r>
        <w:t> — </w:t>
      </w:r>
      <w:r>
        <w:rPr>
          <w:rStyle w:val="CharSDivText"/>
        </w:rPr>
        <w:t>Acceptance</w:t>
      </w:r>
      <w:bookmarkEnd w:id="447"/>
      <w:bookmarkEnd w:id="448"/>
      <w:bookmarkEnd w:id="449"/>
      <w:bookmarkEnd w:id="450"/>
      <w:bookmarkEnd w:id="451"/>
      <w:bookmarkEnd w:id="452"/>
      <w:bookmarkEnd w:id="453"/>
      <w:bookmarkEnd w:id="454"/>
      <w:bookmarkEnd w:id="455"/>
      <w:bookmarkEnd w:id="45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Lines/>
              <w:rPr>
                <w:sz w:val="18"/>
              </w:rPr>
            </w:pPr>
            <w:r>
              <w:rPr>
                <w:sz w:val="18"/>
              </w:rPr>
              <w:t>By signing this agreement, the parties to this agreement agree to be bound by its terms and conditions.</w:t>
            </w:r>
          </w:p>
          <w:p>
            <w:pPr>
              <w:pStyle w:val="yTable"/>
              <w:keepLines/>
              <w:rPr>
                <w:b/>
                <w:bCs/>
                <w:sz w:val="18"/>
              </w:rPr>
            </w:pPr>
            <w:r>
              <w:rPr>
                <w:b/>
                <w:bCs/>
                <w:sz w:val="18"/>
              </w:rPr>
              <w:t>Park operator / managing real estate agent</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rPr>
                <w:b/>
                <w:bCs/>
                <w:sz w:val="18"/>
              </w:rPr>
            </w:pPr>
            <w:r>
              <w:rPr>
                <w:b/>
                <w:bCs/>
                <w:sz w:val="18"/>
              </w:rPr>
              <w:t>Witness*</w:t>
            </w:r>
          </w:p>
          <w:p>
            <w:pPr>
              <w:pStyle w:val="yTable"/>
              <w:keepLines/>
              <w:rPr>
                <w:sz w:val="18"/>
              </w:rPr>
            </w:pPr>
            <w:r>
              <w:rPr>
                <w:sz w:val="18"/>
              </w:rPr>
              <w:t>Signatory (print name) .......................................................................</w:t>
            </w:r>
          </w:p>
          <w:p>
            <w:pPr>
              <w:pStyle w:val="yTable"/>
              <w:keepLines/>
              <w:rPr>
                <w:sz w:val="18"/>
              </w:rPr>
            </w:pPr>
            <w:r>
              <w:rPr>
                <w:sz w:val="18"/>
              </w:rPr>
              <w:t>Signature ............................................................................................</w:t>
            </w:r>
          </w:p>
          <w:p>
            <w:pPr>
              <w:pStyle w:val="yTable"/>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Lines/>
              <w:tabs>
                <w:tab w:val="left" w:pos="1026"/>
              </w:tabs>
              <w:rPr>
                <w:sz w:val="14"/>
              </w:rPr>
            </w:pPr>
            <w:r>
              <w:rPr>
                <w:sz w:val="14"/>
              </w:rPr>
              <w:tab/>
              <w:t xml:space="preserve"> D D   M M   Y  Y Y  Y</w:t>
            </w:r>
          </w:p>
          <w:p>
            <w:pPr>
              <w:pStyle w:val="yTable"/>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pPr>
      <w:bookmarkStart w:id="457" w:name="_Toc7531870"/>
      <w:bookmarkStart w:id="458" w:name="_Toc11075658"/>
      <w:bookmarkStart w:id="459" w:name="_Toc13032677"/>
      <w:bookmarkStart w:id="460" w:name="_Toc13580206"/>
      <w:bookmarkStart w:id="461" w:name="_Toc14700060"/>
      <w:bookmarkStart w:id="462" w:name="_Toc14777488"/>
      <w:bookmarkStart w:id="463" w:name="_Toc14871237"/>
      <w:bookmarkStart w:id="464" w:name="_Toc17279205"/>
      <w:bookmarkStart w:id="465" w:name="_Toc17279317"/>
      <w:bookmarkStart w:id="466" w:name="_Toc17981362"/>
      <w:r>
        <w:rPr>
          <w:rStyle w:val="CharSDivNo"/>
        </w:rPr>
        <w:t>Division 10</w:t>
      </w:r>
      <w:r>
        <w:t> — </w:t>
      </w:r>
      <w:r>
        <w:rPr>
          <w:rStyle w:val="CharSDivText"/>
        </w:rPr>
        <w:t>Tenant’s checklist</w:t>
      </w:r>
      <w:bookmarkEnd w:id="457"/>
      <w:bookmarkEnd w:id="458"/>
      <w:bookmarkEnd w:id="459"/>
      <w:bookmarkEnd w:id="460"/>
      <w:bookmarkEnd w:id="461"/>
      <w:bookmarkEnd w:id="462"/>
      <w:bookmarkEnd w:id="463"/>
      <w:bookmarkEnd w:id="464"/>
      <w:bookmarkEnd w:id="465"/>
      <w:bookmarkEnd w:id="46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
      <w:pPr>
        <w:pStyle w:val="yScheduleHeading"/>
        <w:keepNext w:val="0"/>
        <w:spacing w:before="60"/>
        <w:ind w:left="317" w:hanging="317"/>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68" w:name="_Toc7531871"/>
      <w:bookmarkStart w:id="469" w:name="_Toc11075659"/>
      <w:bookmarkStart w:id="470" w:name="_Toc13032678"/>
      <w:bookmarkStart w:id="471" w:name="_Toc13580207"/>
      <w:bookmarkStart w:id="472" w:name="_Toc14700061"/>
      <w:bookmarkStart w:id="473" w:name="_Toc14777489"/>
      <w:bookmarkStart w:id="474" w:name="_Toc14871238"/>
      <w:bookmarkStart w:id="475" w:name="_Toc17279206"/>
      <w:bookmarkStart w:id="476" w:name="_Toc17279318"/>
      <w:bookmarkStart w:id="477" w:name="_Toc17981363"/>
      <w:r>
        <w:rPr>
          <w:rStyle w:val="CharSchNo"/>
        </w:rPr>
        <w:t>Schedule 5</w:t>
      </w:r>
      <w:r>
        <w:t> — </w:t>
      </w:r>
      <w:r>
        <w:rPr>
          <w:rStyle w:val="CharSchText"/>
        </w:rPr>
        <w:t>Condition report</w:t>
      </w:r>
      <w:bookmarkEnd w:id="468"/>
      <w:bookmarkEnd w:id="469"/>
      <w:bookmarkEnd w:id="470"/>
      <w:bookmarkEnd w:id="471"/>
      <w:bookmarkEnd w:id="472"/>
      <w:bookmarkEnd w:id="473"/>
      <w:bookmarkEnd w:id="474"/>
      <w:bookmarkEnd w:id="475"/>
      <w:bookmarkEnd w:id="476"/>
      <w:bookmarkEnd w:id="477"/>
    </w:p>
    <w:p>
      <w:pPr>
        <w:pStyle w:val="yShoulderClause"/>
      </w:pPr>
      <w:r>
        <w:t>[r. 8(1)]</w:t>
      </w:r>
    </w:p>
    <w:p>
      <w:pPr>
        <w:pStyle w:val="yHeading5"/>
      </w:pPr>
      <w:bookmarkStart w:id="478" w:name="_Toc17981364"/>
      <w:r>
        <w:rPr>
          <w:rStyle w:val="CharSClsNo"/>
        </w:rPr>
        <w:t>1</w:t>
      </w:r>
      <w:r>
        <w:t>.</w:t>
      </w:r>
      <w:r>
        <w:tab/>
        <w:t>On</w:t>
      </w:r>
      <w:r>
        <w:noBreakHyphen/>
        <w:t>site home</w:t>
      </w:r>
      <w:bookmarkEnd w:id="47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Bathroom</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ageBreakBefore/>
        <w:spacing w:before="0"/>
      </w:pPr>
      <w:bookmarkStart w:id="479" w:name="_Toc17981365"/>
      <w:r>
        <w:rPr>
          <w:rStyle w:val="CharSClsNo"/>
        </w:rPr>
        <w:t>2</w:t>
      </w:r>
      <w:r>
        <w:t>.</w:t>
      </w:r>
      <w:r>
        <w:tab/>
        <w:t>Site</w:t>
      </w:r>
      <w:bookmarkEnd w:id="47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480" w:name="_Toc17981366"/>
      <w:r>
        <w:rPr>
          <w:rStyle w:val="CharSClsNo"/>
        </w:rPr>
        <w:t>3</w:t>
      </w:r>
      <w:r>
        <w:t>.</w:t>
      </w:r>
      <w:r>
        <w:tab/>
        <w:t>Specific work to be undertaken by park operator</w:t>
      </w:r>
      <w:bookmarkEnd w:id="480"/>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481" w:name="_Toc17981367"/>
      <w:r>
        <w:rPr>
          <w:rStyle w:val="CharSClsNo"/>
        </w:rPr>
        <w:t>4</w:t>
      </w:r>
      <w:r>
        <w:t>.</w:t>
      </w:r>
      <w:r>
        <w:tab/>
        <w:t>Signatures</w:t>
      </w:r>
      <w:bookmarkEnd w:id="481"/>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ScheduleHeading"/>
      </w:pPr>
      <w:bookmarkStart w:id="482" w:name="_Toc7531876"/>
      <w:bookmarkStart w:id="483" w:name="_Toc11075664"/>
      <w:bookmarkStart w:id="484" w:name="_Toc13032683"/>
      <w:bookmarkStart w:id="485" w:name="_Toc13580212"/>
      <w:bookmarkStart w:id="486" w:name="_Toc14700066"/>
      <w:bookmarkStart w:id="487" w:name="_Toc14777494"/>
      <w:bookmarkStart w:id="488" w:name="_Toc14871243"/>
      <w:bookmarkStart w:id="489" w:name="_Toc17279211"/>
      <w:bookmarkStart w:id="490" w:name="_Toc17279323"/>
      <w:bookmarkStart w:id="491" w:name="_Toc17981368"/>
      <w:r>
        <w:rPr>
          <w:rStyle w:val="CharSchNo"/>
        </w:rPr>
        <w:t>Schedule 6</w:t>
      </w:r>
      <w:r>
        <w:t> — </w:t>
      </w:r>
      <w:r>
        <w:rPr>
          <w:rStyle w:val="CharSchText"/>
        </w:rPr>
        <w:t>Information sheet (on</w:t>
      </w:r>
      <w:r>
        <w:rPr>
          <w:rStyle w:val="CharSchText"/>
        </w:rPr>
        <w:noBreakHyphen/>
        <w:t>site home agreement)</w:t>
      </w:r>
      <w:bookmarkEnd w:id="482"/>
      <w:bookmarkEnd w:id="483"/>
      <w:bookmarkEnd w:id="484"/>
      <w:bookmarkEnd w:id="485"/>
      <w:bookmarkEnd w:id="486"/>
      <w:bookmarkEnd w:id="487"/>
      <w:bookmarkEnd w:id="488"/>
      <w:bookmarkEnd w:id="489"/>
      <w:bookmarkEnd w:id="490"/>
      <w:bookmarkEnd w:id="491"/>
    </w:p>
    <w:p>
      <w:pPr>
        <w:pStyle w:val="yShoulderClause"/>
      </w:pPr>
      <w:r>
        <w:t>[r. 9(1)(a)]</w:t>
      </w:r>
    </w:p>
    <w:p>
      <w:pPr>
        <w:pStyle w:val="yHeading5"/>
      </w:pPr>
      <w:bookmarkStart w:id="492" w:name="_Toc17981369"/>
      <w:r>
        <w:rPr>
          <w:rStyle w:val="CharSClsNo"/>
        </w:rPr>
        <w:t>1</w:t>
      </w:r>
      <w:r>
        <w:t>.</w:t>
      </w:r>
      <w:r>
        <w:tab/>
        <w:t>Additional persons residing on a temporary basis on the agreed premises</w:t>
      </w:r>
      <w:bookmarkEnd w:id="492"/>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2818</w:t>
      </w:r>
      <w:r>
        <w:noBreakHyphen/>
        <w:t>19.]</w:t>
      </w:r>
    </w:p>
    <w:p>
      <w:pPr>
        <w:pStyle w:val="yHeading5"/>
      </w:pPr>
      <w:bookmarkStart w:id="493" w:name="_Toc17981370"/>
      <w:r>
        <w:rPr>
          <w:rStyle w:val="CharSClsNo"/>
        </w:rPr>
        <w:t>2</w:t>
      </w:r>
      <w:r>
        <w:t>.</w:t>
      </w:r>
      <w:r>
        <w:tab/>
        <w:t>Services and utilities</w:t>
      </w:r>
      <w:bookmarkEnd w:id="493"/>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keepNext/>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494" w:name="_Toc17981371"/>
      <w:r>
        <w:rPr>
          <w:rStyle w:val="CharSClsNo"/>
        </w:rPr>
        <w:t>3</w:t>
      </w:r>
      <w:r>
        <w:t>.</w:t>
      </w:r>
      <w:r>
        <w:tab/>
        <w:t>Pets</w:t>
      </w:r>
      <w:bookmarkEnd w:id="49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495" w:name="_Toc17981372"/>
      <w:r>
        <w:rPr>
          <w:rStyle w:val="CharSClsNo"/>
        </w:rPr>
        <w:t>4</w:t>
      </w:r>
      <w:r>
        <w:t>.</w:t>
      </w:r>
      <w:r>
        <w:tab/>
        <w:t>Shared premises and facilities</w:t>
      </w:r>
      <w:bookmarkEnd w:id="495"/>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496" w:name="_Toc17981373"/>
      <w:r>
        <w:rPr>
          <w:rStyle w:val="CharSClsNo"/>
        </w:rPr>
        <w:t>5</w:t>
      </w:r>
      <w:r>
        <w:t>.</w:t>
      </w:r>
      <w:r>
        <w:tab/>
        <w:t>Parking</w:t>
      </w:r>
      <w:bookmarkEnd w:id="496"/>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497" w:name="_Toc17981374"/>
      <w:r>
        <w:rPr>
          <w:rStyle w:val="CharSClsNo"/>
        </w:rPr>
        <w:t>6</w:t>
      </w:r>
      <w:r>
        <w:t>.</w:t>
      </w:r>
      <w:r>
        <w:tab/>
        <w:t>Sub</w:t>
      </w:r>
      <w:r>
        <w:noBreakHyphen/>
        <w:t>letting or otherwise assigning the agreed premises</w:t>
      </w:r>
      <w:bookmarkEnd w:id="49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498" w:name="_Toc17981375"/>
      <w:r>
        <w:rPr>
          <w:rStyle w:val="CharSClsNo"/>
        </w:rPr>
        <w:t>7</w:t>
      </w:r>
      <w:r>
        <w:t>.</w:t>
      </w:r>
      <w:r>
        <w:tab/>
        <w:t>Restrictions on use of site</w:t>
      </w:r>
      <w:bookmarkEnd w:id="49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499" w:name="_Toc17981376"/>
      <w:r>
        <w:rPr>
          <w:rStyle w:val="CharSClsNo"/>
        </w:rPr>
        <w:t>8</w:t>
      </w:r>
      <w:r>
        <w:t>.</w:t>
      </w:r>
      <w:r>
        <w:tab/>
        <w:t>Insurance requirements</w:t>
      </w:r>
      <w:bookmarkEnd w:id="499"/>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500" w:name="_Toc17981377"/>
      <w:r>
        <w:rPr>
          <w:rStyle w:val="CharSClsNo"/>
        </w:rPr>
        <w:t>9</w:t>
      </w:r>
      <w:r>
        <w:t>.</w:t>
      </w:r>
      <w:r>
        <w:tab/>
        <w:t>Requirements on tenants regarding gardening maintenance</w:t>
      </w:r>
      <w:bookmarkEnd w:id="50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501" w:name="_Toc17981378"/>
      <w:r>
        <w:rPr>
          <w:rStyle w:val="CharSClsNo"/>
        </w:rPr>
        <w:t>10</w:t>
      </w:r>
      <w:r>
        <w:t>.</w:t>
      </w:r>
      <w:r>
        <w:tab/>
        <w:t>Park liaison committee</w:t>
      </w:r>
      <w:bookmarkEnd w:id="50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502" w:name="_Toc7531887"/>
      <w:bookmarkStart w:id="503" w:name="_Toc11075675"/>
      <w:bookmarkStart w:id="504" w:name="_Toc13032694"/>
      <w:bookmarkStart w:id="505" w:name="_Toc13580223"/>
      <w:bookmarkStart w:id="506" w:name="_Toc14700077"/>
      <w:bookmarkStart w:id="507" w:name="_Toc14777505"/>
      <w:bookmarkStart w:id="508" w:name="_Toc14871254"/>
      <w:bookmarkStart w:id="509" w:name="_Toc17279222"/>
      <w:bookmarkStart w:id="510" w:name="_Toc17279334"/>
      <w:bookmarkStart w:id="511" w:name="_Toc17981379"/>
      <w:r>
        <w:rPr>
          <w:rStyle w:val="CharSchNo"/>
        </w:rPr>
        <w:t>Schedule 7</w:t>
      </w:r>
      <w:r>
        <w:t> — </w:t>
      </w:r>
      <w:r>
        <w:rPr>
          <w:rStyle w:val="CharSchText"/>
        </w:rPr>
        <w:t>Information sheet (site</w:t>
      </w:r>
      <w:r>
        <w:rPr>
          <w:rStyle w:val="CharSchText"/>
        </w:rPr>
        <w:noBreakHyphen/>
        <w:t>only agreement)</w:t>
      </w:r>
      <w:bookmarkEnd w:id="502"/>
      <w:bookmarkEnd w:id="503"/>
      <w:bookmarkEnd w:id="504"/>
      <w:bookmarkEnd w:id="505"/>
      <w:bookmarkEnd w:id="506"/>
      <w:bookmarkEnd w:id="507"/>
      <w:bookmarkEnd w:id="508"/>
      <w:bookmarkEnd w:id="509"/>
      <w:bookmarkEnd w:id="510"/>
      <w:bookmarkEnd w:id="511"/>
    </w:p>
    <w:p>
      <w:pPr>
        <w:pStyle w:val="yShoulderClause"/>
      </w:pPr>
      <w:r>
        <w:t>[r. 9(1)(b)]</w:t>
      </w:r>
    </w:p>
    <w:p>
      <w:pPr>
        <w:pStyle w:val="yHeading5"/>
      </w:pPr>
      <w:bookmarkStart w:id="512" w:name="_Toc17981380"/>
      <w:r>
        <w:rPr>
          <w:rStyle w:val="CharSClsNo"/>
        </w:rPr>
        <w:t>1</w:t>
      </w:r>
      <w:r>
        <w:t>.</w:t>
      </w:r>
      <w:r>
        <w:tab/>
        <w:t>Additional persons residing on a temporary basis on the agreed premises</w:t>
      </w:r>
      <w:bookmarkEnd w:id="51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2819</w:t>
      </w:r>
      <w:r>
        <w:noBreakHyphen/>
        <w:t>20.]</w:t>
      </w:r>
    </w:p>
    <w:p>
      <w:pPr>
        <w:pStyle w:val="yHeading5"/>
        <w:tabs>
          <w:tab w:val="clear" w:pos="879"/>
        </w:tabs>
      </w:pPr>
      <w:bookmarkStart w:id="513" w:name="_Toc17981381"/>
      <w:r>
        <w:rPr>
          <w:rStyle w:val="CharSClsNo"/>
        </w:rPr>
        <w:t>2</w:t>
      </w:r>
      <w:r>
        <w:t>.</w:t>
      </w:r>
      <w:r>
        <w:tab/>
        <w:t>Services and utilities</w:t>
      </w:r>
      <w:bookmarkEnd w:id="513"/>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514" w:name="_Toc17981382"/>
      <w:r>
        <w:rPr>
          <w:rStyle w:val="CharSClsNo"/>
        </w:rPr>
        <w:t>3</w:t>
      </w:r>
      <w:r>
        <w:t>.</w:t>
      </w:r>
      <w:r>
        <w:tab/>
        <w:t>Pets</w:t>
      </w:r>
      <w:bookmarkEnd w:id="51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515" w:name="_Toc17981383"/>
      <w:r>
        <w:rPr>
          <w:rStyle w:val="CharSClsNo"/>
        </w:rPr>
        <w:t>4</w:t>
      </w:r>
      <w:r>
        <w:t>.</w:t>
      </w:r>
      <w:r>
        <w:tab/>
        <w:t>Shared premises and facilities</w:t>
      </w:r>
      <w:bookmarkEnd w:id="515"/>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516" w:name="_Toc17981384"/>
      <w:r>
        <w:rPr>
          <w:rStyle w:val="CharSClsNo"/>
        </w:rPr>
        <w:t>5</w:t>
      </w:r>
      <w:r>
        <w:t>.</w:t>
      </w:r>
      <w:r>
        <w:tab/>
        <w:t>Parking</w:t>
      </w:r>
      <w:bookmarkEnd w:id="516"/>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517" w:name="_Toc17981385"/>
      <w:r>
        <w:rPr>
          <w:rStyle w:val="CharSClsNo"/>
        </w:rPr>
        <w:t>6</w:t>
      </w:r>
      <w:r>
        <w:t>.</w:t>
      </w:r>
      <w:r>
        <w:tab/>
        <w:t>Selling a relocatable home or sub</w:t>
      </w:r>
      <w:r>
        <w:noBreakHyphen/>
        <w:t>letting or otherwise assigning the agreed premises</w:t>
      </w:r>
      <w:bookmarkEnd w:id="51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518" w:name="_Toc17981386"/>
      <w:r>
        <w:rPr>
          <w:rStyle w:val="CharSClsNo"/>
        </w:rPr>
        <w:t>7</w:t>
      </w:r>
      <w:r>
        <w:t>.</w:t>
      </w:r>
      <w:r>
        <w:tab/>
        <w:t>Restrictions on use of site</w:t>
      </w:r>
      <w:bookmarkEnd w:id="51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519" w:name="_Toc17981387"/>
      <w:r>
        <w:rPr>
          <w:rStyle w:val="CharSClsNo"/>
        </w:rPr>
        <w:t>8</w:t>
      </w:r>
      <w:r>
        <w:t>.</w:t>
      </w:r>
      <w:r>
        <w:tab/>
        <w:t>Insurance requirements</w:t>
      </w:r>
      <w:bookmarkEnd w:id="51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520" w:name="_Toc17981388"/>
      <w:r>
        <w:rPr>
          <w:rStyle w:val="CharSClsNo"/>
        </w:rPr>
        <w:t>9</w:t>
      </w:r>
      <w:r>
        <w:t>.</w:t>
      </w:r>
      <w:r>
        <w:tab/>
        <w:t>Requirements on tenants regarding gardening maintenance</w:t>
      </w:r>
      <w:bookmarkEnd w:id="52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521" w:name="_Toc17981389"/>
      <w:r>
        <w:rPr>
          <w:rStyle w:val="CharSClsNo"/>
        </w:rPr>
        <w:t>10</w:t>
      </w:r>
      <w:r>
        <w:t>.</w:t>
      </w:r>
      <w:r>
        <w:tab/>
        <w:t>Park liaison committee</w:t>
      </w:r>
      <w:bookmarkEnd w:id="52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keepNext/>
              <w:ind w:left="1168" w:hanging="567"/>
            </w:pPr>
            <w:r>
              <w:sym w:font="Wingdings 2" w:char="F097"/>
            </w:r>
            <w:r>
              <w:tab/>
              <w:t>what are its procedures?</w:t>
            </w:r>
          </w:p>
        </w:tc>
        <w:tc>
          <w:tcPr>
            <w:tcW w:w="1559" w:type="dxa"/>
          </w:tcPr>
          <w:p>
            <w:pPr>
              <w:pStyle w:val="yTable"/>
              <w:keepNext/>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522" w:name="_Toc7531898"/>
      <w:bookmarkStart w:id="523" w:name="_Toc11075686"/>
      <w:bookmarkStart w:id="524" w:name="_Toc13032705"/>
      <w:bookmarkStart w:id="525" w:name="_Toc13580234"/>
      <w:bookmarkStart w:id="526" w:name="_Toc14700088"/>
      <w:bookmarkStart w:id="527" w:name="_Toc14777516"/>
      <w:bookmarkStart w:id="528" w:name="_Toc14871265"/>
      <w:bookmarkStart w:id="529" w:name="_Toc17279233"/>
      <w:bookmarkStart w:id="530" w:name="_Toc17279345"/>
      <w:bookmarkStart w:id="531" w:name="_Toc17981390"/>
      <w:r>
        <w:rPr>
          <w:rStyle w:val="CharSchNo"/>
        </w:rPr>
        <w:t>Schedule 8</w:t>
      </w:r>
      <w:r>
        <w:rPr>
          <w:rStyle w:val="CharSDivNo"/>
        </w:rPr>
        <w:t> </w:t>
      </w:r>
      <w:r>
        <w:t>—</w:t>
      </w:r>
      <w:r>
        <w:rPr>
          <w:rStyle w:val="CharSDivText"/>
        </w:rPr>
        <w:t> </w:t>
      </w:r>
      <w:r>
        <w:rPr>
          <w:rStyle w:val="CharSchText"/>
        </w:rPr>
        <w:t>Prescribed classes of payment</w:t>
      </w:r>
      <w:bookmarkEnd w:id="522"/>
      <w:bookmarkEnd w:id="523"/>
      <w:bookmarkEnd w:id="524"/>
      <w:bookmarkEnd w:id="525"/>
      <w:bookmarkEnd w:id="526"/>
      <w:bookmarkEnd w:id="527"/>
      <w:bookmarkEnd w:id="528"/>
      <w:bookmarkEnd w:id="529"/>
      <w:bookmarkEnd w:id="530"/>
      <w:bookmarkEnd w:id="531"/>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p>
    <w:p>
      <w:pPr>
        <w:pStyle w:val="yFootnotesection"/>
      </w:pPr>
      <w:r>
        <w:tab/>
        <w:t>[Schedule 8 amended: Gazette 5 Jul 2011 p. 2820.]</w:t>
      </w:r>
    </w:p>
    <w:p>
      <w:pPr>
        <w:pStyle w:val="yNumberedItem"/>
        <w:rPr>
          <w:rStyle w:val="CharSch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532" w:name="_Toc7531899"/>
      <w:bookmarkStart w:id="533" w:name="_Toc11075687"/>
      <w:bookmarkStart w:id="534" w:name="_Toc13032706"/>
      <w:bookmarkStart w:id="535" w:name="_Toc13580235"/>
      <w:bookmarkStart w:id="536" w:name="_Toc14700089"/>
      <w:bookmarkStart w:id="537" w:name="_Toc14777517"/>
      <w:bookmarkStart w:id="538" w:name="_Toc14871266"/>
      <w:bookmarkStart w:id="539" w:name="_Toc17279234"/>
      <w:bookmarkStart w:id="540" w:name="_Toc17279346"/>
      <w:bookmarkStart w:id="541" w:name="_Toc17981391"/>
      <w:r>
        <w:rPr>
          <w:rStyle w:val="CharSchNo"/>
        </w:rPr>
        <w:t>Schedule 9</w:t>
      </w:r>
      <w:r>
        <w:t> — </w:t>
      </w:r>
      <w:r>
        <w:rPr>
          <w:rStyle w:val="CharSchText"/>
        </w:rPr>
        <w:t>Default notice</w:t>
      </w:r>
      <w:bookmarkEnd w:id="532"/>
      <w:bookmarkEnd w:id="533"/>
      <w:bookmarkEnd w:id="534"/>
      <w:bookmarkEnd w:id="535"/>
      <w:bookmarkEnd w:id="536"/>
      <w:bookmarkEnd w:id="537"/>
      <w:bookmarkEnd w:id="538"/>
      <w:bookmarkEnd w:id="539"/>
      <w:bookmarkEnd w:id="540"/>
      <w:bookmarkEnd w:id="541"/>
    </w:p>
    <w:p>
      <w:pPr>
        <w:pStyle w:val="yShoulderClause"/>
      </w:pPr>
      <w:r>
        <w:t>[r. 12]</w:t>
      </w:r>
    </w:p>
    <w:p>
      <w:pPr>
        <w:pStyle w:val="yHeading3"/>
      </w:pPr>
      <w:bookmarkStart w:id="542" w:name="_Toc7531900"/>
      <w:bookmarkStart w:id="543" w:name="_Toc11075688"/>
      <w:bookmarkStart w:id="544" w:name="_Toc13032707"/>
      <w:bookmarkStart w:id="545" w:name="_Toc13580236"/>
      <w:bookmarkStart w:id="546" w:name="_Toc14700090"/>
      <w:bookmarkStart w:id="547" w:name="_Toc14777518"/>
      <w:bookmarkStart w:id="548" w:name="_Toc14871267"/>
      <w:bookmarkStart w:id="549" w:name="_Toc17279235"/>
      <w:bookmarkStart w:id="550" w:name="_Toc17279347"/>
      <w:bookmarkStart w:id="551" w:name="_Toc17981392"/>
      <w:r>
        <w:rPr>
          <w:rStyle w:val="CharSDivNo"/>
        </w:rPr>
        <w:t>Division 1</w:t>
      </w:r>
      <w:r>
        <w:t> — </w:t>
      </w:r>
      <w:r>
        <w:rPr>
          <w:rStyle w:val="CharSDivText"/>
        </w:rPr>
        <w:t>Termination for non</w:t>
      </w:r>
      <w:r>
        <w:rPr>
          <w:rStyle w:val="CharSDivText"/>
        </w:rPr>
        <w:noBreakHyphen/>
        <w:t>payment of rent</w:t>
      </w:r>
      <w:bookmarkEnd w:id="542"/>
      <w:bookmarkEnd w:id="543"/>
      <w:bookmarkEnd w:id="544"/>
      <w:bookmarkEnd w:id="545"/>
      <w:bookmarkEnd w:id="546"/>
      <w:bookmarkEnd w:id="547"/>
      <w:bookmarkEnd w:id="548"/>
      <w:bookmarkEnd w:id="549"/>
      <w:bookmarkEnd w:id="550"/>
      <w:bookmarkEnd w:id="55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w:t>
      </w:r>
    </w:p>
    <w:p>
      <w:pPr>
        <w:pStyle w:val="yHeading3"/>
      </w:pPr>
      <w:bookmarkStart w:id="552" w:name="_Toc7531901"/>
      <w:bookmarkStart w:id="553" w:name="_Toc11075689"/>
      <w:bookmarkStart w:id="554" w:name="_Toc13032708"/>
      <w:bookmarkStart w:id="555" w:name="_Toc13580237"/>
      <w:bookmarkStart w:id="556" w:name="_Toc14700091"/>
      <w:bookmarkStart w:id="557" w:name="_Toc14777519"/>
      <w:bookmarkStart w:id="558" w:name="_Toc14871268"/>
      <w:bookmarkStart w:id="559" w:name="_Toc17279236"/>
      <w:bookmarkStart w:id="560" w:name="_Toc17279348"/>
      <w:bookmarkStart w:id="561" w:name="_Toc17981393"/>
      <w:r>
        <w:rPr>
          <w:rStyle w:val="CharSDivNo"/>
        </w:rPr>
        <w:t>Division 2</w:t>
      </w:r>
      <w:r>
        <w:t> — </w:t>
      </w:r>
      <w:r>
        <w:rPr>
          <w:rStyle w:val="CharSDivText"/>
        </w:rPr>
        <w:t>Termination for other breach of agreement</w:t>
      </w:r>
      <w:bookmarkEnd w:id="552"/>
      <w:bookmarkEnd w:id="553"/>
      <w:bookmarkEnd w:id="554"/>
      <w:bookmarkEnd w:id="555"/>
      <w:bookmarkEnd w:id="556"/>
      <w:bookmarkEnd w:id="557"/>
      <w:bookmarkEnd w:id="558"/>
      <w:bookmarkEnd w:id="559"/>
      <w:bookmarkEnd w:id="560"/>
      <w:bookmarkEnd w:id="56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w:t>
      </w:r>
    </w:p>
    <w:p>
      <w:pPr>
        <w:pStyle w:val="yScheduleHeading"/>
      </w:pPr>
      <w:bookmarkStart w:id="562" w:name="_Toc7531902"/>
      <w:bookmarkStart w:id="563" w:name="_Toc11075690"/>
      <w:bookmarkStart w:id="564" w:name="_Toc13032709"/>
      <w:bookmarkStart w:id="565" w:name="_Toc13580238"/>
      <w:bookmarkStart w:id="566" w:name="_Toc14700092"/>
      <w:bookmarkStart w:id="567" w:name="_Toc14777520"/>
      <w:bookmarkStart w:id="568" w:name="_Toc14871269"/>
      <w:bookmarkStart w:id="569" w:name="_Toc17279237"/>
      <w:bookmarkStart w:id="570" w:name="_Toc17279349"/>
      <w:bookmarkStart w:id="571" w:name="_Toc17981394"/>
      <w:r>
        <w:rPr>
          <w:rStyle w:val="CharSchNo"/>
        </w:rPr>
        <w:t>Schedule 10</w:t>
      </w:r>
      <w:r>
        <w:t> — </w:t>
      </w:r>
      <w:r>
        <w:rPr>
          <w:rStyle w:val="CharSchText"/>
        </w:rPr>
        <w:t>Notice of termination</w:t>
      </w:r>
      <w:bookmarkEnd w:id="562"/>
      <w:bookmarkEnd w:id="563"/>
      <w:bookmarkEnd w:id="564"/>
      <w:bookmarkEnd w:id="565"/>
      <w:bookmarkEnd w:id="566"/>
      <w:bookmarkEnd w:id="567"/>
      <w:bookmarkEnd w:id="568"/>
      <w:bookmarkEnd w:id="569"/>
      <w:bookmarkEnd w:id="570"/>
      <w:bookmarkEnd w:id="571"/>
    </w:p>
    <w:p>
      <w:pPr>
        <w:pStyle w:val="yShoulderClause"/>
      </w:pPr>
      <w:r>
        <w:t>[r. 13]</w:t>
      </w:r>
    </w:p>
    <w:p>
      <w:pPr>
        <w:pStyle w:val="yHeading3"/>
      </w:pPr>
      <w:bookmarkStart w:id="572" w:name="_Toc7531903"/>
      <w:bookmarkStart w:id="573" w:name="_Toc11075691"/>
      <w:bookmarkStart w:id="574" w:name="_Toc13032710"/>
      <w:bookmarkStart w:id="575" w:name="_Toc13580239"/>
      <w:bookmarkStart w:id="576" w:name="_Toc14700093"/>
      <w:bookmarkStart w:id="577" w:name="_Toc14777521"/>
      <w:bookmarkStart w:id="578" w:name="_Toc14871270"/>
      <w:bookmarkStart w:id="579" w:name="_Toc17279238"/>
      <w:bookmarkStart w:id="580" w:name="_Toc17279350"/>
      <w:bookmarkStart w:id="581" w:name="_Toc17981395"/>
      <w:r>
        <w:rPr>
          <w:rStyle w:val="CharSDivNo"/>
        </w:rPr>
        <w:t>Division 1</w:t>
      </w:r>
      <w:r>
        <w:t> — </w:t>
      </w:r>
      <w:r>
        <w:rPr>
          <w:rStyle w:val="CharSDivText"/>
        </w:rPr>
        <w:t>Termination by park operator</w:t>
      </w:r>
      <w:bookmarkEnd w:id="572"/>
      <w:bookmarkEnd w:id="573"/>
      <w:bookmarkEnd w:id="574"/>
      <w:bookmarkEnd w:id="575"/>
      <w:bookmarkEnd w:id="576"/>
      <w:bookmarkEnd w:id="577"/>
      <w:bookmarkEnd w:id="578"/>
      <w:bookmarkEnd w:id="579"/>
      <w:bookmarkEnd w:id="580"/>
      <w:bookmarkEnd w:id="581"/>
    </w:p>
    <w:p>
      <w:pPr>
        <w:pStyle w:val="yHeading4"/>
      </w:pPr>
      <w:bookmarkStart w:id="582" w:name="_Toc7531904"/>
      <w:bookmarkStart w:id="583" w:name="_Toc11075692"/>
      <w:bookmarkStart w:id="584" w:name="_Toc13032711"/>
      <w:bookmarkStart w:id="585" w:name="_Toc13580240"/>
      <w:bookmarkStart w:id="586" w:name="_Toc14700094"/>
      <w:bookmarkStart w:id="587" w:name="_Toc14777522"/>
      <w:bookmarkStart w:id="588" w:name="_Toc14871271"/>
      <w:bookmarkStart w:id="589" w:name="_Toc17279239"/>
      <w:bookmarkStart w:id="590" w:name="_Toc17279351"/>
      <w:bookmarkStart w:id="591" w:name="_Toc17981396"/>
      <w:r>
        <w:t>Subdivision 1</w:t>
      </w:r>
      <w:r>
        <w:rPr>
          <w:b w:val="0"/>
        </w:rPr>
        <w:t> — </w:t>
      </w:r>
      <w:r>
        <w:t>Termination for non</w:t>
      </w:r>
      <w:r>
        <w:noBreakHyphen/>
        <w:t>payment of rent (default notice issued)</w:t>
      </w:r>
      <w:bookmarkEnd w:id="582"/>
      <w:bookmarkEnd w:id="583"/>
      <w:bookmarkEnd w:id="584"/>
      <w:bookmarkEnd w:id="585"/>
      <w:bookmarkEnd w:id="586"/>
      <w:bookmarkEnd w:id="587"/>
      <w:bookmarkEnd w:id="588"/>
      <w:bookmarkEnd w:id="589"/>
      <w:bookmarkEnd w:id="590"/>
      <w:bookmarkEnd w:id="59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given a default notice to the tenant in relation to that breach.</w:t>
            </w:r>
          </w:p>
          <w:p>
            <w:pPr>
              <w:pStyle w:val="yTable"/>
              <w:keepNext/>
              <w:keepLines/>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keepNext/>
              <w:keepLines/>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keepNext/>
              <w:keepLines/>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specified in the default notice as the day by which the rent was required to be paid.</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592" w:name="_Toc7531905"/>
      <w:bookmarkStart w:id="593" w:name="_Toc11075693"/>
      <w:bookmarkStart w:id="594" w:name="_Toc13032712"/>
      <w:bookmarkStart w:id="595" w:name="_Toc13580241"/>
      <w:bookmarkStart w:id="596" w:name="_Toc14700095"/>
      <w:bookmarkStart w:id="597" w:name="_Toc14777523"/>
      <w:bookmarkStart w:id="598" w:name="_Toc14871272"/>
      <w:bookmarkStart w:id="599" w:name="_Toc17279240"/>
      <w:bookmarkStart w:id="600" w:name="_Toc17279352"/>
      <w:bookmarkStart w:id="601" w:name="_Toc17981397"/>
      <w:r>
        <w:t>Subdivision 2</w:t>
      </w:r>
      <w:r>
        <w:rPr>
          <w:b w:val="0"/>
        </w:rPr>
        <w:t> — </w:t>
      </w:r>
      <w:r>
        <w:t>Termination for non</w:t>
      </w:r>
      <w:r>
        <w:noBreakHyphen/>
        <w:t>payment of rent (no default notice issued)</w:t>
      </w:r>
      <w:bookmarkEnd w:id="592"/>
      <w:bookmarkEnd w:id="593"/>
      <w:bookmarkEnd w:id="594"/>
      <w:bookmarkEnd w:id="595"/>
      <w:bookmarkEnd w:id="596"/>
      <w:bookmarkEnd w:id="597"/>
      <w:bookmarkEnd w:id="598"/>
      <w:bookmarkEnd w:id="599"/>
      <w:bookmarkEnd w:id="600"/>
      <w:bookmarkEnd w:id="60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NOT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w:t>
            </w:r>
          </w:p>
          <w:p>
            <w:pPr>
              <w:pStyle w:val="yTable"/>
              <w:spacing w:before="120"/>
              <w:rPr>
                <w:rFonts w:ascii="Arial" w:hAnsi="Arial" w:cs="Arial"/>
                <w:sz w:val="14"/>
                <w:szCs w:val="14"/>
              </w:rPr>
            </w:pPr>
            <w:r>
              <w:rPr>
                <w:rFonts w:ascii="Arial" w:hAnsi="Arial" w:cs="Arial"/>
                <w:sz w:val="14"/>
                <w:szCs w:val="14"/>
              </w:rPr>
              <w:t>If rent is not outstanding, you should provide proof of the payment of that rent to the park operator.</w:t>
            </w:r>
          </w:p>
          <w:p>
            <w:pPr>
              <w:pStyle w:val="yTable"/>
              <w:spacing w:before="120"/>
              <w:rPr>
                <w:rFonts w:ascii="Arial" w:hAnsi="Arial" w:cs="Arial"/>
                <w:sz w:val="14"/>
                <w:szCs w:val="14"/>
              </w:rPr>
            </w:pPr>
            <w:r>
              <w:rPr>
                <w:rFonts w:ascii="Arial" w:hAnsi="Arial" w:cs="Arial"/>
                <w:sz w:val="14"/>
                <w:szCs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on which this notice is given to the tenant.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602" w:name="_Toc7531906"/>
      <w:bookmarkStart w:id="603" w:name="_Toc11075694"/>
      <w:bookmarkStart w:id="604" w:name="_Toc13032713"/>
      <w:bookmarkStart w:id="605" w:name="_Toc13580242"/>
      <w:bookmarkStart w:id="606" w:name="_Toc14700096"/>
      <w:bookmarkStart w:id="607" w:name="_Toc14777524"/>
      <w:bookmarkStart w:id="608" w:name="_Toc14871273"/>
      <w:bookmarkStart w:id="609" w:name="_Toc17279241"/>
      <w:bookmarkStart w:id="610" w:name="_Toc17279353"/>
      <w:bookmarkStart w:id="611" w:name="_Toc17981398"/>
      <w:r>
        <w:t>Subdivision 3</w:t>
      </w:r>
      <w:r>
        <w:rPr>
          <w:b w:val="0"/>
        </w:rPr>
        <w:t> — </w:t>
      </w:r>
      <w:r>
        <w:t>Termination for other breach of agreement</w:t>
      </w:r>
      <w:bookmarkEnd w:id="602"/>
      <w:bookmarkEnd w:id="603"/>
      <w:bookmarkEnd w:id="604"/>
      <w:bookmarkEnd w:id="605"/>
      <w:bookmarkEnd w:id="606"/>
      <w:bookmarkEnd w:id="607"/>
      <w:bookmarkEnd w:id="608"/>
      <w:bookmarkEnd w:id="609"/>
      <w:bookmarkEnd w:id="610"/>
      <w:bookmarkEnd w:id="61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a tenant has breached a term of a long</w:t>
            </w:r>
            <w:r>
              <w:rPr>
                <w:rFonts w:ascii="Arial" w:hAnsi="Arial" w:cs="Arial"/>
                <w:sz w:val="14"/>
                <w:szCs w:val="14"/>
              </w:rPr>
              <w:noBreakHyphen/>
              <w:t>stay agreement (except a term for the payment of rent) AND the park operator / managing real estate agent has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612" w:name="_Toc7531907"/>
      <w:bookmarkStart w:id="613" w:name="_Toc11075695"/>
      <w:bookmarkStart w:id="614" w:name="_Toc13032714"/>
      <w:bookmarkStart w:id="615" w:name="_Toc13580243"/>
      <w:bookmarkStart w:id="616" w:name="_Toc14700097"/>
      <w:bookmarkStart w:id="617" w:name="_Toc14777525"/>
      <w:bookmarkStart w:id="618" w:name="_Toc14871274"/>
      <w:bookmarkStart w:id="619" w:name="_Toc17279242"/>
      <w:bookmarkStart w:id="620" w:name="_Toc17279354"/>
      <w:bookmarkStart w:id="621" w:name="_Toc17981399"/>
      <w:r>
        <w:t>Subdivision 4</w:t>
      </w:r>
      <w:r>
        <w:rPr>
          <w:b w:val="0"/>
        </w:rPr>
        <w:t> — </w:t>
      </w:r>
      <w:r>
        <w:t>Termination for sale of park</w:t>
      </w:r>
      <w:bookmarkEnd w:id="612"/>
      <w:bookmarkEnd w:id="613"/>
      <w:bookmarkEnd w:id="614"/>
      <w:bookmarkEnd w:id="615"/>
      <w:bookmarkEnd w:id="616"/>
      <w:bookmarkEnd w:id="617"/>
      <w:bookmarkEnd w:id="618"/>
      <w:bookmarkEnd w:id="619"/>
      <w:bookmarkEnd w:id="620"/>
      <w:bookmarkEnd w:id="62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has entered into a contract for the sale of park premises and is required under the contract to give vacant possession of the agreed premises.</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yTable"/>
              <w:ind w:left="742" w:hanging="742"/>
            </w:pPr>
            <w:r>
              <w:rPr>
                <w:rFonts w:ascii="Arial" w:hAnsi="Arial" w:cs="Arial"/>
                <w:sz w:val="14"/>
              </w:rPr>
              <w:t>Note:</w:t>
            </w:r>
            <w:r>
              <w:rPr>
                <w:rFonts w:ascii="Arial" w:hAnsi="Arial" w:cs="Arial"/>
                <w:sz w:val="14"/>
              </w:rPr>
              <w:tab/>
              <w:t xml:space="preserve">It is an offence for a park operator to knowingly give a notice of termination that falsely claims or falsely implies that grounds exist for terminating the agreement 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41(3),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622" w:name="_Toc7531908"/>
      <w:bookmarkStart w:id="623" w:name="_Toc11075696"/>
      <w:bookmarkStart w:id="624" w:name="_Toc13032715"/>
      <w:bookmarkStart w:id="625" w:name="_Toc13580244"/>
      <w:bookmarkStart w:id="626" w:name="_Toc14700098"/>
      <w:bookmarkStart w:id="627" w:name="_Toc14777526"/>
      <w:bookmarkStart w:id="628" w:name="_Toc14871275"/>
      <w:bookmarkStart w:id="629" w:name="_Toc17279243"/>
      <w:bookmarkStart w:id="630" w:name="_Toc17279355"/>
      <w:bookmarkStart w:id="631" w:name="_Toc17981400"/>
      <w:r>
        <w:t>Subdivision 5</w:t>
      </w:r>
      <w:r>
        <w:rPr>
          <w:b w:val="0"/>
        </w:rPr>
        <w:t> — </w:t>
      </w:r>
      <w:r>
        <w:t>Termination without grounds</w:t>
      </w:r>
      <w:bookmarkEnd w:id="622"/>
      <w:bookmarkEnd w:id="623"/>
      <w:bookmarkEnd w:id="624"/>
      <w:bookmarkEnd w:id="625"/>
      <w:bookmarkEnd w:id="626"/>
      <w:bookmarkEnd w:id="627"/>
      <w:bookmarkEnd w:id="628"/>
      <w:bookmarkEnd w:id="629"/>
      <w:bookmarkEnd w:id="630"/>
      <w:bookmarkEnd w:id="63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require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bl>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42(3), the above date must be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in any case, if the agreement is for a fixed term, not before the end of the fixed term.</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42(5), unless the State Administrative Tribunal otherwise orders under section 74 of that Act, this notice is of no effect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an application for an order under section 63(1) of that Act fixing the maximum rent for the agreed premises has been made but has not been heard and determined;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2821</w:t>
      </w:r>
      <w:r>
        <w:noBreakHyphen/>
        <w:t>22.]</w:t>
      </w:r>
    </w:p>
    <w:p>
      <w:pPr>
        <w:pStyle w:val="yHeading3"/>
      </w:pPr>
      <w:bookmarkStart w:id="632" w:name="_Toc7531909"/>
      <w:bookmarkStart w:id="633" w:name="_Toc11075697"/>
      <w:bookmarkStart w:id="634" w:name="_Toc13032716"/>
      <w:bookmarkStart w:id="635" w:name="_Toc13580245"/>
      <w:bookmarkStart w:id="636" w:name="_Toc14700099"/>
      <w:bookmarkStart w:id="637" w:name="_Toc14777527"/>
      <w:bookmarkStart w:id="638" w:name="_Toc14871276"/>
      <w:bookmarkStart w:id="639" w:name="_Toc17279244"/>
      <w:bookmarkStart w:id="640" w:name="_Toc17279356"/>
      <w:bookmarkStart w:id="641" w:name="_Toc17981401"/>
      <w:r>
        <w:rPr>
          <w:rStyle w:val="CharSDivNo"/>
        </w:rPr>
        <w:t>Division 2</w:t>
      </w:r>
      <w:r>
        <w:t> — </w:t>
      </w:r>
      <w:r>
        <w:rPr>
          <w:rStyle w:val="CharSDivText"/>
        </w:rPr>
        <w:t>Termination by tenant</w:t>
      </w:r>
      <w:bookmarkEnd w:id="632"/>
      <w:bookmarkEnd w:id="633"/>
      <w:bookmarkEnd w:id="634"/>
      <w:bookmarkEnd w:id="635"/>
      <w:bookmarkEnd w:id="636"/>
      <w:bookmarkEnd w:id="637"/>
      <w:bookmarkEnd w:id="638"/>
      <w:bookmarkEnd w:id="639"/>
      <w:bookmarkEnd w:id="640"/>
      <w:bookmarkEnd w:id="6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tenant may issue this notice if the tenant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specify that the tenant will give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44(3),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least 21 days after the day on which this notice is given to the park operator;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long</w:t>
            </w:r>
            <w:r>
              <w:rPr>
                <w:rFonts w:ascii="Arial" w:hAnsi="Arial" w:cs="Arial"/>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2 amended: Gazette 5 Jul 2011 p. 2822.]</w:t>
      </w:r>
    </w:p>
    <w:p>
      <w:pPr>
        <w:pStyle w:val="yHeading3"/>
      </w:pPr>
      <w:bookmarkStart w:id="642" w:name="_Toc7531910"/>
      <w:bookmarkStart w:id="643" w:name="_Toc11075698"/>
      <w:bookmarkStart w:id="644" w:name="_Toc13032717"/>
      <w:bookmarkStart w:id="645" w:name="_Toc13580246"/>
      <w:bookmarkStart w:id="646" w:name="_Toc14700100"/>
      <w:bookmarkStart w:id="647" w:name="_Toc14777528"/>
      <w:bookmarkStart w:id="648" w:name="_Toc14871277"/>
      <w:bookmarkStart w:id="649" w:name="_Toc17279245"/>
      <w:bookmarkStart w:id="650" w:name="_Toc17279357"/>
      <w:bookmarkStart w:id="651" w:name="_Toc17981402"/>
      <w:r>
        <w:rPr>
          <w:rStyle w:val="CharSDivNo"/>
        </w:rPr>
        <w:t>Division 3</w:t>
      </w:r>
      <w:r>
        <w:t> — </w:t>
      </w:r>
      <w:r>
        <w:rPr>
          <w:rStyle w:val="CharSDivText"/>
        </w:rPr>
        <w:t>Termination by park operator or tenant — agreement frustrated</w:t>
      </w:r>
      <w:bookmarkEnd w:id="642"/>
      <w:bookmarkEnd w:id="643"/>
      <w:bookmarkEnd w:id="644"/>
      <w:bookmarkEnd w:id="645"/>
      <w:bookmarkEnd w:id="646"/>
      <w:bookmarkEnd w:id="647"/>
      <w:bookmarkEnd w:id="648"/>
      <w:bookmarkEnd w:id="649"/>
      <w:bookmarkEnd w:id="650"/>
      <w:bookmarkEnd w:id="65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OR a tenant may issue this notice if agreed premises or shared premises meet the description set out in the item “Reason for notice” below.</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the term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other party and make every effort to ensure the notice is securely delivered and received by that party.</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sz w:val="18"/>
              </w:rPr>
              <w:t>Residential Parks (Long</w:t>
            </w:r>
            <w:r>
              <w:rPr>
                <w:i/>
                <w:sz w:val="18"/>
              </w:rPr>
              <w:noBreakHyphen/>
              <w:t>stay Tenants) Act 2006</w:t>
            </w:r>
            <w:r>
              <w:rPr>
                <w:sz w:val="18"/>
              </w:rPr>
              <w:t xml:space="preserve"> s. 45 because the agreed premises or shared premises have —</w:t>
            </w:r>
          </w:p>
          <w:p>
            <w:pPr>
              <w:pStyle w:val="yTable"/>
              <w:tabs>
                <w:tab w:val="left" w:pos="175"/>
              </w:tabs>
              <w:ind w:left="601" w:hanging="601"/>
              <w:rPr>
                <w:sz w:val="18"/>
              </w:rPr>
            </w:pPr>
            <w:r>
              <w:rPr>
                <w:sz w:val="18"/>
              </w:rPr>
              <w:tab/>
            </w:r>
            <w:r>
              <w:rPr>
                <w:sz w:val="16"/>
                <w:szCs w:val="16"/>
              </w:rPr>
              <w:sym w:font="Wingdings" w:char="F071"/>
            </w:r>
            <w:r>
              <w:rPr>
                <w:sz w:val="18"/>
              </w:rPr>
              <w:tab/>
              <w:t>become uninhabitable or unusable for the intended purpose otherwise than as a result of a breach of the long</w:t>
            </w:r>
            <w:r>
              <w:rPr>
                <w:sz w:val="18"/>
              </w:rPr>
              <w:noBreakHyphen/>
              <w:t>stay agreement; or</w:t>
            </w:r>
          </w:p>
          <w:p>
            <w:pPr>
              <w:pStyle w:val="yTable"/>
              <w:tabs>
                <w:tab w:val="left" w:pos="175"/>
              </w:tabs>
              <w:ind w:left="601" w:hanging="601"/>
              <w:rPr>
                <w:sz w:val="18"/>
              </w:rPr>
            </w:pPr>
            <w:r>
              <w:rPr>
                <w:sz w:val="18"/>
              </w:rPr>
              <w:tab/>
            </w:r>
            <w:r>
              <w:rPr>
                <w:sz w:val="16"/>
                <w:szCs w:val="16"/>
              </w:rPr>
              <w:sym w:font="Wingdings" w:char="F071"/>
            </w:r>
            <w:r>
              <w:rPr>
                <w:sz w:val="18"/>
              </w:rPr>
              <w:tab/>
              <w:t>ceased to be lawfully usable for the intended purpose; or</w:t>
            </w:r>
          </w:p>
          <w:p>
            <w:pPr>
              <w:pStyle w:val="yTable"/>
              <w:tabs>
                <w:tab w:val="left" w:pos="175"/>
              </w:tabs>
              <w:ind w:left="601" w:hanging="601"/>
              <w:rPr>
                <w:sz w:val="18"/>
              </w:rPr>
            </w:pPr>
            <w:r>
              <w:rPr>
                <w:sz w:val="18"/>
              </w:rPr>
              <w:tab/>
            </w:r>
            <w:r>
              <w:rPr>
                <w:sz w:val="16"/>
                <w:szCs w:val="16"/>
              </w:rPr>
              <w:sym w:font="Wingdings" w:char="F071"/>
            </w:r>
            <w:r>
              <w:rPr>
                <w:sz w:val="18"/>
              </w:rPr>
              <w:tab/>
              <w:t>been compulsorily acquired by an authority under a written law.</w:t>
            </w:r>
          </w:p>
          <w:p>
            <w:pPr>
              <w:pStyle w:val="yTable"/>
              <w:rPr>
                <w:sz w:val="18"/>
              </w:rPr>
            </w:pPr>
            <w:r>
              <w:rPr>
                <w:sz w:val="18"/>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45(5), if the park operator gives this notice to the tenant, the above date must be at least 7 days after the day on which the notice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keepNext/>
              <w:spacing w:before="160"/>
              <w:rPr>
                <w:sz w:val="18"/>
              </w:rPr>
            </w:pPr>
            <w:r>
              <w:rPr>
                <w:sz w:val="18"/>
              </w:rPr>
              <w:t>Signature ............................................................................................</w:t>
            </w:r>
          </w:p>
          <w:p>
            <w:pPr>
              <w:pStyle w:val="yTable"/>
              <w:keepNext/>
              <w:rPr>
                <w:sz w:val="18"/>
              </w:rPr>
            </w:pPr>
            <w:r>
              <w:rPr>
                <w:sz w:val="18"/>
              </w:rPr>
              <w:t>Name (please print) ...........................................................................</w:t>
            </w:r>
          </w:p>
          <w:p>
            <w:pPr>
              <w:pStyle w:val="yTable"/>
              <w:keepNext/>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ind w:left="2723" w:hanging="2689"/>
              <w:rPr>
                <w:sz w:val="18"/>
              </w:rPr>
            </w:pPr>
            <w:r>
              <w:rPr>
                <w:sz w:val="18"/>
              </w:rPr>
              <w:tab/>
            </w:r>
            <w:r>
              <w:rPr>
                <w:sz w:val="14"/>
              </w:rPr>
              <w:t>D  D   M M   Y  Y  Y  Y</w:t>
            </w:r>
          </w:p>
        </w:tc>
      </w:tr>
    </w:tbl>
    <w:p>
      <w:pPr>
        <w:pStyle w:val="yFootnotesection"/>
      </w:pPr>
      <w:r>
        <w:tab/>
        <w:t>[Division 3 amended: Gazette 5 Jul 2011 p. 2822.]</w:t>
      </w:r>
    </w:p>
    <w:p>
      <w:pPr>
        <w:pStyle w:val="yHeading3"/>
      </w:pPr>
      <w:bookmarkStart w:id="652" w:name="_Toc7531911"/>
      <w:bookmarkStart w:id="653" w:name="_Toc11075699"/>
      <w:bookmarkStart w:id="654" w:name="_Toc13032718"/>
      <w:bookmarkStart w:id="655" w:name="_Toc13580247"/>
      <w:bookmarkStart w:id="656" w:name="_Toc14700101"/>
      <w:bookmarkStart w:id="657" w:name="_Toc14777529"/>
      <w:bookmarkStart w:id="658" w:name="_Toc14871278"/>
      <w:bookmarkStart w:id="659" w:name="_Toc17279246"/>
      <w:bookmarkStart w:id="660" w:name="_Toc17279358"/>
      <w:bookmarkStart w:id="661" w:name="_Toc17981403"/>
      <w:r>
        <w:rPr>
          <w:rStyle w:val="CharSDivNo"/>
        </w:rPr>
        <w:t>Division 4</w:t>
      </w:r>
      <w:r>
        <w:t> — </w:t>
      </w:r>
      <w:r>
        <w:rPr>
          <w:rStyle w:val="CharSDivText"/>
        </w:rPr>
        <w:t>Termination by tenant of tenant’s interest in on-site home agreement</w:t>
      </w:r>
      <w:bookmarkEnd w:id="652"/>
      <w:bookmarkEnd w:id="653"/>
      <w:bookmarkEnd w:id="654"/>
      <w:bookmarkEnd w:id="655"/>
      <w:bookmarkEnd w:id="656"/>
      <w:bookmarkEnd w:id="657"/>
      <w:bookmarkEnd w:id="658"/>
      <w:bookmarkEnd w:id="659"/>
      <w:bookmarkEnd w:id="660"/>
      <w:bookmarkEnd w:id="661"/>
    </w:p>
    <w:p>
      <w:pPr>
        <w:pStyle w:val="yFootnoteheading"/>
      </w:pPr>
      <w:r>
        <w:tab/>
        <w:t>[Heading inserted: Gazette 9 Apr 2019 p. 1054.]</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on-site home agreement on grounds of family violence</w:t>
            </w:r>
          </w:p>
          <w:p>
            <w:pPr>
              <w:pStyle w:val="yTableNAm"/>
              <w:widowControl w:val="0"/>
              <w:spacing w:before="0"/>
              <w:rPr>
                <w:sz w:val="18"/>
                <w:szCs w:val="18"/>
              </w:rPr>
            </w:pPr>
            <w:r>
              <w:rPr>
                <w:i/>
                <w:sz w:val="18"/>
                <w:szCs w:val="18"/>
              </w:rPr>
              <w:t xml:space="preserve">Residential Parks (Long-stay Tenants) Act 2006 </w:t>
            </w:r>
            <w:r>
              <w:rPr>
                <w:sz w:val="18"/>
                <w:szCs w:val="18"/>
              </w:rPr>
              <w:t>s.  38(2), 45A(1)</w:t>
            </w:r>
          </w:p>
          <w:p>
            <w:pPr>
              <w:pStyle w:val="yTableNAm"/>
              <w:widowControl w:val="0"/>
              <w:spacing w:before="0"/>
              <w:rPr>
                <w:sz w:val="18"/>
                <w:szCs w:val="18"/>
              </w:rPr>
            </w:pPr>
            <w:r>
              <w:rPr>
                <w:i/>
                <w:sz w:val="18"/>
                <w:szCs w:val="18"/>
              </w:rPr>
              <w:t>Residential Parks (Long-stay Tenants) Regulations 2007</w:t>
            </w:r>
            <w:r>
              <w:rPr>
                <w:sz w:val="18"/>
                <w:szCs w:val="18"/>
              </w:rPr>
              <w:t xml:space="preserve"> r. 13(5)</w:t>
            </w:r>
          </w:p>
        </w:tc>
        <w:tc>
          <w:tcPr>
            <w:tcW w:w="142" w:type="dxa"/>
            <w:tcBorders>
              <w:top w:val="nil"/>
              <w:left w:val="nil"/>
            </w:tcBorders>
            <w:shd w:val="clear" w:color="auto" w:fill="auto"/>
          </w:tcPr>
          <w:p>
            <w:pPr>
              <w:pStyle w:val="yTableNAm"/>
              <w:widowControl w:val="0"/>
              <w:spacing w:before="0"/>
              <w:rPr>
                <w:sz w:val="14"/>
              </w:rPr>
            </w:pPr>
          </w:p>
        </w:tc>
        <w:tc>
          <w:tcPr>
            <w:tcW w:w="972" w:type="dxa"/>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Park operator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bottom w:val="single" w:sz="4" w:space="0" w:color="auto"/>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366"/>
        </w:trPr>
        <w:tc>
          <w:tcPr>
            <w:tcW w:w="1276" w:type="dxa"/>
            <w:tcBorders>
              <w:top w:val="single" w:sz="4" w:space="0" w:color="auto"/>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On-site home</w:t>
            </w:r>
          </w:p>
        </w:tc>
        <w:tc>
          <w:tcPr>
            <w:tcW w:w="5792" w:type="dxa"/>
            <w:gridSpan w:val="4"/>
            <w:tcBorders>
              <w:top w:val="single" w:sz="4" w:space="0" w:color="auto"/>
              <w:bottom w:val="single" w:sz="4" w:space="0" w:color="auto"/>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long-stay tenant, give notice of the termination of my interest in the on</w:t>
            </w:r>
            <w:r>
              <w:rPr>
                <w:sz w:val="18"/>
                <w:szCs w:val="18"/>
              </w:rPr>
              <w:noBreakHyphen/>
              <w:t>site home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on-site home on or before this day.</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 w:val="left" w:pos="1957"/>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Parks (Long-stay Tenants) Act 2006</w:t>
            </w:r>
            <w:r>
              <w:rPr>
                <w:sz w:val="18"/>
                <w:szCs w:val="18"/>
              </w:rPr>
              <w:t xml:space="preserve"> s. 45A(2)(d).</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Long-stay 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nil"/>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auto"/>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auto"/>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Parks (Long-stay Tenants) Act 2006</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trHeight w:val="252"/>
        </w:trPr>
        <w:tc>
          <w:tcPr>
            <w:tcW w:w="5954"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The types of on-site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on-site home agreements under the </w:t>
            </w:r>
            <w:r>
              <w:rPr>
                <w:i/>
                <w:sz w:val="18"/>
                <w:szCs w:val="18"/>
              </w:rPr>
              <w:t>Residential Parks (Long-stay Tenants) Act 2006</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long-stay tenant can give the park operator this notice if the tenant, or a dependant of the tenant, is likely to be exposed or subjected to family violence during the term of the on-site home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give a copy of this notice (but </w:t>
            </w:r>
            <w:r>
              <w:rPr>
                <w:b/>
                <w:sz w:val="18"/>
                <w:szCs w:val="18"/>
              </w:rPr>
              <w:t>not</w:t>
            </w:r>
            <w:r>
              <w:rPr>
                <w:sz w:val="18"/>
                <w:szCs w:val="18"/>
              </w:rPr>
              <w:t xml:space="preserve"> an accompanying document) to any co</w:t>
            </w:r>
            <w:r>
              <w:rPr>
                <w:sz w:val="18"/>
                <w:szCs w:val="18"/>
              </w:rPr>
              <w:noBreakHyphen/>
              <w:t>tenants named on the on-site home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park operator notice of termination of the co-tenant’s interest in the on-site home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Notice by co-tenant to terminate their interest in the on-site home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park operator that they wish to terminate their interest in the on-site home agreement. They simply need to notify the park operator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 remaining in on-site home</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on-site home are entitled to do so and the existing on</w:t>
            </w:r>
            <w:r>
              <w:rPr>
                <w:sz w:val="18"/>
                <w:szCs w:val="18"/>
              </w:rPr>
              <w:noBreakHyphen/>
              <w:t>site home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2" w:space="0" w:color="000000"/>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2" w:space="0" w:color="000000"/>
              <w:left w:val="single" w:sz="4" w:space="0" w:color="000000"/>
              <w:bottom w:val="single" w:sz="2" w:space="0" w:color="000000"/>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not disclose information contained in this notice or an accompanying document to another person except as allowed by the </w:t>
            </w:r>
            <w:r>
              <w:rPr>
                <w:i/>
                <w:sz w:val="18"/>
                <w:szCs w:val="18"/>
              </w:rPr>
              <w:t>Residential Parks (Long-stay Tenants) Act 2006</w:t>
            </w:r>
            <w:r>
              <w:rPr>
                <w:sz w:val="18"/>
                <w:szCs w:val="18"/>
              </w:rPr>
              <w:t xml:space="preserve"> or another written law. A penalty of a fine of up to $5 000 applies for failure to comply with this requirement.</w:t>
            </w:r>
          </w:p>
        </w:tc>
      </w:tr>
    </w:tbl>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68"/>
      </w:tblGrid>
      <w:tr>
        <w:trPr>
          <w:trHeight w:val="480"/>
        </w:trPr>
        <w:tc>
          <w:tcPr>
            <w:tcW w:w="7068" w:type="dxa"/>
            <w:tcBorders>
              <w:top w:val="single" w:sz="2"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sz w:val="18"/>
                <w:szCs w:val="18"/>
              </w:rPr>
              <w:t>A park operator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[Division 4 inserted: Gazette 9 Apr 2019 p. 1054</w:t>
      </w:r>
      <w:r>
        <w:noBreakHyphen/>
        <w:t>5.]</w:t>
      </w:r>
    </w:p>
    <w:p>
      <w:pPr>
        <w:pStyle w:val="yScheduleHeading"/>
      </w:pPr>
      <w:bookmarkStart w:id="662" w:name="_Toc7531912"/>
      <w:bookmarkStart w:id="663" w:name="_Toc11075700"/>
      <w:bookmarkStart w:id="664" w:name="_Toc13032719"/>
      <w:bookmarkStart w:id="665" w:name="_Toc13580248"/>
      <w:bookmarkStart w:id="666" w:name="_Toc14700102"/>
      <w:bookmarkStart w:id="667" w:name="_Toc14777530"/>
      <w:bookmarkStart w:id="668" w:name="_Toc14871279"/>
      <w:bookmarkStart w:id="669" w:name="_Toc17279247"/>
      <w:bookmarkStart w:id="670" w:name="_Toc17279359"/>
      <w:bookmarkStart w:id="671" w:name="_Toc17981404"/>
      <w:r>
        <w:rPr>
          <w:rStyle w:val="CharSchNo"/>
        </w:rPr>
        <w:t>Schedule 11</w:t>
      </w:r>
      <w:r>
        <w:rPr>
          <w:rStyle w:val="CharSDivNo"/>
        </w:rPr>
        <w:t> </w:t>
      </w:r>
      <w:r>
        <w:t>—</w:t>
      </w:r>
      <w:r>
        <w:rPr>
          <w:rStyle w:val="CharSDivText"/>
        </w:rPr>
        <w:t> </w:t>
      </w:r>
      <w:r>
        <w:rPr>
          <w:rStyle w:val="CharSchText"/>
        </w:rPr>
        <w:t>Notice to former tenant about abandoned goods</w:t>
      </w:r>
      <w:bookmarkEnd w:id="662"/>
      <w:bookmarkEnd w:id="663"/>
      <w:bookmarkEnd w:id="664"/>
      <w:bookmarkEnd w:id="665"/>
      <w:bookmarkEnd w:id="666"/>
      <w:bookmarkEnd w:id="667"/>
      <w:bookmarkEnd w:id="668"/>
      <w:bookmarkEnd w:id="669"/>
      <w:bookmarkEnd w:id="670"/>
      <w:bookmarkEnd w:id="671"/>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48(4) requires the park operator within 7 days after the above date to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send this notice to the former tenant;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 xml:space="preserve">publish a summary of this notice in a newspaper circulating generally throughout </w:t>
            </w:r>
            <w:smartTag w:uri="urn:schemas-microsoft-com:office:smarttags" w:element="place">
              <w:smartTag w:uri="urn:schemas-microsoft-com:office:smarttags" w:element="State">
                <w:r>
                  <w:rPr>
                    <w:rFonts w:ascii="Arial" w:hAnsi="Arial" w:cs="Arial"/>
                    <w:sz w:val="14"/>
                  </w:rPr>
                  <w:t>Western Australia</w:t>
                </w:r>
              </w:smartTag>
            </w:smartTag>
            <w:r>
              <w:rPr>
                <w:rFonts w:ascii="Arial" w:hAnsi="Arial" w:cs="Arial"/>
                <w:sz w:val="14"/>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48(2), the park operator need not store but may remove and destroy or otherwise dispose of abandoned goods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the goods are perishable foodstuffs; or</w:t>
            </w:r>
          </w:p>
          <w:p>
            <w:pPr>
              <w:pStyle w:val="yTable"/>
              <w:tabs>
                <w:tab w:val="left" w:pos="1168"/>
              </w:tabs>
              <w:ind w:left="1168" w:hanging="284"/>
            </w:pPr>
            <w:r>
              <w:rPr>
                <w:rFonts w:ascii="Arial" w:hAnsi="Arial" w:cs="Arial"/>
                <w:sz w:val="14"/>
              </w:rPr>
              <w:t>(b)</w:t>
            </w:r>
            <w:r>
              <w:rPr>
                <w:rFonts w:ascii="Arial" w:hAnsi="Arial" w:cs="Arial"/>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yTable"/>
              <w:ind w:left="742" w:hanging="742"/>
            </w:pPr>
            <w:r>
              <w:rPr>
                <w:rFonts w:ascii="Arial" w:hAnsi="Arial" w:cs="Arial"/>
                <w:sz w:val="14"/>
              </w:rPr>
              <w:t>Note:</w:t>
            </w:r>
            <w:r>
              <w:rPr>
                <w:rFonts w:ascii="Arial" w:hAnsi="Arial" w:cs="Arial"/>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672" w:name="_Toc7531913"/>
      <w:bookmarkStart w:id="673" w:name="_Toc11075701"/>
      <w:bookmarkStart w:id="674" w:name="_Toc13032720"/>
      <w:bookmarkStart w:id="675" w:name="_Toc13580249"/>
      <w:bookmarkStart w:id="676" w:name="_Toc14700103"/>
      <w:bookmarkStart w:id="677" w:name="_Toc14777531"/>
      <w:bookmarkStart w:id="678" w:name="_Toc14871280"/>
      <w:bookmarkStart w:id="679" w:name="_Toc17279248"/>
      <w:bookmarkStart w:id="680" w:name="_Toc17279360"/>
      <w:bookmarkStart w:id="681" w:name="_Toc17981405"/>
      <w:r>
        <w:t>Notes</w:t>
      </w:r>
      <w:bookmarkEnd w:id="672"/>
      <w:bookmarkEnd w:id="673"/>
      <w:bookmarkEnd w:id="674"/>
      <w:bookmarkEnd w:id="675"/>
      <w:bookmarkEnd w:id="676"/>
      <w:bookmarkEnd w:id="677"/>
      <w:bookmarkEnd w:id="678"/>
      <w:bookmarkEnd w:id="679"/>
      <w:bookmarkEnd w:id="680"/>
      <w:bookmarkEnd w:id="681"/>
    </w:p>
    <w:p>
      <w:pPr>
        <w:pStyle w:val="nSubsection"/>
      </w:pPr>
      <w:r>
        <w:rPr>
          <w:vertAlign w:val="superscript"/>
        </w:rPr>
        <w:t>1</w:t>
      </w:r>
      <w:r>
        <w:tab/>
        <w:t xml:space="preserve">This is a compilation of the </w:t>
      </w:r>
      <w:r>
        <w:rPr>
          <w:i/>
          <w:noProof/>
        </w:rPr>
        <w:t>Residential Parks (Long-stay Tenants) Regulations 2007</w:t>
      </w:r>
      <w:r>
        <w:t xml:space="preserve"> and includes the amendments made by the other written laws referred to in the following table.  The table also contains information about any reprint.</w:t>
      </w:r>
    </w:p>
    <w:p>
      <w:pPr>
        <w:pStyle w:val="nHeading3"/>
      </w:pPr>
      <w:bookmarkStart w:id="682" w:name="_Toc17981406"/>
      <w:r>
        <w:t>Compilation table</w:t>
      </w:r>
      <w:bookmarkEnd w:id="6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76" w:type="dxa"/>
            <w:tcBorders>
              <w:top w:val="single" w:sz="8" w:space="0" w:color="auto"/>
              <w:bottom w:val="nil"/>
            </w:tcBorders>
          </w:tcPr>
          <w:p>
            <w:pPr>
              <w:pStyle w:val="nTable"/>
              <w:spacing w:after="40"/>
            </w:pPr>
            <w:r>
              <w:t>1 Aug 2007 p. 3837-985</w:t>
            </w:r>
          </w:p>
        </w:tc>
        <w:tc>
          <w:tcPr>
            <w:tcW w:w="2693" w:type="dxa"/>
            <w:tcBorders>
              <w:top w:val="single" w:sz="8" w:space="0" w:color="auto"/>
              <w:bottom w:val="nil"/>
            </w:tcBorders>
          </w:tcPr>
          <w:p>
            <w:pPr>
              <w:pStyle w:val="nTable"/>
              <w:spacing w:after="40"/>
            </w:pPr>
            <w:r>
              <w:t>r. 1 and 2: 1 Aug 2007 (see r. 2(a));</w:t>
            </w:r>
          </w:p>
          <w:p>
            <w:pPr>
              <w:pStyle w:val="nTable"/>
              <w:spacing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76" w:type="dxa"/>
            <w:tcBorders>
              <w:top w:val="nil"/>
              <w:bottom w:val="nil"/>
            </w:tcBorders>
          </w:tcPr>
          <w:p>
            <w:pPr>
              <w:pStyle w:val="nTable"/>
              <w:spacing w:after="40"/>
            </w:pPr>
            <w:r>
              <w:t>5 Jul 2011 p. 2813-22</w:t>
            </w:r>
          </w:p>
        </w:tc>
        <w:tc>
          <w:tcPr>
            <w:tcW w:w="2693"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tcBorders>
              <w:top w:val="nil"/>
              <w:bottom w:val="nil"/>
            </w:tcBorders>
          </w:tcPr>
          <w:p>
            <w:pPr>
              <w:pStyle w:val="nTable"/>
              <w:spacing w:after="40"/>
              <w:rPr>
                <w:i/>
              </w:rPr>
            </w:pPr>
            <w:r>
              <w:rPr>
                <w:i/>
              </w:rPr>
              <w:t>Residential Parks (Long-stay Tenants) Amendment Regulations 2013</w:t>
            </w:r>
          </w:p>
        </w:tc>
        <w:tc>
          <w:tcPr>
            <w:tcW w:w="1276" w:type="dxa"/>
            <w:tcBorders>
              <w:top w:val="nil"/>
              <w:bottom w:val="nil"/>
            </w:tcBorders>
          </w:tcPr>
          <w:p>
            <w:pPr>
              <w:pStyle w:val="nTable"/>
              <w:spacing w:after="40"/>
            </w:pPr>
            <w:r>
              <w:t>14 Nov 2013 p. 5063-4</w:t>
            </w:r>
          </w:p>
        </w:tc>
        <w:tc>
          <w:tcPr>
            <w:tcW w:w="2693" w:type="dxa"/>
            <w:tcBorders>
              <w:top w:val="nil"/>
              <w:bottom w:val="nil"/>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Commerce Regulations Amendment (Family Violence) Regulations 2019</w:t>
            </w:r>
            <w:r>
              <w:t xml:space="preserve"> Pt. 3</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rPr>
                <w:bCs/>
                <w:snapToGrid w:val="0"/>
                <w:spacing w:val="-2"/>
              </w:rPr>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Residential Parks (Long-stay Tenants) Regulations 2007</w:t>
            </w:r>
            <w:r>
              <w:rPr>
                <w:b/>
                <w:bCs/>
                <w:snapToGrid w:val="0"/>
                <w:spacing w:val="-2"/>
              </w:rPr>
              <w:t xml:space="preserve"> as at 16 Aug 2019</w:t>
            </w:r>
            <w:r>
              <w:rPr>
                <w:bCs/>
                <w:snapToGrid w:val="0"/>
                <w:spacing w:val="-2"/>
              </w:rPr>
              <w:t xml:space="preserve"> (includes amendments listed above)</w:t>
            </w:r>
          </w:p>
        </w:tc>
      </w:tr>
    </w:tbl>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84" w:name="_Toc17981407"/>
      <w:r>
        <w:rPr>
          <w:sz w:val="28"/>
        </w:rPr>
        <w:t>Defined terms</w:t>
      </w:r>
      <w:bookmarkEnd w:id="6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Sch. 2, Sch. 3, Sch. 4</w:t>
      </w:r>
    </w:p>
    <w:p>
      <w:pPr>
        <w:pStyle w:val="DefinedTerms"/>
      </w:pPr>
      <w:r>
        <w:t>agreed premises</w:t>
      </w:r>
      <w:r>
        <w:tab/>
        <w:t>Sch. 1, Sch. 2, Sch. 3, Sch. 4</w:t>
      </w:r>
    </w:p>
    <w:p>
      <w:pPr>
        <w:pStyle w:val="DefinedTerms"/>
      </w:pPr>
      <w:r>
        <w:t>agreement</w:t>
      </w:r>
      <w:r>
        <w:tab/>
        <w:t>3</w:t>
      </w:r>
    </w:p>
    <w:p>
      <w:pPr>
        <w:pStyle w:val="DefinedTerms"/>
      </w:pPr>
      <w:r>
        <w:t>amendment</w:t>
      </w:r>
      <w:r>
        <w:tab/>
        <w:t>21(1)</w:t>
      </w:r>
    </w:p>
    <w:p>
      <w:pPr>
        <w:pStyle w:val="DefinedTerms"/>
      </w:pPr>
      <w:r>
        <w:t>bond holder</w:t>
      </w:r>
      <w:r>
        <w:tab/>
        <w:t>3</w:t>
      </w:r>
    </w:p>
    <w:p>
      <w:pPr>
        <w:pStyle w:val="DefinedTerms"/>
      </w:pPr>
      <w:r>
        <w:t>Division</w:t>
      </w:r>
      <w:r>
        <w:tab/>
        <w:t>Sch. 1, Sch. 2, Sch. 3, Sch. 4</w:t>
      </w:r>
    </w:p>
    <w:p>
      <w:pPr>
        <w:pStyle w:val="DefinedTerms"/>
      </w:pPr>
      <w:r>
        <w:t>DOTAG</w:t>
      </w:r>
      <w:r>
        <w:tab/>
        <w:t>19(1)</w:t>
      </w:r>
    </w:p>
    <w:p>
      <w:pPr>
        <w:pStyle w:val="DefinedTerms"/>
      </w:pPr>
      <w:r>
        <w:t>fixed term on</w:t>
      </w:r>
      <w:r>
        <w:noBreakHyphen/>
        <w:t>site home agreement</w:t>
      </w:r>
      <w:r>
        <w:tab/>
        <w:t>3</w:t>
      </w:r>
    </w:p>
    <w:p>
      <w:pPr>
        <w:pStyle w:val="DefinedTerms"/>
      </w:pPr>
      <w:r>
        <w:t>fixed term site</w:t>
      </w:r>
      <w:r>
        <w:noBreakHyphen/>
        <w:t>only agreement</w:t>
      </w:r>
      <w:r>
        <w:tab/>
        <w:t>3</w:t>
      </w:r>
    </w:p>
    <w:p>
      <w:pPr>
        <w:pStyle w:val="DefinedTerms"/>
      </w:pPr>
      <w:r>
        <w:t>impediment</w:t>
      </w:r>
      <w:r>
        <w:tab/>
        <w:t>Sch. 1, Sch. 2, Sch. 3, Sch. 4</w:t>
      </w:r>
    </w:p>
    <w:p>
      <w:pPr>
        <w:pStyle w:val="DefinedTerms"/>
      </w:pPr>
      <w:r>
        <w:t>on-site home</w:t>
      </w:r>
      <w:r>
        <w:tab/>
        <w:t>Sch. 1, Sch. 2</w:t>
      </w:r>
    </w:p>
    <w:p>
      <w:pPr>
        <w:pStyle w:val="DefinedTerms"/>
      </w:pPr>
      <w:r>
        <w:t>park</w:t>
      </w:r>
      <w:r>
        <w:tab/>
        <w:t>Sch. 1, Sch. 2, Sch. 3, Sch. 4</w:t>
      </w:r>
    </w:p>
    <w:p>
      <w:pPr>
        <w:pStyle w:val="DefinedTerms"/>
      </w:pPr>
      <w:r>
        <w:t>park operator</w:t>
      </w:r>
      <w:r>
        <w:tab/>
        <w:t>Sch. 1, Sch. 2, Sch. 3, Sch. 4</w:t>
      </w:r>
    </w:p>
    <w:p>
      <w:pPr>
        <w:pStyle w:val="DefinedTerms"/>
      </w:pPr>
      <w:r>
        <w:t>periodic on</w:t>
      </w:r>
      <w:r>
        <w:noBreakHyphen/>
        <w:t>site home agreement</w:t>
      </w:r>
      <w:r>
        <w:tab/>
        <w:t>3</w:t>
      </w:r>
    </w:p>
    <w:p>
      <w:pPr>
        <w:pStyle w:val="DefinedTerms"/>
      </w:pPr>
      <w:r>
        <w:t>periodic site</w:t>
      </w:r>
      <w:r>
        <w:noBreakHyphen/>
        <w:t>only agreement</w:t>
      </w:r>
      <w:r>
        <w:tab/>
        <w:t>3</w:t>
      </w:r>
    </w:p>
    <w:p>
      <w:pPr>
        <w:pStyle w:val="DefinedTerms"/>
      </w:pPr>
      <w:r>
        <w:t>prescribed rate</w:t>
      </w:r>
      <w:r>
        <w:tab/>
        <w:t>17(1)</w:t>
      </w:r>
    </w:p>
    <w:p>
      <w:pPr>
        <w:pStyle w:val="DefinedTerms"/>
      </w:pPr>
      <w:r>
        <w:t>regulations</w:t>
      </w:r>
      <w:r>
        <w:tab/>
        <w:t>Sch. 1, Sch. 2, Sch. 3, Sch. 4</w:t>
      </w:r>
    </w:p>
    <w:p>
      <w:pPr>
        <w:pStyle w:val="DefinedTerms"/>
      </w:pPr>
      <w:r>
        <w:t>relevant bank accepted bills rate</w:t>
      </w:r>
      <w:r>
        <w:tab/>
        <w:t>17(1)</w:t>
      </w:r>
    </w:p>
    <w:p>
      <w:pPr>
        <w:pStyle w:val="DefinedTerms"/>
      </w:pPr>
      <w:r>
        <w:t>relocatable home</w:t>
      </w:r>
      <w:r>
        <w:tab/>
        <w:t>Sch. 1, Sch. 2, Sch. 3, Sch. 4</w:t>
      </w:r>
    </w:p>
    <w:p>
      <w:pPr>
        <w:pStyle w:val="DefinedTerms"/>
      </w:pPr>
      <w:r>
        <w:t>residential park</w:t>
      </w:r>
      <w:r>
        <w:tab/>
        <w:t>Sch. 1, Sch. 2, Sch. 3, Sch. 4</w:t>
      </w:r>
    </w:p>
    <w:p>
      <w:pPr>
        <w:pStyle w:val="DefinedTerms"/>
      </w:pPr>
      <w:r>
        <w:t>security bond amount</w:t>
      </w:r>
      <w:r>
        <w:tab/>
        <w:t>3</w:t>
      </w:r>
    </w:p>
    <w:p>
      <w:pPr>
        <w:pStyle w:val="DefinedTerms"/>
      </w:pPr>
      <w:r>
        <w:t>shared premises</w:t>
      </w:r>
      <w:r>
        <w:tab/>
        <w:t>Sch. 1, Sch. 2, Sch. 3, Sch. 4</w:t>
      </w:r>
    </w:p>
    <w:p>
      <w:pPr>
        <w:pStyle w:val="DefinedTerms"/>
      </w:pPr>
      <w:r>
        <w:t>site</w:t>
      </w:r>
      <w:r>
        <w:tab/>
        <w:t>Sch. 1, Sch. 2, Sch. 3, Sch. 4</w:t>
      </w:r>
    </w:p>
    <w:p>
      <w:pPr>
        <w:pStyle w:val="DefinedTerms"/>
      </w:pPr>
      <w:r>
        <w:t>tenant</w:t>
      </w:r>
      <w:r>
        <w:tab/>
        <w:t>3, Sch. 1, Sch. 2, Sch. 3, Sch. 4</w:t>
      </w:r>
    </w:p>
    <w:p>
      <w:pPr>
        <w:pStyle w:val="DefinedTerms"/>
      </w:pPr>
      <w:r>
        <w:t>Unclaimed Security Bond Account</w:t>
      </w:r>
      <w:r>
        <w:tab/>
        <w:t>19(1)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467" w:name="Schedule"/>
    <w:bookmarkEnd w:id="4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sheet (site-only agreement)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Information sheet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3" w:name="Compilation"/>
    <w:bookmarkEnd w:id="68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5" w:name="DefinedTerms"/>
    <w:bookmarkEnd w:id="68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6" w:name="Coversheet"/>
    <w:bookmarkEnd w:id="6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30142448"/>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 w:name="WAFER_20190408102632" w:val="RemoveTocBookmarks,RemoveUnusedBookmarks,RemoveLanguageTags,ResetPageSize,RunningHeaders,UpdateStyles,UsedStyles"/>
    <w:docVar w:name="WAFER_20190408102632_GUID" w:val="46b2c20f-3b0d-45ae-992e-04374a0b5d66"/>
    <w:docVar w:name="WAFER_20190430142448" w:val="RemoveTocBookmarks,RemoveUnusedBookmarks,RemoveLanguageTags,ResetPageSize,RunningHeaders,UpdateStyles,UsedStyles"/>
    <w:docVar w:name="WAFER_20190430142448_GUID" w:val="00730e16-f51c-4f09-845d-55edbaa0f1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5094-64E5-4F84-AB51-9171F82E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37343</Words>
  <Characters>270365</Characters>
  <Application>Microsoft Office Word</Application>
  <DocSecurity>0</DocSecurity>
  <Lines>7510</Lines>
  <Paragraphs>4158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2007 - 01-a0-00</dc:title>
  <dc:subject/>
  <dc:creator/>
  <cp:keywords/>
  <dc:description/>
  <cp:lastModifiedBy>svcMRProcess</cp:lastModifiedBy>
  <cp:revision>4</cp:revision>
  <cp:lastPrinted>2019-07-22T07:01:00Z</cp:lastPrinted>
  <dcterms:created xsi:type="dcterms:W3CDTF">2019-08-29T06:45:00Z</dcterms:created>
  <dcterms:modified xsi:type="dcterms:W3CDTF">2019-08-29T06:45:00Z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DocumentType">
    <vt:lpwstr>Reg</vt:lpwstr>
  </property>
  <property fmtid="{D5CDD505-2E9C-101B-9397-08002B2CF9AE}" pid="4" name="OwlsUID">
    <vt:i4>39779</vt:i4>
  </property>
  <property fmtid="{D5CDD505-2E9C-101B-9397-08002B2CF9AE}" pid="5" name="ReprintedAsAt">
    <vt:filetime>2019-08-15T16:00:00Z</vt:filetime>
  </property>
  <property fmtid="{D5CDD505-2E9C-101B-9397-08002B2CF9AE}" pid="6" name="ReprintNo">
    <vt:lpwstr>1</vt:lpwstr>
  </property>
  <property fmtid="{D5CDD505-2E9C-101B-9397-08002B2CF9AE}" pid="7" name="AsAtDate">
    <vt:lpwstr>16 Aug 2019</vt:lpwstr>
  </property>
  <property fmtid="{D5CDD505-2E9C-101B-9397-08002B2CF9AE}" pid="8" name="Suffix">
    <vt:lpwstr>01-a0-00</vt:lpwstr>
  </property>
  <property fmtid="{D5CDD505-2E9C-101B-9397-08002B2CF9AE}" pid="9" name="CommencementDate">
    <vt:lpwstr>20190816</vt:lpwstr>
  </property>
</Properties>
</file>