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_Toc20477733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_Toc20477734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_Toc20477735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_Toc20477737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_Toc20477738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_Toc20477739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_Toc20477740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_Toc20477742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_Toc20477743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_Toc20477744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_Toc20477745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_Toc20477746 \h </w:instrText>
      </w:r>
      <w:r>
        <w:fldChar w:fldCharType="separate"/>
      </w:r>
      <w:r>
        <w:t>8</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_Toc20477747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_Toc20477748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_Toc20477749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_Toc20477750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_Toc20477751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_Toc20477752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_Toc20477753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_Toc20477754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_Toc20477756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_Toc20477757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_Toc20477759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_Toc20477760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_Toc20477761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_Toc20477762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_Toc20477771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20473468"/>
      <w:bookmarkStart w:id="4" w:name="_Toc20474268"/>
      <w:bookmarkStart w:id="5" w:name="_Toc2047773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20477733"/>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8" w:name="_Toc2047773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9" w:name="_Toc20477735"/>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0" w:name="_Toc20473472"/>
      <w:bookmarkStart w:id="11" w:name="_Toc20474272"/>
      <w:bookmarkStart w:id="12" w:name="_Toc20477736"/>
      <w:r>
        <w:rPr>
          <w:rStyle w:val="CharPartNo"/>
        </w:rPr>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20477737"/>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20477738"/>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20477739"/>
      <w:r>
        <w:rPr>
          <w:rStyle w:val="CharSectno"/>
        </w:rPr>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20477740"/>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7" w:name="_Toc20473477"/>
      <w:bookmarkStart w:id="18" w:name="_Toc20474277"/>
      <w:bookmarkStart w:id="19" w:name="_Toc20477741"/>
      <w:r>
        <w:rPr>
          <w:rStyle w:val="CharPartNo"/>
        </w:rPr>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20477742"/>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1" w:name="_Toc20477743"/>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2" w:name="_Toc20477744"/>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3" w:name="_Toc20477745"/>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4" w:name="_Toc20477746"/>
      <w:r>
        <w:rPr>
          <w:rStyle w:val="CharSectno"/>
        </w:rPr>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5" w:name="_Toc20477747"/>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6" w:name="_Toc20477748"/>
      <w:r>
        <w:rPr>
          <w:rStyle w:val="CharSectno"/>
        </w:rPr>
        <w:t>9F</w:t>
      </w:r>
      <w:r>
        <w:t>.</w:t>
      </w:r>
      <w:r>
        <w:tab/>
        <w:t>Waiving fee for copy of document or transcript</w:t>
      </w:r>
      <w:bookmarkEnd w:id="26"/>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27" w:name="_Toc20477749"/>
      <w:r>
        <w:rPr>
          <w:rStyle w:val="CharSectno"/>
        </w:rPr>
        <w:t>9</w:t>
      </w:r>
      <w:r>
        <w:t>.</w:t>
      </w:r>
      <w:r>
        <w:tab/>
        <w:t>Fees relating to application under provision in Sch. 3, 4 or 6</w:t>
      </w:r>
      <w:bookmarkEnd w:id="2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sz w:val="22"/>
                <w:szCs w:val="22"/>
              </w:rPr>
            </w:pPr>
            <w:r>
              <w:rPr>
                <w:b/>
                <w:sz w:val="22"/>
                <w:szCs w:val="22"/>
              </w:rPr>
              <w:t>Item</w:t>
            </w:r>
          </w:p>
        </w:tc>
        <w:tc>
          <w:tcPr>
            <w:tcW w:w="2268" w:type="dxa"/>
            <w:tcBorders>
              <w:bottom w:val="single" w:sz="4" w:space="0" w:color="auto"/>
            </w:tcBorders>
          </w:tcPr>
          <w:p>
            <w:pPr>
              <w:pStyle w:val="TableNAm"/>
              <w:jc w:val="center"/>
              <w:rPr>
                <w:sz w:val="22"/>
                <w:szCs w:val="22"/>
              </w:rPr>
            </w:pPr>
            <w:r>
              <w:rPr>
                <w:b/>
                <w:sz w:val="22"/>
                <w:szCs w:val="22"/>
              </w:rPr>
              <w:t>Matter</w:t>
            </w:r>
          </w:p>
        </w:tc>
        <w:tc>
          <w:tcPr>
            <w:tcW w:w="1307" w:type="dxa"/>
            <w:tcBorders>
              <w:bottom w:val="single" w:sz="4" w:space="0" w:color="auto"/>
            </w:tcBorders>
          </w:tcPr>
          <w:p>
            <w:pPr>
              <w:pStyle w:val="TableNAm"/>
              <w:jc w:val="center"/>
              <w:rPr>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zyTableNAm"/>
              <w:rPr>
                <w:szCs w:val="22"/>
              </w:rPr>
            </w:pPr>
            <w:r>
              <w:rPr>
                <w:szCs w:val="22"/>
              </w:rPr>
              <w:t>1 832.00</w:t>
            </w:r>
          </w:p>
        </w:tc>
        <w:tc>
          <w:tcPr>
            <w:tcW w:w="1307" w:type="dxa"/>
            <w:tcBorders>
              <w:bottom w:val="nil"/>
            </w:tcBorders>
            <w:vAlign w:val="bottom"/>
          </w:tcPr>
          <w:p>
            <w:pPr>
              <w:pStyle w:val="zyTableNAm"/>
              <w:rPr>
                <w:szCs w:val="22"/>
              </w:rPr>
            </w:pPr>
            <w:r>
              <w:rPr>
                <w:szCs w:val="22"/>
              </w:rPr>
              <w:t>1 832.00</w:t>
            </w:r>
          </w:p>
        </w:tc>
        <w:tc>
          <w:tcPr>
            <w:tcW w:w="1308" w:type="dxa"/>
            <w:tcBorders>
              <w:bottom w:val="nil"/>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8" w:type="dxa"/>
            <w:tcBorders>
              <w:top w:val="single" w:sz="4" w:space="0" w:color="auto"/>
              <w:bottom w:val="single" w:sz="4" w:space="0" w:color="auto"/>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342.00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509.00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1 220.00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792.00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122.50</w:t>
            </w:r>
          </w:p>
        </w:tc>
        <w:tc>
          <w:tcPr>
            <w:tcW w:w="1307" w:type="dxa"/>
            <w:tcBorders>
              <w:bottom w:val="nil"/>
            </w:tcBorders>
            <w:vAlign w:val="bottom"/>
          </w:tcPr>
          <w:p>
            <w:pPr>
              <w:pStyle w:val="TableNAm"/>
            </w:pPr>
            <w:r>
              <w:rPr>
                <w:sz w:val="22"/>
                <w:szCs w:val="22"/>
              </w:rPr>
              <w:t>122.50</w:t>
            </w:r>
          </w:p>
        </w:tc>
        <w:tc>
          <w:tcPr>
            <w:tcW w:w="1308" w:type="dxa"/>
            <w:tcBorders>
              <w:bottom w:val="nil"/>
            </w:tcBorders>
            <w:vAlign w:val="bottom"/>
          </w:tcPr>
          <w:p>
            <w:pPr>
              <w:pStyle w:val="TableNAm"/>
            </w:pPr>
            <w:r>
              <w:rPr>
                <w:sz w:val="22"/>
                <w:szCs w:val="22"/>
              </w:rPr>
              <w:t>36.80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8" w:type="dxa"/>
            <w:tcBorders>
              <w:top w:val="single" w:sz="4" w:space="0" w:color="auto"/>
              <w:bottom w:val="single" w:sz="4" w:space="0" w:color="auto"/>
            </w:tcBorders>
            <w:vAlign w:val="bottom"/>
          </w:tcPr>
          <w:p>
            <w:pPr>
              <w:pStyle w:val="TableNAm"/>
            </w:pPr>
            <w:r>
              <w:rPr>
                <w:sz w:val="22"/>
                <w:szCs w:val="22"/>
              </w:rPr>
              <w:t>73.00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118.50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176.00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35.50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w:t>
      </w:r>
    </w:p>
    <w:p>
      <w:pPr>
        <w:pStyle w:val="Heading5"/>
        <w:pageBreakBefore/>
        <w:spacing w:before="0"/>
      </w:pPr>
      <w:bookmarkStart w:id="28" w:name="_Toc20477750"/>
      <w:r>
        <w:rPr>
          <w:rStyle w:val="CharSectno"/>
        </w:rPr>
        <w:t>10</w:t>
      </w:r>
      <w:r>
        <w:t>.</w:t>
      </w:r>
      <w:r>
        <w:tab/>
        <w:t>Fees relating to application to do with development on land</w:t>
      </w:r>
      <w:bookmarkEnd w:id="2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669.00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276"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1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30"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276" w:type="dxa"/>
            <w:tcBorders>
              <w:bottom w:val="nil"/>
            </w:tcBorders>
            <w:vAlign w:val="bottom"/>
          </w:tcPr>
          <w:p>
            <w:pPr>
              <w:pStyle w:val="TableNAm"/>
            </w:pPr>
            <w:r>
              <w:rPr>
                <w:sz w:val="22"/>
                <w:szCs w:val="22"/>
              </w:rPr>
              <w:t>1 220.00</w:t>
            </w:r>
          </w:p>
        </w:tc>
        <w:tc>
          <w:tcPr>
            <w:tcW w:w="1316" w:type="dxa"/>
            <w:tcBorders>
              <w:bottom w:val="nil"/>
            </w:tcBorders>
            <w:vAlign w:val="bottom"/>
          </w:tcPr>
          <w:p>
            <w:pPr>
              <w:pStyle w:val="TableNAm"/>
            </w:pPr>
            <w:r>
              <w:rPr>
                <w:sz w:val="22"/>
                <w:szCs w:val="22"/>
              </w:rPr>
              <w:t>1 220.00</w:t>
            </w:r>
          </w:p>
        </w:tc>
        <w:tc>
          <w:tcPr>
            <w:tcW w:w="1330"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pPr>
            <w:r>
              <w:rPr>
                <w:sz w:val="22"/>
                <w:szCs w:val="22"/>
              </w:rPr>
              <w:t>792.00</w:t>
            </w:r>
          </w:p>
        </w:tc>
        <w:tc>
          <w:tcPr>
            <w:tcW w:w="1316" w:type="dxa"/>
            <w:tcBorders>
              <w:top w:val="single" w:sz="4" w:space="0" w:color="auto"/>
              <w:bottom w:val="single" w:sz="4" w:space="0" w:color="auto"/>
            </w:tcBorders>
            <w:vAlign w:val="bottom"/>
          </w:tcPr>
          <w:p>
            <w:pPr>
              <w:pStyle w:val="TableNAm"/>
            </w:pPr>
            <w:r>
              <w:rPr>
                <w:sz w:val="22"/>
                <w:szCs w:val="22"/>
              </w:rPr>
              <w:t>792.00</w:t>
            </w:r>
          </w:p>
        </w:tc>
        <w:tc>
          <w:tcPr>
            <w:tcW w:w="1330"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27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1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30" w:type="dxa"/>
            <w:tcBorders>
              <w:top w:val="single" w:sz="4" w:space="0" w:color="auto"/>
              <w:bottom w:val="single" w:sz="4" w:space="0" w:color="auto"/>
            </w:tcBorders>
          </w:tcPr>
          <w:p>
            <w:pPr>
              <w:pStyle w:val="TableNAm"/>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w:t>
      </w:r>
    </w:p>
    <w:p>
      <w:pPr>
        <w:pStyle w:val="Heading5"/>
      </w:pPr>
      <w:bookmarkStart w:id="29" w:name="_Toc20477751"/>
      <w:r>
        <w:rPr>
          <w:rStyle w:val="CharSectno"/>
        </w:rPr>
        <w:t>11A</w:t>
      </w:r>
      <w:r>
        <w:t>.</w:t>
      </w:r>
      <w:r>
        <w:tab/>
        <w:t>No fee relating to application under provision in Sch. 7</w:t>
      </w:r>
      <w:bookmarkEnd w:id="29"/>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Gazette 6 Aug 2013 p. 3652.]</w:t>
      </w:r>
    </w:p>
    <w:p>
      <w:pPr>
        <w:pStyle w:val="Heading5"/>
      </w:pPr>
      <w:bookmarkStart w:id="30" w:name="_Toc20477752"/>
      <w:r>
        <w:rPr>
          <w:rStyle w:val="CharSectno"/>
        </w:rPr>
        <w:t>11B</w:t>
      </w:r>
      <w:r>
        <w:t>.</w:t>
      </w:r>
      <w:r>
        <w:tab/>
        <w:t>Fees relating to application not covered by r. 9, 10 or 11A</w:t>
      </w:r>
      <w:bookmarkEnd w:id="30"/>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41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27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229"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417" w:type="dxa"/>
            <w:tcBorders>
              <w:bottom w:val="nil"/>
            </w:tcBorders>
            <w:vAlign w:val="bottom"/>
          </w:tcPr>
          <w:p>
            <w:pPr>
              <w:pStyle w:val="TableNAm"/>
            </w:pPr>
            <w:r>
              <w:rPr>
                <w:sz w:val="22"/>
                <w:szCs w:val="22"/>
              </w:rPr>
              <w:t>550.00</w:t>
            </w:r>
          </w:p>
        </w:tc>
        <w:tc>
          <w:tcPr>
            <w:tcW w:w="1276" w:type="dxa"/>
            <w:tcBorders>
              <w:bottom w:val="nil"/>
            </w:tcBorders>
            <w:vAlign w:val="bottom"/>
          </w:tcPr>
          <w:p>
            <w:pPr>
              <w:pStyle w:val="TableNAm"/>
            </w:pPr>
            <w:r>
              <w:rPr>
                <w:sz w:val="22"/>
                <w:szCs w:val="22"/>
              </w:rPr>
              <w:t>550.00</w:t>
            </w:r>
          </w:p>
        </w:tc>
        <w:tc>
          <w:tcPr>
            <w:tcW w:w="1229"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pPr>
            <w:r>
              <w:rPr>
                <w:sz w:val="22"/>
                <w:szCs w:val="22"/>
              </w:rPr>
              <w:t>550.00</w:t>
            </w:r>
          </w:p>
        </w:tc>
        <w:tc>
          <w:tcPr>
            <w:tcW w:w="1276" w:type="dxa"/>
            <w:tcBorders>
              <w:top w:val="single" w:sz="4" w:space="0" w:color="auto"/>
              <w:bottom w:val="single" w:sz="4" w:space="0" w:color="auto"/>
            </w:tcBorders>
            <w:vAlign w:val="bottom"/>
          </w:tcPr>
          <w:p>
            <w:pPr>
              <w:pStyle w:val="TableNAm"/>
            </w:pPr>
            <w:r>
              <w:rPr>
                <w:sz w:val="22"/>
                <w:szCs w:val="22"/>
              </w:rPr>
              <w:t>550.00</w:t>
            </w:r>
          </w:p>
        </w:tc>
        <w:tc>
          <w:tcPr>
            <w:tcW w:w="1229"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417" w:type="dxa"/>
            <w:tcBorders>
              <w:top w:val="single" w:sz="4" w:space="0" w:color="auto"/>
              <w:bottom w:val="single" w:sz="4" w:space="0" w:color="auto"/>
            </w:tcBorders>
          </w:tcPr>
          <w:p>
            <w:pPr>
              <w:pStyle w:val="TableNAm"/>
            </w:pPr>
            <w:r>
              <w:rPr>
                <w:sz w:val="22"/>
                <w:szCs w:val="22"/>
              </w:rPr>
              <w:t>190.50 plus assessment fee of 2.50% of the costs claimed in the application</w:t>
            </w:r>
          </w:p>
        </w:tc>
        <w:tc>
          <w:tcPr>
            <w:tcW w:w="1276" w:type="dxa"/>
            <w:tcBorders>
              <w:top w:val="single" w:sz="4" w:space="0" w:color="auto"/>
              <w:bottom w:val="single" w:sz="4" w:space="0" w:color="auto"/>
            </w:tcBorders>
          </w:tcPr>
          <w:p>
            <w:pPr>
              <w:pStyle w:val="TableNAm"/>
            </w:pPr>
            <w:r>
              <w:rPr>
                <w:sz w:val="22"/>
                <w:szCs w:val="22"/>
              </w:rPr>
              <w:t>288.00 plus assessment fee of 2.50% of the costs claimed in the application</w:t>
            </w:r>
          </w:p>
        </w:tc>
        <w:tc>
          <w:tcPr>
            <w:tcW w:w="1229" w:type="dxa"/>
            <w:tcBorders>
              <w:top w:val="single" w:sz="4" w:space="0" w:color="auto"/>
              <w:bottom w:val="single" w:sz="4" w:space="0" w:color="auto"/>
            </w:tcBorders>
          </w:tcPr>
          <w:p>
            <w:pPr>
              <w:pStyle w:val="TableNAm"/>
            </w:pPr>
            <w:r>
              <w:rPr>
                <w:sz w:val="22"/>
                <w:szCs w:val="22"/>
              </w:rPr>
              <w:t>57.00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w:t>
      </w:r>
    </w:p>
    <w:p>
      <w:pPr>
        <w:pStyle w:val="Heading5"/>
        <w:spacing w:before="180"/>
      </w:pPr>
      <w:bookmarkStart w:id="31" w:name="_Toc20477753"/>
      <w:r>
        <w:rPr>
          <w:rStyle w:val="CharSectno"/>
        </w:rPr>
        <w:t>11</w:t>
      </w:r>
      <w:r>
        <w:t>.</w:t>
      </w:r>
      <w:r>
        <w:tab/>
        <w:t>Fees for provision of transcripts to third parties</w:t>
      </w:r>
      <w:bookmarkEnd w:id="3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2" w:name="_Toc20477754"/>
      <w:r>
        <w:rPr>
          <w:rStyle w:val="CharSectno"/>
        </w:rPr>
        <w:t>27</w:t>
      </w:r>
      <w:r>
        <w:t>.</w:t>
      </w:r>
      <w:r>
        <w:tab/>
        <w:t>Other fees</w:t>
      </w:r>
      <w:bookmarkEnd w:id="32"/>
    </w:p>
    <w:p>
      <w:pPr>
        <w:pStyle w:val="Subsection"/>
      </w:pPr>
      <w:r>
        <w:tab/>
      </w:r>
      <w:r>
        <w:tab/>
        <w:t>The fees set out in Schedule 20 are to be charged in respect of the matters shown in that Schedule.</w:t>
      </w:r>
    </w:p>
    <w:p>
      <w:pPr>
        <w:pStyle w:val="Heading2"/>
      </w:pPr>
      <w:bookmarkStart w:id="33" w:name="_Toc20473491"/>
      <w:bookmarkStart w:id="34" w:name="_Toc20474291"/>
      <w:bookmarkStart w:id="35" w:name="_Toc2047775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3"/>
      <w:bookmarkEnd w:id="34"/>
      <w:bookmarkEnd w:id="35"/>
    </w:p>
    <w:p>
      <w:pPr>
        <w:pStyle w:val="Heading5"/>
        <w:spacing w:before="180"/>
      </w:pPr>
      <w:bookmarkStart w:id="36" w:name="_Toc20477756"/>
      <w:r>
        <w:rPr>
          <w:rStyle w:val="CharSectno"/>
        </w:rPr>
        <w:t>28</w:t>
      </w:r>
      <w:r>
        <w:t>.</w:t>
      </w:r>
      <w:r>
        <w:tab/>
        <w:t>Transitional provisions</w:t>
      </w:r>
      <w:bookmarkEnd w:id="3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7" w:name="_Toc20477757"/>
      <w:r>
        <w:rPr>
          <w:rStyle w:val="CharSectno"/>
        </w:rPr>
        <w:t>33</w:t>
      </w:r>
      <w:r>
        <w:t>.</w:t>
      </w:r>
      <w:r>
        <w:tab/>
      </w:r>
      <w:r>
        <w:rPr>
          <w:i/>
        </w:rPr>
        <w:t>Land Administration Act 1997</w:t>
      </w:r>
      <w:bookmarkEnd w:id="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8" w:name="_Toc20473494"/>
      <w:bookmarkStart w:id="39" w:name="_Toc20474294"/>
      <w:bookmarkStart w:id="40" w:name="_Toc20477758"/>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8"/>
      <w:bookmarkEnd w:id="39"/>
      <w:bookmarkEnd w:id="40"/>
    </w:p>
    <w:p>
      <w:pPr>
        <w:pStyle w:val="Heading5"/>
      </w:pPr>
      <w:bookmarkStart w:id="41" w:name="_Toc20477759"/>
      <w:r>
        <w:rPr>
          <w:rStyle w:val="CharSectno"/>
        </w:rPr>
        <w:t>42</w:t>
      </w:r>
      <w:r>
        <w:t>.</w:t>
      </w:r>
      <w:r>
        <w:tab/>
        <w:t>Transitional provision</w:t>
      </w:r>
      <w:bookmarkEnd w:id="4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2" w:name="_Toc20477760"/>
      <w:r>
        <w:rPr>
          <w:rStyle w:val="CharSectno"/>
        </w:rPr>
        <w:t>55</w:t>
      </w:r>
      <w:r>
        <w:t>.</w:t>
      </w:r>
      <w:r>
        <w:tab/>
      </w:r>
      <w:r>
        <w:rPr>
          <w:i/>
        </w:rPr>
        <w:t>Local Government (Miscellaneous Provisions) Act 1960</w:t>
      </w:r>
      <w:bookmarkEnd w:id="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3" w:name="_Toc20477761"/>
      <w:r>
        <w:rPr>
          <w:rStyle w:val="CharSectno"/>
        </w:rPr>
        <w:t>61</w:t>
      </w:r>
      <w:r>
        <w:t>.</w:t>
      </w:r>
      <w:r>
        <w:tab/>
      </w:r>
      <w:r>
        <w:rPr>
          <w:i/>
        </w:rPr>
        <w:t>Rights in Water and Irrigation Act 1914</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4" w:name="_Toc20477762"/>
      <w:r>
        <w:rPr>
          <w:rStyle w:val="CharSectno"/>
        </w:rPr>
        <w:t>63</w:t>
      </w:r>
      <w:r>
        <w:t>.</w:t>
      </w:r>
      <w:r>
        <w:tab/>
      </w:r>
      <w:r>
        <w:rPr>
          <w:i/>
        </w:rPr>
        <w:t>Strata Titles Act 1985</w:t>
      </w:r>
      <w:bookmarkEnd w:id="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20473499"/>
      <w:bookmarkStart w:id="46" w:name="_Toc20474299"/>
      <w:bookmarkStart w:id="47" w:name="_Toc20477763"/>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45"/>
      <w:bookmarkEnd w:id="46"/>
      <w:bookmarkEnd w:id="4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20473500"/>
      <w:bookmarkStart w:id="50" w:name="_Toc20474300"/>
      <w:bookmarkStart w:id="51" w:name="_Toc20477764"/>
      <w:r>
        <w:rPr>
          <w:rStyle w:val="CharSchNo"/>
        </w:rPr>
        <w:t>Schedule 2</w:t>
      </w:r>
      <w:r>
        <w:t> — </w:t>
      </w:r>
      <w:r>
        <w:rPr>
          <w:rStyle w:val="CharSchText"/>
        </w:rPr>
        <w:t>Places at which a magistrate may be authorised to perform functions as a member of the Tribunal</w:t>
      </w:r>
      <w:bookmarkEnd w:id="49"/>
      <w:bookmarkEnd w:id="50"/>
      <w:bookmarkEnd w:id="5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52" w:name="_Toc20473501"/>
      <w:bookmarkStart w:id="53" w:name="_Toc20474301"/>
      <w:bookmarkStart w:id="54" w:name="_Toc20477765"/>
      <w:r>
        <w:rPr>
          <w:rStyle w:val="CharSchNo"/>
        </w:rPr>
        <w:t>Schedule 3</w:t>
      </w:r>
      <w:r>
        <w:t> — </w:t>
      </w:r>
      <w:r>
        <w:rPr>
          <w:rStyle w:val="CharSchText"/>
        </w:rPr>
        <w:t>Provision under which proceedings commenced</w:t>
      </w:r>
      <w:bookmarkEnd w:id="52"/>
      <w:bookmarkEnd w:id="53"/>
      <w:bookmarkEnd w:id="54"/>
    </w:p>
    <w:p>
      <w:pPr>
        <w:pStyle w:val="yShoulderClause"/>
      </w:pPr>
      <w:r>
        <w:t>[r. 9(1)]</w:t>
      </w:r>
    </w:p>
    <w:p>
      <w:pPr>
        <w:pStyle w:val="yFootnoteheading"/>
      </w:pPr>
      <w:r>
        <w:tab/>
        <w:t>[Heading inserted: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Gazette 26 Jun 2007 p. 2987</w:t>
      </w:r>
      <w:r>
        <w:noBreakHyphen/>
        <w:t xml:space="preserve">8; amended: Gazette </w:t>
      </w:r>
      <w:r>
        <w:rPr>
          <w:szCs w:val="22"/>
        </w:rPr>
        <w:t>6 Aug 2013 p. 3654.]</w:t>
      </w:r>
    </w:p>
    <w:p>
      <w:pPr>
        <w:pStyle w:val="yScheduleHeading"/>
      </w:pPr>
      <w:bookmarkStart w:id="55" w:name="_Toc20473502"/>
      <w:bookmarkStart w:id="56" w:name="_Toc20474302"/>
      <w:bookmarkStart w:id="57" w:name="_Toc20477766"/>
      <w:r>
        <w:rPr>
          <w:rStyle w:val="CharSchNo"/>
        </w:rPr>
        <w:t>Schedule 4</w:t>
      </w:r>
      <w:r>
        <w:t> — </w:t>
      </w:r>
      <w:r>
        <w:rPr>
          <w:rStyle w:val="CharSchText"/>
        </w:rPr>
        <w:t>Provision under which proceedings commenced</w:t>
      </w:r>
      <w:bookmarkEnd w:id="55"/>
      <w:bookmarkEnd w:id="56"/>
      <w:bookmarkEnd w:id="57"/>
    </w:p>
    <w:p>
      <w:pPr>
        <w:pStyle w:val="yShoulderClause"/>
      </w:pPr>
      <w:r>
        <w:t>[r. 9(2)]</w:t>
      </w:r>
    </w:p>
    <w:p>
      <w:pPr>
        <w:pStyle w:val="yFootnoteheading"/>
      </w:pPr>
      <w:r>
        <w:rPr>
          <w:snapToGrid w:val="0"/>
        </w:rPr>
        <w:tab/>
        <w:t>[Heading inserted: Gazette 6 Aug 2013 p. 3655.]</w:t>
      </w:r>
    </w:p>
    <w:p>
      <w:pPr>
        <w:pStyle w:val="yMiscellaneousBody"/>
        <w:spacing w:before="240"/>
      </w:pPr>
      <w:r>
        <w:rPr>
          <w:i/>
        </w:rPr>
        <w:t>Strata Titles Act 1985</w:t>
      </w:r>
      <w:r>
        <w:t xml:space="preserve"> s. 26(4), 26(5) or 27(3)</w:t>
      </w:r>
    </w:p>
    <w:p>
      <w:pPr>
        <w:pStyle w:val="yFootnotesection"/>
      </w:pPr>
      <w:r>
        <w:tab/>
        <w:t>[Schedule 4 inserted: Gazette 6 Aug 2013 p. 3655.]</w:t>
      </w:r>
    </w:p>
    <w:p>
      <w:pPr>
        <w:pStyle w:val="yEdnoteschedule"/>
        <w:rPr>
          <w:szCs w:val="22"/>
        </w:rPr>
      </w:pPr>
      <w:r>
        <w:rPr>
          <w:szCs w:val="22"/>
        </w:rPr>
        <w:t>[Schedule 5 deleted: Gazette 6 Aug 2013 p. 3655.]</w:t>
      </w:r>
    </w:p>
    <w:p>
      <w:pPr>
        <w:pStyle w:val="yScheduleHeading"/>
      </w:pPr>
      <w:bookmarkStart w:id="58" w:name="_Toc20473503"/>
      <w:bookmarkStart w:id="59" w:name="_Toc20474303"/>
      <w:bookmarkStart w:id="60" w:name="_Toc20477767"/>
      <w:r>
        <w:rPr>
          <w:rStyle w:val="CharSchNo"/>
        </w:rPr>
        <w:t>Schedule 6</w:t>
      </w:r>
      <w:r>
        <w:t> — </w:t>
      </w:r>
      <w:r>
        <w:rPr>
          <w:rStyle w:val="CharSchText"/>
        </w:rPr>
        <w:t>Provision under which proceedings commenced</w:t>
      </w:r>
      <w:bookmarkEnd w:id="58"/>
      <w:bookmarkEnd w:id="59"/>
      <w:bookmarkEnd w:id="60"/>
    </w:p>
    <w:p>
      <w:pPr>
        <w:pStyle w:val="yShoulderClause"/>
      </w:pPr>
      <w:r>
        <w:t>[r. 9(4)]</w:t>
      </w:r>
    </w:p>
    <w:p>
      <w:pPr>
        <w:pStyle w:val="yFootnoteheading"/>
      </w:pPr>
      <w:r>
        <w:tab/>
        <w:t>[Heading inserted: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2019</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w:t>
      </w:r>
    </w:p>
    <w:p>
      <w:pPr>
        <w:pStyle w:val="yScheduleHeading"/>
      </w:pPr>
      <w:bookmarkStart w:id="61" w:name="_Toc20473504"/>
      <w:bookmarkStart w:id="62" w:name="_Toc20474304"/>
      <w:bookmarkStart w:id="63" w:name="_Toc20477768"/>
      <w:r>
        <w:rPr>
          <w:rStyle w:val="CharSchNo"/>
        </w:rPr>
        <w:t>Schedule 7</w:t>
      </w:r>
      <w:r>
        <w:t> — </w:t>
      </w:r>
      <w:r>
        <w:rPr>
          <w:rStyle w:val="CharSchText"/>
        </w:rPr>
        <w:t>Enactments under which proceedings commenced</w:t>
      </w:r>
      <w:bookmarkEnd w:id="61"/>
      <w:bookmarkEnd w:id="62"/>
      <w:bookmarkEnd w:id="63"/>
    </w:p>
    <w:p>
      <w:pPr>
        <w:pStyle w:val="yShoulderClause"/>
      </w:pPr>
      <w:r>
        <w:t>[r. 11A]</w:t>
      </w:r>
    </w:p>
    <w:p>
      <w:pPr>
        <w:pStyle w:val="yFootnoteheading"/>
      </w:pPr>
      <w:r>
        <w:rPr>
          <w:snapToGrid w:val="0"/>
        </w:rPr>
        <w:tab/>
        <w:t>[Heading inserted: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w:t>
      </w:r>
    </w:p>
    <w:p>
      <w:pPr>
        <w:pStyle w:val="yEdnoteschedule"/>
      </w:pPr>
      <w:r>
        <w:t>[Schedules 8</w:t>
      </w:r>
      <w:r>
        <w:noBreakHyphen/>
        <w:t>19 deleted: Gazette 26 Jun 2007 p. 2987.]</w:t>
      </w:r>
    </w:p>
    <w:p>
      <w:pPr>
        <w:pStyle w:val="yScheduleHeading"/>
      </w:pPr>
      <w:bookmarkStart w:id="64" w:name="_Toc20473505"/>
      <w:bookmarkStart w:id="65" w:name="_Toc20474305"/>
      <w:bookmarkStart w:id="66" w:name="_Toc20477769"/>
      <w:r>
        <w:rPr>
          <w:rStyle w:val="CharSchNo"/>
        </w:rPr>
        <w:t>Schedule 20</w:t>
      </w:r>
      <w:r>
        <w:rPr>
          <w:rStyle w:val="CharSDivNo"/>
        </w:rPr>
        <w:t> </w:t>
      </w:r>
      <w:r>
        <w:t>—</w:t>
      </w:r>
      <w:r>
        <w:rPr>
          <w:rStyle w:val="CharSDivText"/>
        </w:rPr>
        <w:t> </w:t>
      </w:r>
      <w:r>
        <w:rPr>
          <w:rStyle w:val="CharSchText"/>
        </w:rPr>
        <w:t>Other fees</w:t>
      </w:r>
      <w:bookmarkEnd w:id="64"/>
      <w:bookmarkEnd w:id="65"/>
      <w:bookmarkEnd w:id="66"/>
    </w:p>
    <w:p>
      <w:pPr>
        <w:pStyle w:val="yShoulderClause"/>
      </w:pPr>
      <w:r>
        <w:t>[r. 27]</w:t>
      </w:r>
    </w:p>
    <w:p>
      <w:pPr>
        <w:pStyle w:val="yFootnoteheading"/>
        <w:spacing w:after="60"/>
      </w:pPr>
      <w:r>
        <w:tab/>
        <w:t>[Heading inserted: Gazette 28 Jun 2019 p. 2617.]</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rPr>
                <w:b/>
              </w:rPr>
            </w:pPr>
            <w:r>
              <w:rPr>
                <w:b/>
              </w:rPr>
              <w:t>Item</w:t>
            </w:r>
          </w:p>
        </w:tc>
        <w:tc>
          <w:tcPr>
            <w:tcW w:w="2495" w:type="dxa"/>
            <w:tcBorders>
              <w:left w:val="nil"/>
              <w:bottom w:val="single" w:sz="4" w:space="0" w:color="auto"/>
              <w:right w:val="nil"/>
            </w:tcBorders>
          </w:tcPr>
          <w:p>
            <w:pPr>
              <w:pStyle w:val="yTableNAm"/>
              <w:jc w:val="center"/>
              <w:rPr>
                <w:b/>
              </w:rPr>
            </w:pPr>
            <w:r>
              <w:rPr>
                <w:b/>
              </w:rPr>
              <w:t>Matter</w:t>
            </w:r>
          </w:p>
        </w:tc>
        <w:tc>
          <w:tcPr>
            <w:tcW w:w="1260"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rPr>
                <w:b/>
              </w:rPr>
            </w:pPr>
            <w:r>
              <w:rPr>
                <w:b/>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t>1.</w:t>
            </w:r>
          </w:p>
        </w:tc>
        <w:tc>
          <w:tcPr>
            <w:tcW w:w="2495" w:type="dxa"/>
            <w:tcBorders>
              <w:left w:val="nil"/>
              <w:bottom w:val="nil"/>
              <w:right w:val="nil"/>
            </w:tcBorders>
          </w:tcPr>
          <w:p>
            <w:pPr>
              <w:pStyle w:val="yTableNAm"/>
            </w:pPr>
            <w:r>
              <w:t xml:space="preserve">Application under section 22(1) of the Act </w:t>
            </w:r>
          </w:p>
        </w:tc>
        <w:tc>
          <w:tcPr>
            <w:tcW w:w="1260" w:type="dxa"/>
            <w:tcBorders>
              <w:left w:val="nil"/>
              <w:bottom w:val="nil"/>
              <w:right w:val="nil"/>
            </w:tcBorders>
            <w:vAlign w:val="bottom"/>
          </w:tcPr>
          <w:p>
            <w:pPr>
              <w:pStyle w:val="yTableNAm"/>
            </w:pPr>
            <w:r>
              <w:t>111.50</w:t>
            </w:r>
          </w:p>
        </w:tc>
        <w:tc>
          <w:tcPr>
            <w:tcW w:w="1259" w:type="dxa"/>
            <w:tcBorders>
              <w:left w:val="nil"/>
              <w:bottom w:val="nil"/>
              <w:right w:val="nil"/>
            </w:tcBorders>
            <w:vAlign w:val="bottom"/>
          </w:tcPr>
          <w:p>
            <w:pPr>
              <w:pStyle w:val="yTableNAm"/>
            </w:pPr>
            <w:r>
              <w:t>224.00</w:t>
            </w:r>
          </w:p>
        </w:tc>
        <w:tc>
          <w:tcPr>
            <w:tcW w:w="1223" w:type="dxa"/>
            <w:tcBorders>
              <w:left w:val="nil"/>
              <w:bottom w:val="nil"/>
              <w:right w:val="nil"/>
            </w:tcBorders>
            <w:vAlign w:val="bottom"/>
          </w:tcPr>
          <w:p>
            <w:pPr>
              <w:pStyle w:val="yTableNAm"/>
            </w:pPr>
            <w:r>
              <w:t>33.40</w:t>
            </w:r>
          </w:p>
        </w:tc>
      </w:tr>
      <w:tr>
        <w:trPr>
          <w:cantSplit/>
        </w:trPr>
        <w:tc>
          <w:tcPr>
            <w:tcW w:w="767" w:type="dxa"/>
            <w:tcBorders>
              <w:top w:val="nil"/>
              <w:left w:val="nil"/>
              <w:bottom w:val="nil"/>
              <w:right w:val="nil"/>
            </w:tcBorders>
          </w:tcPr>
          <w:p>
            <w:pPr>
              <w:pStyle w:val="yTableNAm"/>
            </w:pPr>
            <w:r>
              <w:t>2.</w:t>
            </w:r>
          </w:p>
        </w:tc>
        <w:tc>
          <w:tcPr>
            <w:tcW w:w="2495" w:type="dxa"/>
            <w:tcBorders>
              <w:top w:val="nil"/>
              <w:left w:val="nil"/>
              <w:bottom w:val="nil"/>
              <w:right w:val="nil"/>
            </w:tcBorders>
          </w:tcPr>
          <w:p>
            <w:pPr>
              <w:pStyle w:val="yTableNAm"/>
            </w:pPr>
            <w:r>
              <w:t xml:space="preserve">For a copy of a document, for each page or part of a page </w:t>
            </w:r>
          </w:p>
        </w:tc>
        <w:tc>
          <w:tcPr>
            <w:tcW w:w="1260" w:type="dxa"/>
            <w:tcBorders>
              <w:top w:val="nil"/>
              <w:left w:val="nil"/>
              <w:bottom w:val="nil"/>
              <w:right w:val="nil"/>
            </w:tcBorders>
            <w:vAlign w:val="bottom"/>
          </w:tcPr>
          <w:p>
            <w:pPr>
              <w:pStyle w:val="yTableNAm"/>
            </w:pPr>
            <w:r>
              <w:t>1.60</w:t>
            </w:r>
          </w:p>
        </w:tc>
        <w:tc>
          <w:tcPr>
            <w:tcW w:w="1259" w:type="dxa"/>
            <w:tcBorders>
              <w:top w:val="nil"/>
              <w:left w:val="nil"/>
              <w:bottom w:val="nil"/>
              <w:right w:val="nil"/>
            </w:tcBorders>
            <w:vAlign w:val="bottom"/>
          </w:tcPr>
          <w:p>
            <w:pPr>
              <w:pStyle w:val="yTableNAm"/>
            </w:pPr>
            <w:r>
              <w:t>1.60</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3.</w:t>
            </w:r>
          </w:p>
        </w:tc>
        <w:tc>
          <w:tcPr>
            <w:tcW w:w="2495" w:type="dxa"/>
            <w:tcBorders>
              <w:top w:val="nil"/>
              <w:left w:val="nil"/>
              <w:bottom w:val="nil"/>
              <w:right w:val="nil"/>
            </w:tcBorders>
          </w:tcPr>
          <w:p>
            <w:pPr>
              <w:pStyle w:val="yTableNAm"/>
            </w:pPr>
            <w:r>
              <w:t xml:space="preserve">For a copy of reasons for decision, for each page or part of a page — </w:t>
            </w:r>
          </w:p>
        </w:tc>
        <w:tc>
          <w:tcPr>
            <w:tcW w:w="1260" w:type="dxa"/>
            <w:tcBorders>
              <w:top w:val="nil"/>
              <w:left w:val="nil"/>
              <w:bottom w:val="nil"/>
              <w:right w:val="nil"/>
            </w:tcBorders>
            <w:vAlign w:val="bottom"/>
          </w:tcPr>
          <w:p>
            <w:pPr>
              <w:pStyle w:val="yTableNAm"/>
            </w:pPr>
          </w:p>
        </w:tc>
        <w:tc>
          <w:tcPr>
            <w:tcW w:w="1259" w:type="dxa"/>
            <w:tcBorders>
              <w:top w:val="nil"/>
              <w:left w:val="nil"/>
              <w:bottom w:val="nil"/>
              <w:right w:val="nil"/>
            </w:tcBorders>
            <w:vAlign w:val="bottom"/>
          </w:tcPr>
          <w:p>
            <w:pPr>
              <w:pStyle w:val="yTableNAm"/>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1 copy on the request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each additional copy on the request of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(c)</w:t>
            </w:r>
            <w:r>
              <w:tab/>
              <w:t xml:space="preserve">for each copy on the request of a person who is not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4.</w:t>
            </w:r>
          </w:p>
        </w:tc>
        <w:tc>
          <w:tcPr>
            <w:tcW w:w="2495" w:type="dxa"/>
            <w:tcBorders>
              <w:top w:val="nil"/>
              <w:left w:val="nil"/>
              <w:bottom w:val="nil"/>
              <w:right w:val="nil"/>
            </w:tcBorders>
          </w:tcPr>
          <w:p>
            <w:pPr>
              <w:pStyle w:val="yTableNAm"/>
            </w:pPr>
            <w: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21.70</w:t>
            </w:r>
          </w:p>
        </w:tc>
        <w:tc>
          <w:tcPr>
            <w:tcW w:w="1259" w:type="dxa"/>
            <w:tcBorders>
              <w:top w:val="nil"/>
              <w:left w:val="nil"/>
              <w:bottom w:val="nil"/>
              <w:right w:val="nil"/>
            </w:tcBorders>
            <w:vAlign w:val="bottom"/>
          </w:tcPr>
          <w:p>
            <w:pPr>
              <w:pStyle w:val="yTableNAm"/>
            </w:pPr>
            <w:r>
              <w:t>21.70</w:t>
            </w:r>
          </w:p>
        </w:tc>
        <w:tc>
          <w:tcPr>
            <w:tcW w:w="1223" w:type="dxa"/>
            <w:tcBorders>
              <w:top w:val="nil"/>
              <w:left w:val="nil"/>
              <w:bottom w:val="nil"/>
              <w:right w:val="nil"/>
            </w:tcBorders>
            <w:vAlign w:val="bottom"/>
          </w:tcPr>
          <w:p>
            <w:pPr>
              <w:pStyle w:val="yTableNAm"/>
            </w:pPr>
            <w:r>
              <w:t>6.50</w:t>
            </w:r>
          </w:p>
        </w:tc>
      </w:tr>
      <w:tr>
        <w:trPr>
          <w:cantSplit/>
        </w:trPr>
        <w:tc>
          <w:tcPr>
            <w:tcW w:w="767" w:type="dxa"/>
            <w:tcBorders>
              <w:top w:val="nil"/>
              <w:left w:val="nil"/>
              <w:bottom w:val="nil"/>
              <w:right w:val="nil"/>
            </w:tcBorders>
          </w:tcPr>
          <w:p>
            <w:pPr>
              <w:pStyle w:val="yTableNAm"/>
            </w:pPr>
            <w:r>
              <w:t>5.</w:t>
            </w: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the provision of a transcript, or part of a transcript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provided within 1 day after the day on which the fee is paid </w:t>
            </w:r>
          </w:p>
        </w:tc>
        <w:tc>
          <w:tcPr>
            <w:tcW w:w="1260" w:type="dxa"/>
            <w:tcBorders>
              <w:top w:val="nil"/>
              <w:left w:val="nil"/>
              <w:bottom w:val="nil"/>
              <w:right w:val="nil"/>
            </w:tcBorders>
          </w:tcPr>
          <w:p>
            <w:pPr>
              <w:pStyle w:val="yTableNAm"/>
            </w:pPr>
            <w:r>
              <w:t>22.60 plus</w:t>
            </w:r>
            <w:r>
              <w:br/>
              <w:t>9.30 per page</w:t>
            </w:r>
          </w:p>
        </w:tc>
        <w:tc>
          <w:tcPr>
            <w:tcW w:w="1259" w:type="dxa"/>
            <w:tcBorders>
              <w:top w:val="nil"/>
              <w:left w:val="nil"/>
              <w:bottom w:val="nil"/>
              <w:right w:val="nil"/>
            </w:tcBorders>
          </w:tcPr>
          <w:p>
            <w:pPr>
              <w:pStyle w:val="yTableNAm"/>
            </w:pPr>
            <w:r>
              <w:t>22.60 plus</w:t>
            </w:r>
            <w:r>
              <w:br/>
              <w:t>18.60 per page</w:t>
            </w:r>
          </w:p>
        </w:tc>
        <w:tc>
          <w:tcPr>
            <w:tcW w:w="1223" w:type="dxa"/>
            <w:tcBorders>
              <w:top w:val="nil"/>
              <w:left w:val="nil"/>
              <w:bottom w:val="nil"/>
              <w:right w:val="nil"/>
            </w:tcBorders>
          </w:tcPr>
          <w:p>
            <w:pPr>
              <w:pStyle w:val="yTableNAm"/>
            </w:pPr>
            <w:r>
              <w:t xml:space="preserve">6.80 plus </w:t>
            </w:r>
            <w:r>
              <w:br/>
              <w:t>2.80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provided within 2 days after the day on which the fee is paid </w:t>
            </w:r>
          </w:p>
        </w:tc>
        <w:tc>
          <w:tcPr>
            <w:tcW w:w="1260" w:type="dxa"/>
            <w:tcBorders>
              <w:top w:val="nil"/>
              <w:left w:val="nil"/>
              <w:bottom w:val="nil"/>
              <w:right w:val="nil"/>
            </w:tcBorders>
          </w:tcPr>
          <w:p>
            <w:pPr>
              <w:pStyle w:val="yTableNAm"/>
            </w:pPr>
            <w:r>
              <w:t>22.60 plus</w:t>
            </w:r>
            <w:r>
              <w:br/>
              <w:t>8.55 per page</w:t>
            </w:r>
          </w:p>
        </w:tc>
        <w:tc>
          <w:tcPr>
            <w:tcW w:w="1259" w:type="dxa"/>
            <w:tcBorders>
              <w:top w:val="nil"/>
              <w:left w:val="nil"/>
              <w:bottom w:val="nil"/>
              <w:right w:val="nil"/>
            </w:tcBorders>
          </w:tcPr>
          <w:p>
            <w:pPr>
              <w:pStyle w:val="yTableNAm"/>
            </w:pPr>
            <w:r>
              <w:t>22.60 plus</w:t>
            </w:r>
            <w:r>
              <w:br/>
              <w:t>17.05 per page</w:t>
            </w:r>
          </w:p>
        </w:tc>
        <w:tc>
          <w:tcPr>
            <w:tcW w:w="1223" w:type="dxa"/>
            <w:tcBorders>
              <w:top w:val="nil"/>
              <w:left w:val="nil"/>
              <w:bottom w:val="nil"/>
              <w:right w:val="nil"/>
            </w:tcBorders>
          </w:tcPr>
          <w:p>
            <w:pPr>
              <w:pStyle w:val="yTableNAm"/>
            </w:pPr>
            <w:r>
              <w:t xml:space="preserve">6.80 plus </w:t>
            </w:r>
            <w:r>
              <w:br/>
              <w:t>2.55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(iii)</w:t>
            </w:r>
            <w:r>
              <w:tab/>
              <w:t xml:space="preserve">provided within 4 days after the day on which the fee is paid </w:t>
            </w:r>
          </w:p>
        </w:tc>
        <w:tc>
          <w:tcPr>
            <w:tcW w:w="1260" w:type="dxa"/>
            <w:tcBorders>
              <w:top w:val="nil"/>
              <w:left w:val="nil"/>
              <w:bottom w:val="nil"/>
              <w:right w:val="nil"/>
            </w:tcBorders>
          </w:tcPr>
          <w:p>
            <w:pPr>
              <w:pStyle w:val="yTableNAm"/>
            </w:pPr>
            <w:r>
              <w:t>22.60 plus</w:t>
            </w:r>
            <w:r>
              <w:br/>
              <w:t>8.05 per page</w:t>
            </w:r>
          </w:p>
        </w:tc>
        <w:tc>
          <w:tcPr>
            <w:tcW w:w="1259" w:type="dxa"/>
            <w:tcBorders>
              <w:top w:val="nil"/>
              <w:left w:val="nil"/>
              <w:bottom w:val="nil"/>
              <w:right w:val="nil"/>
            </w:tcBorders>
          </w:tcPr>
          <w:p>
            <w:pPr>
              <w:pStyle w:val="yTableNAm"/>
            </w:pPr>
            <w:r>
              <w:t>22.60 plus</w:t>
            </w:r>
            <w:r>
              <w:br/>
              <w:t>16.25 per page</w:t>
            </w:r>
          </w:p>
        </w:tc>
        <w:tc>
          <w:tcPr>
            <w:tcW w:w="1223" w:type="dxa"/>
            <w:tcBorders>
              <w:top w:val="nil"/>
              <w:left w:val="nil"/>
              <w:bottom w:val="nil"/>
              <w:right w:val="nil"/>
            </w:tcBorders>
          </w:tcPr>
          <w:p>
            <w:pPr>
              <w:pStyle w:val="yTableNAm"/>
            </w:pPr>
            <w:r>
              <w:t xml:space="preserve">6.80 plus </w:t>
            </w:r>
            <w:r>
              <w:br/>
              <w:t>2.40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(iv)</w:t>
            </w:r>
            <w:r>
              <w:tab/>
              <w:t xml:space="preserve">provided within 7 days after the day on which the fee is paid </w:t>
            </w:r>
          </w:p>
        </w:tc>
        <w:tc>
          <w:tcPr>
            <w:tcW w:w="1260" w:type="dxa"/>
            <w:tcBorders>
              <w:top w:val="nil"/>
              <w:left w:val="nil"/>
              <w:bottom w:val="nil"/>
              <w:right w:val="nil"/>
            </w:tcBorders>
          </w:tcPr>
          <w:p>
            <w:pPr>
              <w:pStyle w:val="yTableNAm"/>
            </w:pPr>
            <w:r>
              <w:t xml:space="preserve">22.60 plus </w:t>
            </w:r>
            <w:r>
              <w:br/>
              <w:t>7.75 per page</w:t>
            </w:r>
          </w:p>
        </w:tc>
        <w:tc>
          <w:tcPr>
            <w:tcW w:w="1259" w:type="dxa"/>
            <w:tcBorders>
              <w:top w:val="nil"/>
              <w:left w:val="nil"/>
              <w:bottom w:val="nil"/>
              <w:right w:val="nil"/>
            </w:tcBorders>
          </w:tcPr>
          <w:p>
            <w:pPr>
              <w:pStyle w:val="yTableNAm"/>
            </w:pPr>
            <w:r>
              <w:t>22.60 plus</w:t>
            </w:r>
            <w:r>
              <w:br/>
              <w:t>15.45 per page</w:t>
            </w:r>
          </w:p>
        </w:tc>
        <w:tc>
          <w:tcPr>
            <w:tcW w:w="1223" w:type="dxa"/>
            <w:tcBorders>
              <w:top w:val="nil"/>
              <w:left w:val="nil"/>
              <w:bottom w:val="nil"/>
              <w:right w:val="nil"/>
            </w:tcBorders>
          </w:tcPr>
          <w:p>
            <w:pPr>
              <w:pStyle w:val="yTableNAm"/>
            </w:pPr>
            <w:r>
              <w:t xml:space="preserve">6.80 plus </w:t>
            </w:r>
            <w:r>
              <w:br/>
              <w:t>2.30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w:t>
            </w:r>
            <w:r>
              <w:tab/>
              <w:t xml:space="preserve">provided within 14 days after the day on which the fee is paid </w:t>
            </w:r>
          </w:p>
        </w:tc>
        <w:tc>
          <w:tcPr>
            <w:tcW w:w="1260" w:type="dxa"/>
            <w:tcBorders>
              <w:top w:val="nil"/>
              <w:left w:val="nil"/>
              <w:bottom w:val="nil"/>
              <w:right w:val="nil"/>
            </w:tcBorders>
          </w:tcPr>
          <w:p>
            <w:pPr>
              <w:pStyle w:val="yTableNAm"/>
            </w:pPr>
            <w:r>
              <w:t xml:space="preserve">22.60 plus </w:t>
            </w:r>
            <w:r>
              <w:br/>
              <w:t>6.60 per page</w:t>
            </w:r>
          </w:p>
        </w:tc>
        <w:tc>
          <w:tcPr>
            <w:tcW w:w="1259" w:type="dxa"/>
            <w:tcBorders>
              <w:top w:val="nil"/>
              <w:left w:val="nil"/>
              <w:bottom w:val="nil"/>
              <w:right w:val="nil"/>
            </w:tcBorders>
          </w:tcPr>
          <w:p>
            <w:pPr>
              <w:pStyle w:val="yTableNAm"/>
            </w:pPr>
            <w:r>
              <w:t>22.60 plus</w:t>
            </w:r>
            <w:r>
              <w:br/>
              <w:t>13.20 per page</w:t>
            </w:r>
          </w:p>
        </w:tc>
        <w:tc>
          <w:tcPr>
            <w:tcW w:w="1223" w:type="dxa"/>
            <w:tcBorders>
              <w:top w:val="nil"/>
              <w:left w:val="nil"/>
              <w:bottom w:val="nil"/>
              <w:right w:val="nil"/>
            </w:tcBorders>
          </w:tcPr>
          <w:p>
            <w:pPr>
              <w:pStyle w:val="yTableNAm"/>
            </w:pPr>
            <w:r>
              <w:t xml:space="preserve">6.80 plus </w:t>
            </w:r>
            <w:r>
              <w:br/>
              <w:t>2.00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pPr>
            <w:r>
              <w:t xml:space="preserve">22.60 plus </w:t>
            </w:r>
            <w:r>
              <w:br/>
              <w:t>9.90 per page</w:t>
            </w:r>
          </w:p>
        </w:tc>
        <w:tc>
          <w:tcPr>
            <w:tcW w:w="1259" w:type="dxa"/>
            <w:tcBorders>
              <w:top w:val="nil"/>
              <w:left w:val="nil"/>
              <w:bottom w:val="nil"/>
              <w:right w:val="nil"/>
            </w:tcBorders>
          </w:tcPr>
          <w:p>
            <w:pPr>
              <w:pStyle w:val="yTableNAm"/>
            </w:pPr>
            <w:r>
              <w:t>22.60 plus</w:t>
            </w:r>
            <w:r>
              <w:br/>
              <w:t>19.80 per page</w:t>
            </w:r>
          </w:p>
        </w:tc>
        <w:tc>
          <w:tcPr>
            <w:tcW w:w="1223" w:type="dxa"/>
            <w:tcBorders>
              <w:top w:val="nil"/>
              <w:left w:val="nil"/>
              <w:bottom w:val="nil"/>
              <w:right w:val="nil"/>
            </w:tcBorders>
          </w:tcPr>
          <w:p>
            <w:pPr>
              <w:pStyle w:val="yTableNAm"/>
            </w:pPr>
            <w:r>
              <w:t xml:space="preserve">6.80 plus </w:t>
            </w:r>
            <w:r>
              <w:br/>
              <w:t>2.95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electronic format </w:t>
            </w:r>
          </w:p>
        </w:tc>
        <w:tc>
          <w:tcPr>
            <w:tcW w:w="1260" w:type="dxa"/>
            <w:tcBorders>
              <w:top w:val="nil"/>
              <w:left w:val="nil"/>
              <w:bottom w:val="nil"/>
              <w:right w:val="nil"/>
            </w:tcBorders>
          </w:tcPr>
          <w:p>
            <w:pPr>
              <w:pStyle w:val="yTableNAm"/>
            </w:pPr>
            <w:r>
              <w:t>23.50 per copy</w:t>
            </w:r>
          </w:p>
        </w:tc>
        <w:tc>
          <w:tcPr>
            <w:tcW w:w="1259" w:type="dxa"/>
            <w:tcBorders>
              <w:top w:val="nil"/>
              <w:left w:val="nil"/>
              <w:bottom w:val="nil"/>
              <w:right w:val="nil"/>
            </w:tcBorders>
          </w:tcPr>
          <w:p>
            <w:pPr>
              <w:pStyle w:val="yTableNAm"/>
            </w:pPr>
            <w:r>
              <w:t>23.50 per copy</w:t>
            </w:r>
          </w:p>
        </w:tc>
        <w:tc>
          <w:tcPr>
            <w:tcW w:w="1223" w:type="dxa"/>
            <w:tcBorders>
              <w:top w:val="nil"/>
              <w:left w:val="nil"/>
              <w:bottom w:val="nil"/>
              <w:right w:val="nil"/>
            </w:tcBorders>
          </w:tcPr>
          <w:p>
            <w:pPr>
              <w:pStyle w:val="yTableNAm"/>
            </w:pPr>
            <w:r>
              <w:t>7.05 per copy</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paper copy </w:t>
            </w:r>
          </w:p>
        </w:tc>
        <w:tc>
          <w:tcPr>
            <w:tcW w:w="1260" w:type="dxa"/>
            <w:tcBorders>
              <w:top w:val="nil"/>
              <w:left w:val="nil"/>
              <w:bottom w:val="nil"/>
              <w:right w:val="nil"/>
            </w:tcBorders>
          </w:tcPr>
          <w:p>
            <w:pPr>
              <w:pStyle w:val="yTableNAm"/>
            </w:pPr>
            <w:r>
              <w:t>2.30 per page</w:t>
            </w:r>
          </w:p>
        </w:tc>
        <w:tc>
          <w:tcPr>
            <w:tcW w:w="1259" w:type="dxa"/>
            <w:tcBorders>
              <w:top w:val="nil"/>
              <w:left w:val="nil"/>
              <w:bottom w:val="nil"/>
              <w:right w:val="nil"/>
            </w:tcBorders>
          </w:tcPr>
          <w:p>
            <w:pPr>
              <w:pStyle w:val="yTableNAm"/>
            </w:pPr>
            <w:r>
              <w:t>2.30 per page</w:t>
            </w:r>
          </w:p>
        </w:tc>
        <w:tc>
          <w:tcPr>
            <w:tcW w:w="1223" w:type="dxa"/>
            <w:tcBorders>
              <w:top w:val="nil"/>
              <w:left w:val="nil"/>
              <w:bottom w:val="nil"/>
              <w:right w:val="nil"/>
            </w:tcBorders>
          </w:tcPr>
          <w:p>
            <w:pPr>
              <w:pStyle w:val="yTableNAm"/>
            </w:pPr>
            <w:r>
              <w:t>0.70 per page</w:t>
            </w:r>
          </w:p>
        </w:tc>
      </w:tr>
      <w:tr>
        <w:trPr>
          <w:cantSplit/>
        </w:trPr>
        <w:tc>
          <w:tcPr>
            <w:tcW w:w="767" w:type="dxa"/>
            <w:tcBorders>
              <w:top w:val="nil"/>
              <w:left w:val="nil"/>
              <w:bottom w:val="nil"/>
              <w:right w:val="nil"/>
            </w:tcBorders>
          </w:tcPr>
          <w:p>
            <w:pPr>
              <w:pStyle w:val="yTableNAm"/>
            </w:pPr>
            <w:r>
              <w:t>6.</w:t>
            </w:r>
          </w:p>
        </w:tc>
        <w:tc>
          <w:tcPr>
            <w:tcW w:w="2495" w:type="dxa"/>
            <w:tcBorders>
              <w:top w:val="nil"/>
              <w:left w:val="nil"/>
              <w:bottom w:val="nil"/>
              <w:right w:val="nil"/>
            </w:tcBorders>
          </w:tcPr>
          <w:p>
            <w:pPr>
              <w:pStyle w:val="yTableNAm"/>
            </w:pPr>
            <w: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24.50</w:t>
            </w:r>
          </w:p>
        </w:tc>
        <w:tc>
          <w:tcPr>
            <w:tcW w:w="1259" w:type="dxa"/>
            <w:tcBorders>
              <w:top w:val="nil"/>
              <w:left w:val="nil"/>
              <w:bottom w:val="nil"/>
              <w:right w:val="nil"/>
            </w:tcBorders>
            <w:vAlign w:val="bottom"/>
          </w:tcPr>
          <w:p>
            <w:pPr>
              <w:pStyle w:val="yTableNAm"/>
            </w:pPr>
            <w:r>
              <w:t>24.50</w:t>
            </w:r>
          </w:p>
        </w:tc>
        <w:tc>
          <w:tcPr>
            <w:tcW w:w="1223" w:type="dxa"/>
            <w:tcBorders>
              <w:top w:val="nil"/>
              <w:left w:val="nil"/>
              <w:bottom w:val="nil"/>
              <w:right w:val="nil"/>
            </w:tcBorders>
            <w:vAlign w:val="bottom"/>
          </w:tcPr>
          <w:p>
            <w:pPr>
              <w:pStyle w:val="yTableNAm"/>
            </w:pPr>
            <w:r>
              <w:t>7.35</w:t>
            </w:r>
          </w:p>
        </w:tc>
      </w:tr>
      <w:tr>
        <w:trPr>
          <w:cantSplit/>
        </w:trPr>
        <w:tc>
          <w:tcPr>
            <w:tcW w:w="767" w:type="dxa"/>
            <w:tcBorders>
              <w:top w:val="nil"/>
              <w:left w:val="nil"/>
              <w:bottom w:val="nil"/>
              <w:right w:val="nil"/>
            </w:tcBorders>
          </w:tcPr>
          <w:p>
            <w:pPr>
              <w:pStyle w:val="yTableNAm"/>
            </w:pPr>
            <w:r>
              <w:t>7.</w:t>
            </w:r>
          </w:p>
        </w:tc>
        <w:tc>
          <w:tcPr>
            <w:tcW w:w="2495" w:type="dxa"/>
            <w:tcBorders>
              <w:top w:val="nil"/>
              <w:left w:val="nil"/>
              <w:bottom w:val="nil"/>
              <w:right w:val="nil"/>
            </w:tcBorders>
          </w:tcPr>
          <w:p>
            <w:pPr>
              <w:pStyle w:val="yTableNAm"/>
            </w:pPr>
            <w: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54.50</w:t>
            </w:r>
          </w:p>
        </w:tc>
        <w:tc>
          <w:tcPr>
            <w:tcW w:w="1259" w:type="dxa"/>
            <w:tcBorders>
              <w:top w:val="nil"/>
              <w:left w:val="nil"/>
              <w:bottom w:val="nil"/>
              <w:right w:val="nil"/>
            </w:tcBorders>
            <w:vAlign w:val="bottom"/>
          </w:tcPr>
          <w:p>
            <w:pPr>
              <w:pStyle w:val="yTableNAm"/>
            </w:pPr>
            <w:r>
              <w:t>54.50</w:t>
            </w:r>
          </w:p>
        </w:tc>
        <w:tc>
          <w:tcPr>
            <w:tcW w:w="1223" w:type="dxa"/>
            <w:tcBorders>
              <w:top w:val="nil"/>
              <w:left w:val="nil"/>
              <w:bottom w:val="nil"/>
              <w:right w:val="nil"/>
            </w:tcBorders>
            <w:vAlign w:val="bottom"/>
          </w:tcPr>
          <w:p>
            <w:pPr>
              <w:pStyle w:val="yTableNAm"/>
            </w:pPr>
            <w:r>
              <w:t>16.35</w:t>
            </w:r>
          </w:p>
        </w:tc>
      </w:tr>
      <w:tr>
        <w:trPr>
          <w:cantSplit/>
        </w:trPr>
        <w:tc>
          <w:tcPr>
            <w:tcW w:w="767" w:type="dxa"/>
            <w:tcBorders>
              <w:top w:val="nil"/>
              <w:left w:val="nil"/>
              <w:bottom w:val="single" w:sz="4" w:space="0" w:color="auto"/>
              <w:right w:val="nil"/>
            </w:tcBorders>
          </w:tcPr>
          <w:p>
            <w:pPr>
              <w:pStyle w:val="yTableNAm"/>
            </w:pPr>
            <w:r>
              <w:t>8.</w:t>
            </w:r>
          </w:p>
        </w:tc>
        <w:tc>
          <w:tcPr>
            <w:tcW w:w="2495" w:type="dxa"/>
            <w:tcBorders>
              <w:top w:val="nil"/>
              <w:left w:val="nil"/>
              <w:bottom w:val="single" w:sz="4" w:space="0" w:color="auto"/>
              <w:right w:val="nil"/>
            </w:tcBorders>
          </w:tcPr>
          <w:p>
            <w:pPr>
              <w:pStyle w:val="yTableNAm"/>
            </w:pPr>
            <w:r>
              <w:t>For sealing a summons to a witness</w:t>
            </w:r>
          </w:p>
        </w:tc>
        <w:tc>
          <w:tcPr>
            <w:tcW w:w="1260" w:type="dxa"/>
            <w:tcBorders>
              <w:top w:val="nil"/>
              <w:left w:val="nil"/>
              <w:bottom w:val="single" w:sz="4" w:space="0" w:color="auto"/>
              <w:right w:val="nil"/>
            </w:tcBorders>
            <w:vAlign w:val="bottom"/>
          </w:tcPr>
          <w:p>
            <w:pPr>
              <w:pStyle w:val="yTableNAm"/>
            </w:pPr>
            <w:r>
              <w:t>45.00</w:t>
            </w:r>
          </w:p>
        </w:tc>
        <w:tc>
          <w:tcPr>
            <w:tcW w:w="1259" w:type="dxa"/>
            <w:tcBorders>
              <w:top w:val="nil"/>
              <w:left w:val="nil"/>
              <w:bottom w:val="single" w:sz="4" w:space="0" w:color="auto"/>
              <w:right w:val="nil"/>
            </w:tcBorders>
            <w:vAlign w:val="bottom"/>
          </w:tcPr>
          <w:p>
            <w:pPr>
              <w:pStyle w:val="yTableNAm"/>
            </w:pPr>
            <w:r>
              <w:t>45.00</w:t>
            </w:r>
          </w:p>
        </w:tc>
        <w:tc>
          <w:tcPr>
            <w:tcW w:w="1223" w:type="dxa"/>
            <w:tcBorders>
              <w:top w:val="nil"/>
              <w:left w:val="nil"/>
              <w:bottom w:val="single" w:sz="4" w:space="0" w:color="auto"/>
              <w:right w:val="nil"/>
            </w:tcBorders>
            <w:vAlign w:val="bottom"/>
          </w:tcPr>
          <w:p>
            <w:pPr>
              <w:pStyle w:val="yTableNAm"/>
            </w:pPr>
            <w:r>
              <w:t>13.50</w:t>
            </w:r>
          </w:p>
        </w:tc>
      </w:tr>
    </w:tbl>
    <w:p>
      <w:pPr>
        <w:pStyle w:val="yFootnotesection"/>
      </w:pPr>
      <w:r>
        <w:tab/>
        <w:t>[Schedule 20 inserted: Gazette 28 Jun 2019 p. 2617</w:t>
      </w:r>
      <w:r>
        <w:noBreakHyphen/>
        <w:t>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pPr>
      <w:bookmarkStart w:id="67" w:name="_Toc20473506"/>
      <w:bookmarkStart w:id="68" w:name="_Toc20474306"/>
      <w:bookmarkStart w:id="69" w:name="_Toc20477770"/>
      <w:r>
        <w:t>Notes</w:t>
      </w:r>
      <w:bookmarkEnd w:id="67"/>
      <w:bookmarkEnd w:id="68"/>
      <w:bookmarkEnd w:id="69"/>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  The table also contains information about any reprint.</w:t>
      </w:r>
    </w:p>
    <w:p>
      <w:pPr>
        <w:pStyle w:val="nHeading3"/>
      </w:pPr>
      <w:bookmarkStart w:id="70" w:name="_Toc20477771"/>
      <w:r>
        <w:t>Compilation table</w:t>
      </w:r>
      <w:bookmarkEnd w:id="7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rPr>
          <w:gridAfter w:val="1"/>
          <w:wAfter w:w="28" w:type="dxa"/>
        </w:trPr>
        <w:tc>
          <w:tcPr>
            <w:tcW w:w="3118" w:type="dxa"/>
            <w:shd w:val="clear" w:color="auto" w:fill="auto"/>
          </w:tcPr>
          <w:p>
            <w:pPr>
              <w:pStyle w:val="nTable"/>
              <w:keepNext/>
              <w:spacing w:after="40"/>
              <w:rPr>
                <w:i/>
              </w:rPr>
            </w:pPr>
            <w:r>
              <w:rPr>
                <w:i/>
              </w:rPr>
              <w:t>State Administrative Tribunal Amendment Regulations (No. 2) 2018</w:t>
            </w:r>
          </w:p>
        </w:tc>
        <w:tc>
          <w:tcPr>
            <w:tcW w:w="1276" w:type="dxa"/>
            <w:shd w:val="clear" w:color="auto" w:fill="auto"/>
          </w:tcPr>
          <w:p>
            <w:pPr>
              <w:pStyle w:val="nTable"/>
              <w:keepNext/>
              <w:spacing w:after="40"/>
            </w:pPr>
            <w:r>
              <w:t>28 Sep 2018 p. 3579</w:t>
            </w:r>
          </w:p>
        </w:tc>
        <w:tc>
          <w:tcPr>
            <w:tcW w:w="2693" w:type="dxa"/>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rPr>
          <w:gridAfter w:val="1"/>
          <w:wAfter w:w="28" w:type="dxa"/>
        </w:trPr>
        <w:tc>
          <w:tcPr>
            <w:tcW w:w="3118"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keepNext/>
              <w:spacing w:after="40"/>
            </w:pPr>
            <w:r>
              <w:t>7 Dec 2018 p. 4667-74</w:t>
            </w:r>
          </w:p>
        </w:tc>
        <w:tc>
          <w:tcPr>
            <w:tcW w:w="2693" w:type="dxa"/>
            <w:shd w:val="clear" w:color="auto" w:fill="auto"/>
          </w:tcPr>
          <w:p>
            <w:pPr>
              <w:pStyle w:val="nTable"/>
              <w:keepNext/>
              <w:spacing w:after="40"/>
              <w:rPr>
                <w:bCs/>
                <w:snapToGrid w:val="0"/>
              </w:rPr>
            </w:pPr>
            <w:r>
              <w:t>18 Dec 2018 (see r. 2(b)(i))</w:t>
            </w:r>
          </w:p>
        </w:tc>
      </w:tr>
      <w:tr>
        <w:trPr>
          <w:gridAfter w:val="1"/>
          <w:wAfter w:w="28" w:type="dxa"/>
        </w:trPr>
        <w:tc>
          <w:tcPr>
            <w:tcW w:w="3118"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keepNext/>
              <w:spacing w:after="40"/>
            </w:pPr>
            <w:r>
              <w:t>12 Mar 2019 p. 666</w:t>
            </w:r>
            <w:r>
              <w:noBreakHyphen/>
              <w:t>9</w:t>
            </w:r>
          </w:p>
        </w:tc>
        <w:tc>
          <w:tcPr>
            <w:tcW w:w="2693" w:type="dxa"/>
            <w:shd w:val="clear" w:color="auto" w:fill="auto"/>
          </w:tcPr>
          <w:p>
            <w:pPr>
              <w:pStyle w:val="nTable"/>
              <w:keepNext/>
              <w:spacing w:after="40"/>
            </w:pPr>
            <w:r>
              <w:rPr>
                <w:bCs/>
                <w:snapToGrid w:val="0"/>
              </w:rPr>
              <w:t>13 Mar 2019 (see r. 2(b))</w:t>
            </w:r>
          </w:p>
        </w:tc>
      </w:tr>
      <w:tr>
        <w:trPr>
          <w:gridAfter w:val="1"/>
          <w:wAfter w:w="28" w:type="dxa"/>
        </w:trPr>
        <w:tc>
          <w:tcPr>
            <w:tcW w:w="3118"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keepNext/>
              <w:spacing w:after="40"/>
            </w:pPr>
            <w:r>
              <w:t>22 Mar 2019 p. 937</w:t>
            </w:r>
          </w:p>
        </w:tc>
        <w:tc>
          <w:tcPr>
            <w:tcW w:w="2693" w:type="dxa"/>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rPr>
          <w:gridAfter w:val="1"/>
          <w:wAfter w:w="28" w:type="dxa"/>
        </w:trPr>
        <w:tc>
          <w:tcPr>
            <w:tcW w:w="3118"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693" w:type="dxa"/>
            <w:shd w:val="clear" w:color="auto" w:fill="auto"/>
          </w:tcPr>
          <w:p>
            <w:pPr>
              <w:pStyle w:val="nTable"/>
              <w:keepNext/>
              <w:spacing w:after="40"/>
              <w:rPr>
                <w:bCs/>
                <w:snapToGrid w:val="0"/>
              </w:rPr>
            </w:pPr>
            <w:r>
              <w:t>1 Jul 2019 (see r. 2(b))</w:t>
            </w:r>
          </w:p>
        </w:tc>
      </w:tr>
      <w:tr>
        <w:trPr>
          <w:gridAfter w:val="1"/>
          <w:wAfter w:w="28" w:type="dxa"/>
        </w:trPr>
        <w:tc>
          <w:tcPr>
            <w:tcW w:w="3118" w:type="dxa"/>
            <w:tcBorders>
              <w:bottom w:val="single" w:sz="4" w:space="0" w:color="auto"/>
            </w:tcBorders>
            <w:shd w:val="clear" w:color="auto" w:fill="auto"/>
          </w:tcPr>
          <w:p>
            <w:pPr>
              <w:pStyle w:val="nTable"/>
              <w:spacing w:after="40"/>
              <w:rPr>
                <w:i/>
              </w:rPr>
            </w:pPr>
            <w:r>
              <w:rPr>
                <w:i/>
              </w:rPr>
              <w:t>State Administrative Tribunal Amendment Regulations (No. 2) 2019</w:t>
            </w:r>
          </w:p>
        </w:tc>
        <w:tc>
          <w:tcPr>
            <w:tcW w:w="1276" w:type="dxa"/>
            <w:tcBorders>
              <w:bottom w:val="single" w:sz="4" w:space="0" w:color="auto"/>
            </w:tcBorders>
            <w:shd w:val="clear" w:color="auto" w:fill="auto"/>
          </w:tcPr>
          <w:p>
            <w:pPr>
              <w:pStyle w:val="nTable"/>
              <w:keepNext/>
              <w:spacing w:after="40"/>
            </w:pPr>
            <w:r>
              <w:t>27 Sep 2019 p. 3499</w:t>
            </w:r>
          </w:p>
        </w:tc>
        <w:tc>
          <w:tcPr>
            <w:tcW w:w="2693" w:type="dxa"/>
            <w:tcBorders>
              <w:bottom w:val="single" w:sz="4" w:space="0" w:color="auto"/>
            </w:tcBorders>
            <w:shd w:val="clear" w:color="auto" w:fill="auto"/>
          </w:tcPr>
          <w:p>
            <w:pPr>
              <w:pStyle w:val="nTable"/>
              <w:keepNext/>
              <w:spacing w:after="40"/>
            </w:pPr>
            <w:r>
              <w:t>r. 1 and 2: 27 Sep 2019 (see r. 2(a));</w:t>
            </w:r>
            <w:r>
              <w:br/>
              <w:t>Regulations other than r. 1 and 2: 1 Oct 2019 (see r. 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2" w:name="_Toc20473508"/>
      <w:bookmarkStart w:id="73" w:name="_Toc20474308"/>
      <w:bookmarkStart w:id="74" w:name="_Toc20477772"/>
      <w:r>
        <w:rPr>
          <w:sz w:val="28"/>
        </w:rPr>
        <w:t>Defined terms</w:t>
      </w:r>
      <w:bookmarkEnd w:id="72"/>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2710423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8B5B-2F17-4251-98BA-7ECA09F2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8298</Words>
  <Characters>39586</Characters>
  <Application>Microsoft Office Word</Application>
  <DocSecurity>0</DocSecurity>
  <Lines>1721</Lines>
  <Paragraphs>977</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2004 - 05-m0-00</dc:title>
  <dc:subject/>
  <dc:creator/>
  <cp:keywords/>
  <dc:description/>
  <cp:lastModifiedBy>svcMRProcess</cp:lastModifiedBy>
  <cp:revision>4</cp:revision>
  <cp:lastPrinted>2018-09-28T01:40:00Z</cp:lastPrinted>
  <dcterms:created xsi:type="dcterms:W3CDTF">2019-09-27T06:36:00Z</dcterms:created>
  <dcterms:modified xsi:type="dcterms:W3CDTF">2019-09-27T06:36:00Z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01 Oct 2019</vt:lpwstr>
  </property>
  <property fmtid="{D5CDD505-2E9C-101B-9397-08002B2CF9AE}" pid="8" name="Suffix">
    <vt:lpwstr>05-m0-00</vt:lpwstr>
  </property>
  <property fmtid="{D5CDD505-2E9C-101B-9397-08002B2CF9AE}" pid="9" name="CommencementDate">
    <vt:lpwstr>20191001</vt:lpwstr>
  </property>
</Properties>
</file>