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_Toc22714718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_Toc22714719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_Toc22714721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_Toc22714722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_Toc22714723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_Toc22714725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_Toc22714726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_Toc22714731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_Toc22714732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22650789"/>
      <w:bookmarkStart w:id="4" w:name="_Toc22651214"/>
      <w:bookmarkStart w:id="5" w:name="_Toc2271471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2271471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7" w:name="_Toc22714719"/>
      <w:r>
        <w:rPr>
          <w:rStyle w:val="CharSectno"/>
        </w:rPr>
        <w:t>2</w:t>
      </w:r>
      <w:r>
        <w:rPr>
          <w:snapToGrid w:val="0"/>
        </w:rPr>
        <w:t>.</w:t>
      </w:r>
      <w:r>
        <w:rPr>
          <w:snapToGrid w:val="0"/>
        </w:rPr>
        <w:tab/>
        <w:t>Terms used</w:t>
      </w:r>
      <w:bookmarkEnd w:id="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8" w:name="_Toc22650792"/>
      <w:bookmarkStart w:id="9" w:name="_Toc22651217"/>
      <w:bookmarkStart w:id="10" w:name="_Toc22714720"/>
      <w:r>
        <w:rPr>
          <w:rStyle w:val="CharPartNo"/>
        </w:rPr>
        <w:t>Part 2</w:t>
      </w:r>
      <w:r>
        <w:rPr>
          <w:rStyle w:val="CharDivNo"/>
        </w:rPr>
        <w:t xml:space="preserve"> </w:t>
      </w:r>
      <w:r>
        <w:t>—</w:t>
      </w:r>
      <w:r>
        <w:rPr>
          <w:rStyle w:val="CharDivText"/>
        </w:rPr>
        <w:t xml:space="preserve"> </w:t>
      </w:r>
      <w:r>
        <w:rPr>
          <w:rStyle w:val="CharPartText"/>
        </w:rPr>
        <w:t>General</w:t>
      </w:r>
      <w:bookmarkEnd w:id="8"/>
      <w:bookmarkEnd w:id="9"/>
      <w:bookmarkEnd w:id="10"/>
    </w:p>
    <w:p>
      <w:pPr>
        <w:pStyle w:val="Heading5"/>
      </w:pPr>
      <w:bookmarkStart w:id="11" w:name="_Toc22714721"/>
      <w:r>
        <w:rPr>
          <w:rStyle w:val="CharSectno"/>
        </w:rPr>
        <w:t>3</w:t>
      </w:r>
      <w:r>
        <w:t>.</w:t>
      </w:r>
      <w:r>
        <w:tab/>
        <w:t>Unclaimed winnings</w:t>
      </w:r>
      <w:bookmarkEnd w:id="11"/>
    </w:p>
    <w:p>
      <w:pPr>
        <w:pStyle w:val="Subsection"/>
      </w:pPr>
      <w:r>
        <w:tab/>
      </w:r>
      <w:r>
        <w:tab/>
        <w:t>For the purposes of section 15(1)(a) and (b) of the Act, the prescribed amount is 99 cents.</w:t>
      </w:r>
    </w:p>
    <w:p>
      <w:pPr>
        <w:pStyle w:val="Heading5"/>
      </w:pPr>
      <w:bookmarkStart w:id="12" w:name="_Toc22714722"/>
      <w:r>
        <w:rPr>
          <w:rStyle w:val="CharSectno"/>
        </w:rPr>
        <w:t>4</w:t>
      </w:r>
      <w:r>
        <w:t>.</w:t>
      </w:r>
      <w:r>
        <w:tab/>
        <w:t>Fee for review of direction not to enter or remain in casino</w:t>
      </w:r>
      <w:bookmarkEnd w:id="12"/>
    </w:p>
    <w:p>
      <w:pPr>
        <w:pStyle w:val="Subsection"/>
      </w:pPr>
      <w:r>
        <w:tab/>
      </w:r>
      <w:r>
        <w:tab/>
        <w:t>For the purposes of section 26A(3)(b) of the Act, the prescribed fee is $156.</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w:t>
      </w:r>
    </w:p>
    <w:p>
      <w:pPr>
        <w:pStyle w:val="Heading5"/>
      </w:pPr>
      <w:bookmarkStart w:id="13" w:name="_Toc22714723"/>
      <w:r>
        <w:rPr>
          <w:rStyle w:val="CharSectno"/>
        </w:rPr>
        <w:t>4A</w:t>
      </w:r>
      <w:r>
        <w:t>.</w:t>
      </w:r>
      <w:r>
        <w:tab/>
        <w:t>Exempt class of contract</w:t>
      </w:r>
      <w:bookmarkEnd w:id="13"/>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14" w:name="_Toc22650796"/>
      <w:bookmarkStart w:id="15" w:name="_Toc22651221"/>
      <w:bookmarkStart w:id="16" w:name="_Toc22714724"/>
      <w:r>
        <w:rPr>
          <w:rStyle w:val="CharPartNo"/>
        </w:rPr>
        <w:t>Part 4</w:t>
      </w:r>
      <w:r>
        <w:rPr>
          <w:rStyle w:val="CharDivNo"/>
        </w:rPr>
        <w:t xml:space="preserve"> </w:t>
      </w:r>
      <w:r>
        <w:t>—</w:t>
      </w:r>
      <w:r>
        <w:rPr>
          <w:rStyle w:val="CharDivText"/>
        </w:rPr>
        <w:t xml:space="preserve"> </w:t>
      </w:r>
      <w:r>
        <w:rPr>
          <w:rStyle w:val="CharPartText"/>
        </w:rPr>
        <w:t>Infringement notices</w:t>
      </w:r>
      <w:bookmarkEnd w:id="14"/>
      <w:bookmarkEnd w:id="15"/>
      <w:bookmarkEnd w:id="16"/>
    </w:p>
    <w:p>
      <w:pPr>
        <w:pStyle w:val="Heading5"/>
      </w:pPr>
      <w:bookmarkStart w:id="17" w:name="_Toc22714725"/>
      <w:r>
        <w:rPr>
          <w:rStyle w:val="CharSectno"/>
        </w:rPr>
        <w:t>18</w:t>
      </w:r>
      <w:r>
        <w:t>.</w:t>
      </w:r>
      <w:r>
        <w:tab/>
        <w:t>Infringement notices</w:t>
      </w:r>
      <w:bookmarkEnd w:id="17"/>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8" w:name="_Toc22714726"/>
      <w:r>
        <w:rPr>
          <w:rStyle w:val="CharSectno"/>
        </w:rPr>
        <w:t>19</w:t>
      </w:r>
      <w:r>
        <w:t>.</w:t>
      </w:r>
      <w:r>
        <w:tab/>
        <w:t>Form of infringement notice and withdrawal notice</w:t>
      </w:r>
      <w:bookmarkEnd w:id="18"/>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 w:name="_Toc22650799"/>
      <w:bookmarkStart w:id="20" w:name="_Toc22651224"/>
      <w:bookmarkStart w:id="21" w:name="_Toc22714727"/>
      <w:r>
        <w:rPr>
          <w:rStyle w:val="CharSchNo"/>
        </w:rPr>
        <w:t>Schedule 1</w:t>
      </w:r>
      <w:r>
        <w:t xml:space="preserve"> — </w:t>
      </w:r>
      <w:r>
        <w:rPr>
          <w:rStyle w:val="CharSchText"/>
        </w:rPr>
        <w:t>Prescribed forms</w:t>
      </w:r>
      <w:bookmarkEnd w:id="19"/>
      <w:bookmarkEnd w:id="20"/>
      <w:bookmarkEnd w:id="21"/>
    </w:p>
    <w:p>
      <w:pPr>
        <w:pStyle w:val="yShoulderClause"/>
      </w:pPr>
      <w:r>
        <w:t>[r. 19]</w:t>
      </w:r>
    </w:p>
    <w:p>
      <w:pPr>
        <w:pStyle w:val="Heading3"/>
        <w:rPr>
          <w:b w:val="0"/>
        </w:rPr>
      </w:pPr>
      <w:bookmarkStart w:id="22" w:name="_Toc22650800"/>
      <w:bookmarkStart w:id="23" w:name="_Toc22651225"/>
      <w:bookmarkStart w:id="24" w:name="_Toc22714728"/>
      <w:r>
        <w:rPr>
          <w:rStyle w:val="CharSClsNo"/>
          <w:b w:val="0"/>
        </w:rPr>
        <w:t>Form 1</w:t>
      </w:r>
      <w:bookmarkEnd w:id="22"/>
      <w:bookmarkEnd w:id="23"/>
      <w:bookmarkEnd w:id="24"/>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25" w:name="_Toc22650801"/>
      <w:bookmarkStart w:id="26" w:name="_Toc22651226"/>
      <w:bookmarkStart w:id="27" w:name="_Toc22714729"/>
      <w:r>
        <w:rPr>
          <w:rStyle w:val="CharSClsNo"/>
          <w:b w:val="0"/>
        </w:rPr>
        <w:t>Form 2</w:t>
      </w:r>
      <w:bookmarkEnd w:id="25"/>
      <w:bookmarkEnd w:id="26"/>
      <w:bookmarkEnd w:id="27"/>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9" w:name="_Toc22650802"/>
      <w:bookmarkStart w:id="30" w:name="_Toc22651227"/>
      <w:bookmarkStart w:id="31" w:name="_Toc22714730"/>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32" w:name="_Toc22714731"/>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5" w:type="dxa"/>
            <w:gridSpan w:val="2"/>
          </w:tcPr>
          <w:p>
            <w:pPr>
              <w:pStyle w:val="nTable"/>
              <w:spacing w:after="40"/>
              <w:rPr>
                <w:snapToGrid w:val="0"/>
              </w:rPr>
            </w:pPr>
            <w:r>
              <w:t>1 Jan 2017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5" w:type="dxa"/>
            <w:gridSpan w:val="2"/>
          </w:tcPr>
          <w:p>
            <w:pPr>
              <w:pStyle w:val="nTable"/>
              <w:spacing w:after="40"/>
            </w:pPr>
            <w:r>
              <w:t>1 Jan 2018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4</w:t>
            </w:r>
          </w:p>
        </w:tc>
        <w:tc>
          <w:tcPr>
            <w:tcW w:w="1276" w:type="dxa"/>
            <w:gridSpan w:val="2"/>
            <w:tcBorders>
              <w:bottom w:val="single" w:sz="4" w:space="0" w:color="auto"/>
            </w:tcBorders>
          </w:tcPr>
          <w:p>
            <w:pPr>
              <w:pStyle w:val="nTable"/>
              <w:spacing w:after="40"/>
            </w:pPr>
            <w:r>
              <w:t>7 Sep 2018 p. 3192</w:t>
            </w:r>
            <w:r>
              <w:noBreakHyphen/>
              <w:t>200</w:t>
            </w:r>
          </w:p>
        </w:tc>
        <w:tc>
          <w:tcPr>
            <w:tcW w:w="2695" w:type="dxa"/>
            <w:gridSpan w:val="2"/>
            <w:tcBorders>
              <w:bottom w:val="single" w:sz="4" w:space="0" w:color="auto"/>
            </w:tcBorders>
          </w:tcPr>
          <w:p>
            <w:pPr>
              <w:pStyle w:val="nTable"/>
              <w:spacing w:after="40"/>
            </w:pPr>
            <w:r>
              <w:t>1 Jan 2019 (see r. 2(b))</w:t>
            </w:r>
          </w:p>
        </w:tc>
      </w:tr>
    </w:tbl>
    <w:p>
      <w:pPr>
        <w:pStyle w:val="nSubsection"/>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pPr>
      <w:bookmarkStart w:id="33" w:name="_Toc22714732"/>
      <w:r>
        <w:t>Provisions that have not come into operation</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2019</w:t>
            </w:r>
            <w:r>
              <w:t xml:space="preserve"> Pt. 4 </w:t>
            </w:r>
            <w:r>
              <w:rPr>
                <w:vertAlign w:val="superscript"/>
              </w:rPr>
              <w:t>2</w:t>
            </w:r>
          </w:p>
        </w:tc>
        <w:tc>
          <w:tcPr>
            <w:tcW w:w="1276" w:type="dxa"/>
          </w:tcPr>
          <w:p>
            <w:pPr>
              <w:pStyle w:val="nTable"/>
              <w:spacing w:after="40"/>
            </w:pPr>
            <w:r>
              <w:t>22 Oct 2019 p. 3722</w:t>
            </w:r>
          </w:p>
        </w:tc>
        <w:tc>
          <w:tcPr>
            <w:tcW w:w="2693" w:type="dxa"/>
          </w:tcPr>
          <w:p>
            <w:pPr>
              <w:pStyle w:val="nTable"/>
              <w:spacing w:after="40"/>
            </w:pPr>
            <w:r>
              <w:t>1 Jan 2020 (see r. 2(b))</w:t>
            </w:r>
          </w:p>
        </w:tc>
      </w:tr>
    </w:tbl>
    <w:p>
      <w:pPr>
        <w:pStyle w:val="nSubsection"/>
        <w:keepNext/>
      </w:pPr>
      <w:r>
        <w:rPr>
          <w:vertAlign w:val="superscript"/>
        </w:rPr>
        <w:t>2</w:t>
      </w:r>
      <w:r>
        <w:tab/>
        <w:t xml:space="preserve">On the date as at which this compilation was prepared, the </w:t>
      </w:r>
      <w:r>
        <w:rPr>
          <w:i/>
        </w:rPr>
        <w:t>Racing, Gaming and Liquor Regulations Amendment (Fees and Charges) Regulations 2019</w:t>
      </w:r>
      <w:r>
        <w:t xml:space="preserve"> Pt. 4 had not come into operation.  It reads as follows:</w:t>
      </w:r>
    </w:p>
    <w:p>
      <w:pPr>
        <w:pStyle w:val="BlankOpen"/>
      </w:pPr>
    </w:p>
    <w:p>
      <w:pPr>
        <w:pStyle w:val="nzHeading2"/>
      </w:pPr>
      <w:bookmarkStart w:id="34" w:name="_Toc17719514"/>
      <w:bookmarkStart w:id="35" w:name="_Toc17719542"/>
      <w:bookmarkStart w:id="36" w:name="_Toc17788881"/>
      <w:bookmarkStart w:id="37" w:name="_Toc17789405"/>
      <w:bookmarkStart w:id="38" w:name="_Toc17790413"/>
      <w:bookmarkStart w:id="39" w:name="_Toc17791974"/>
      <w:bookmarkStart w:id="40" w:name="_Toc17792401"/>
      <w:bookmarkStart w:id="41" w:name="_Toc17795613"/>
      <w:bookmarkStart w:id="42" w:name="_Toc17803208"/>
      <w:bookmarkStart w:id="43" w:name="_Toc17803269"/>
      <w:bookmarkStart w:id="44" w:name="_Toc18674184"/>
      <w:bookmarkStart w:id="45" w:name="_Toc18674809"/>
      <w:bookmarkStart w:id="46" w:name="_Toc18911674"/>
      <w:bookmarkStart w:id="47" w:name="_Toc18911812"/>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nzHeading5"/>
      </w:pPr>
      <w:bookmarkStart w:id="48" w:name="_Toc17791975"/>
      <w:bookmarkStart w:id="49" w:name="_Toc17803209"/>
      <w:bookmarkStart w:id="50" w:name="_Toc18911675"/>
      <w:bookmarkStart w:id="51" w:name="_Toc18911813"/>
      <w:r>
        <w:rPr>
          <w:rStyle w:val="CharSectno"/>
        </w:rPr>
        <w:t>7</w:t>
      </w:r>
      <w:r>
        <w:t>.</w:t>
      </w:r>
      <w:r>
        <w:tab/>
        <w:t>Regulations amended</w:t>
      </w:r>
      <w:bookmarkEnd w:id="48"/>
      <w:bookmarkEnd w:id="49"/>
      <w:bookmarkEnd w:id="50"/>
      <w:bookmarkEnd w:id="51"/>
    </w:p>
    <w:p>
      <w:pPr>
        <w:pStyle w:val="nzSubsection"/>
      </w:pPr>
      <w:r>
        <w:tab/>
      </w:r>
      <w:r>
        <w:tab/>
        <w:t xml:space="preserve">This Part amends the </w:t>
      </w:r>
      <w:r>
        <w:rPr>
          <w:i/>
        </w:rPr>
        <w:t>Casino Control Regulations 1999</w:t>
      </w:r>
      <w:r>
        <w:t>.</w:t>
      </w:r>
    </w:p>
    <w:p>
      <w:pPr>
        <w:pStyle w:val="nzHeading5"/>
      </w:pPr>
      <w:bookmarkStart w:id="52" w:name="_Toc17791976"/>
      <w:bookmarkStart w:id="53" w:name="_Toc17803210"/>
      <w:bookmarkStart w:id="54" w:name="_Toc18911676"/>
      <w:bookmarkStart w:id="55" w:name="_Toc18911814"/>
      <w:r>
        <w:rPr>
          <w:rStyle w:val="CharSectno"/>
        </w:rPr>
        <w:t>8</w:t>
      </w:r>
      <w:r>
        <w:t>.</w:t>
      </w:r>
      <w:r>
        <w:tab/>
        <w:t>Regulation 4 amended</w:t>
      </w:r>
      <w:bookmarkEnd w:id="52"/>
      <w:bookmarkEnd w:id="53"/>
      <w:bookmarkEnd w:id="54"/>
      <w:bookmarkEnd w:id="55"/>
    </w:p>
    <w:p>
      <w:pPr>
        <w:pStyle w:val="nzSubsection"/>
      </w:pPr>
      <w:r>
        <w:tab/>
      </w:r>
      <w:r>
        <w:tab/>
        <w:t>In regulation 4 delete “$156.” and insert:</w:t>
      </w:r>
    </w:p>
    <w:p>
      <w:pPr>
        <w:pStyle w:val="BlankOpen"/>
      </w:pPr>
    </w:p>
    <w:p>
      <w:pPr>
        <w:pStyle w:val="nzSubsection"/>
      </w:pPr>
      <w:r>
        <w:tab/>
      </w:r>
      <w:r>
        <w:tab/>
        <w:t>$158.</w:t>
      </w:r>
    </w:p>
    <w:p>
      <w:pPr>
        <w:pStyle w:val="BlankClose"/>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57" w:name="_Toc22650804"/>
      <w:bookmarkStart w:id="58" w:name="_Toc22651230"/>
      <w:bookmarkStart w:id="59" w:name="_Toc22714733"/>
      <w:r>
        <w:rPr>
          <w:sz w:val="28"/>
        </w:rPr>
        <w:t>Defined terms</w:t>
      </w:r>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153131"/>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1879</Words>
  <Characters>10188</Characters>
  <Application>Microsoft Office Word</Application>
  <DocSecurity>0</DocSecurity>
  <Lines>442</Lines>
  <Paragraphs>317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1999 - 03-l0-00</dc:title>
  <dc:subject/>
  <dc:creator/>
  <cp:keywords/>
  <dc:description/>
  <cp:lastModifiedBy>svcMRProcess</cp:lastModifiedBy>
  <cp:revision>4</cp:revision>
  <cp:lastPrinted>2014-03-20T02:02:00Z</cp:lastPrinted>
  <dcterms:created xsi:type="dcterms:W3CDTF">2020-02-22T18:25:00Z</dcterms:created>
  <dcterms:modified xsi:type="dcterms:W3CDTF">2020-02-22T18:25:00Z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22 Oct 2019</vt:lpwstr>
  </property>
  <property fmtid="{D5CDD505-2E9C-101B-9397-08002B2CF9AE}" pid="8" name="Suffix">
    <vt:lpwstr>03-l0-00</vt:lpwstr>
  </property>
  <property fmtid="{D5CDD505-2E9C-101B-9397-08002B2CF9AE}" pid="9" name="CommencementDate">
    <vt:lpwstr>20191022</vt:lpwstr>
  </property>
</Properties>
</file>