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_Toc22729096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_Toc22729097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_Toc22729098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_Toc22729099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_Toc22729100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_Toc22729101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_Toc22729102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_Toc22729103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_Toc22729104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_Toc22729105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_Toc22729106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_Toc22729107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_Toc22729108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_Toc22729109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_Toc22729110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_Toc22729111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_Toc22729112 \h </w:instrText>
      </w:r>
      <w:r>
        <w:fldChar w:fldCharType="separate"/>
      </w:r>
      <w:r>
        <w:t>9</w:t>
      </w:r>
      <w:r>
        <w:fldChar w:fldCharType="end"/>
      </w:r>
    </w:p>
    <w:p>
      <w:pPr>
        <w:pStyle w:val="TOC8"/>
        <w:rPr>
          <w:rFonts w:asciiTheme="minorHAnsi" w:eastAsiaTheme="minorEastAsia" w:hAnsiTheme="minorHAnsi" w:cstheme="minorBidi"/>
          <w:szCs w:val="22"/>
        </w:rPr>
      </w:pPr>
      <w:r>
        <w:t>5C.</w:t>
      </w:r>
      <w:r>
        <w:tab/>
        <w:t>Types of special facility licence prescribed (Act s. 4(6))</w:t>
      </w:r>
      <w:r>
        <w:tab/>
      </w:r>
      <w:r>
        <w:fldChar w:fldCharType="begin"/>
      </w:r>
      <w:r>
        <w:instrText xml:space="preserve"> PAGEREF _Toc22729113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_Toc22729114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_Toc22729115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_Toc22729116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_Toc22729117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_Toc22729118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_Toc22729119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_Toc22729120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_Toc22729121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_Toc22729122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_Toc22729123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_Toc22729124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_Toc22729125 \h </w:instrText>
      </w:r>
      <w:r>
        <w:fldChar w:fldCharType="separate"/>
      </w:r>
      <w:r>
        <w:t>29</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_Toc22729126 \h </w:instrText>
      </w:r>
      <w:r>
        <w:fldChar w:fldCharType="separate"/>
      </w:r>
      <w:r>
        <w:t>37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_Toc22729127 \h </w:instrText>
      </w:r>
      <w:r>
        <w:fldChar w:fldCharType="separate"/>
      </w:r>
      <w:r>
        <w:t>37</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_Toc22729128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_Toc22729129 \h </w:instrText>
      </w:r>
      <w:r>
        <w:fldChar w:fldCharType="separate"/>
      </w:r>
      <w:r>
        <w:t>38</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_Toc22729130 \h </w:instrText>
      </w:r>
      <w:r>
        <w:fldChar w:fldCharType="separate"/>
      </w:r>
      <w:r>
        <w:t>39</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_Toc22729131 \h </w:instrText>
      </w:r>
      <w:r>
        <w:fldChar w:fldCharType="separate"/>
      </w:r>
      <w:r>
        <w:t>39</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_Toc22729132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_Toc22729133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_Toc22729134 \h </w:instrText>
      </w:r>
      <w:r>
        <w:fldChar w:fldCharType="separate"/>
      </w:r>
      <w:r>
        <w:t>40</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_Toc22729135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_Toc22729136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_Toc22729137 \h </w:instrText>
      </w:r>
      <w:r>
        <w:fldChar w:fldCharType="separate"/>
      </w:r>
      <w:r>
        <w:t>43</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_Toc22729138 \h </w:instrText>
      </w:r>
      <w:r>
        <w:fldChar w:fldCharType="separate"/>
      </w:r>
      <w:r>
        <w:t>44</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_Toc22729139 \h </w:instrText>
      </w:r>
      <w:r>
        <w:fldChar w:fldCharType="separate"/>
      </w:r>
      <w:r>
        <w:t>44</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_Toc22729140 \h </w:instrText>
      </w:r>
      <w:r>
        <w:fldChar w:fldCharType="separate"/>
      </w:r>
      <w:r>
        <w:t>45</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_Toc22729141 \h </w:instrText>
      </w:r>
      <w:r>
        <w:fldChar w:fldCharType="separate"/>
      </w:r>
      <w:r>
        <w:t>45</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_Toc22729142 \h </w:instrText>
      </w:r>
      <w:r>
        <w:fldChar w:fldCharType="separate"/>
      </w:r>
      <w:r>
        <w:t>46</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_Toc22729143 \h </w:instrText>
      </w:r>
      <w:r>
        <w:fldChar w:fldCharType="separate"/>
      </w:r>
      <w:r>
        <w:t>47</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_Toc22729144 \h </w:instrText>
      </w:r>
      <w:r>
        <w:fldChar w:fldCharType="separate"/>
      </w:r>
      <w:r>
        <w:t>47</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_Toc22729145 \h </w:instrText>
      </w:r>
      <w:r>
        <w:fldChar w:fldCharType="separate"/>
      </w:r>
      <w:r>
        <w:t>48</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_Toc22729146 \h </w:instrText>
      </w:r>
      <w:r>
        <w:fldChar w:fldCharType="separate"/>
      </w:r>
      <w:r>
        <w:t>48</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_Toc22729147 \h </w:instrText>
      </w:r>
      <w:r>
        <w:fldChar w:fldCharType="separate"/>
      </w:r>
      <w:r>
        <w:t>49</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_Toc22729148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_Toc22729149 \h </w:instrText>
      </w:r>
      <w:r>
        <w:fldChar w:fldCharType="separate"/>
      </w:r>
      <w:r>
        <w:t>51</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_Toc22729150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_Toc22729151 \h </w:instrText>
      </w:r>
      <w:r>
        <w:fldChar w:fldCharType="separate"/>
      </w:r>
      <w:r>
        <w:t>53</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_Toc22729152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_Toc22729153 \h </w:instrText>
      </w:r>
      <w:r>
        <w:fldChar w:fldCharType="separate"/>
      </w:r>
      <w:r>
        <w:t>54</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_Toc22729154 \h </w:instrText>
      </w:r>
      <w:r>
        <w:fldChar w:fldCharType="separate"/>
      </w:r>
      <w:r>
        <w:t>54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_Toc22729155 \h </w:instrText>
      </w:r>
      <w:r>
        <w:fldChar w:fldCharType="separate"/>
      </w:r>
      <w:r>
        <w:t>55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_Toc22729156 \h </w:instrText>
      </w:r>
      <w:r>
        <w:fldChar w:fldCharType="separate"/>
      </w:r>
      <w:r>
        <w:t>56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_Toc22729157 \h </w:instrText>
      </w:r>
      <w:r>
        <w:fldChar w:fldCharType="separate"/>
      </w:r>
      <w:r>
        <w:t>57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_Toc22729158 \h </w:instrText>
      </w:r>
      <w:r>
        <w:fldChar w:fldCharType="separate"/>
      </w:r>
      <w:r>
        <w:t>58</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_Toc22729159 \h </w:instrText>
      </w:r>
      <w:r>
        <w:fldChar w:fldCharType="separate"/>
      </w:r>
      <w:r>
        <w:t>58</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_Toc22729160 \h </w:instrText>
      </w:r>
      <w:r>
        <w:fldChar w:fldCharType="separate"/>
      </w:r>
      <w:r>
        <w:t>58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_Toc22729161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_Toc22729162 \h </w:instrText>
      </w:r>
      <w:r>
        <w:fldChar w:fldCharType="separate"/>
      </w:r>
      <w:r>
        <w:t>60</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_Toc22729163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_Toc22729164 \h </w:instrText>
      </w:r>
      <w:r>
        <w:fldChar w:fldCharType="separate"/>
      </w:r>
      <w:r>
        <w:t>63</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_Toc22729165 \h </w:instrText>
      </w:r>
      <w:r>
        <w:fldChar w:fldCharType="separate"/>
      </w:r>
      <w:r>
        <w:t>63</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_Toc22729166 \h </w:instrText>
      </w:r>
      <w:r>
        <w:fldChar w:fldCharType="separate"/>
      </w:r>
      <w:r>
        <w:t>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_Toc22729167 \h </w:instrText>
      </w:r>
      <w:r>
        <w:fldChar w:fldCharType="separate"/>
      </w:r>
      <w:r>
        <w:t>64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_Toc22729168 \h </w:instrText>
      </w:r>
      <w:r>
        <w:fldChar w:fldCharType="separate"/>
      </w:r>
      <w:r>
        <w:t>64</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_Toc22729169 \h </w:instrText>
      </w:r>
      <w:r>
        <w:fldChar w:fldCharType="separate"/>
      </w:r>
      <w:r>
        <w:t>65</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_Toc22729170 \h </w:instrText>
      </w:r>
      <w:r>
        <w:fldChar w:fldCharType="separate"/>
      </w:r>
      <w:r>
        <w:t>66</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_Toc22729171 \h </w:instrText>
      </w:r>
      <w:r>
        <w:fldChar w:fldCharType="separate"/>
      </w:r>
      <w:r>
        <w:t>67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_Toc22729172 \h </w:instrText>
      </w:r>
      <w:r>
        <w:fldChar w:fldCharType="separate"/>
      </w:r>
      <w:r>
        <w:t>67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_Toc22729173 \h </w:instrText>
      </w:r>
      <w:r>
        <w:fldChar w:fldCharType="separate"/>
      </w:r>
      <w:r>
        <w:t>67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_Toc22729174 \h </w:instrText>
      </w:r>
      <w:r>
        <w:fldChar w:fldCharType="separate"/>
      </w:r>
      <w:r>
        <w:t>67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_Toc22729175 \h </w:instrText>
      </w:r>
      <w:r>
        <w:fldChar w:fldCharType="separate"/>
      </w:r>
      <w:r>
        <w:t>70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_Toc22729176 \h </w:instrText>
      </w:r>
      <w:r>
        <w:fldChar w:fldCharType="separate"/>
      </w:r>
      <w:r>
        <w:t>71</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_Toc22729177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_Toc22729178 \h </w:instrText>
      </w:r>
      <w:r>
        <w:fldChar w:fldCharType="separate"/>
      </w:r>
      <w:r>
        <w:t>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_Toc22729179 \h </w:instrText>
      </w:r>
      <w:r>
        <w:fldChar w:fldCharType="separate"/>
      </w:r>
      <w:r>
        <w:t>73</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_Toc22729180 \h </w:instrText>
      </w:r>
      <w:r>
        <w:fldChar w:fldCharType="separate"/>
      </w:r>
      <w:r>
        <w:t>75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_Toc22729181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_Toc22729188 \h </w:instrText>
      </w:r>
      <w:r>
        <w:fldChar w:fldCharType="separate"/>
      </w:r>
      <w:r>
        <w:t>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_Toc22729189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2272909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2272909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22729098"/>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22729099"/>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7" w:name="_Toc22729100"/>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22729101"/>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22729102"/>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22729103"/>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2272910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22729105"/>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22729106"/>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22729107"/>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22729108"/>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22729109"/>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2272911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22729111"/>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22729112"/>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22729113"/>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22729114"/>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22729115"/>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keepNext/>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22729116"/>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22729117"/>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22729118"/>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22729119"/>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22729120"/>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22729121"/>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22729122"/>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rPr>
          <w:rStyle w:val="CharDefText"/>
        </w:rPr>
        <w:tab/>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spacing w:before="240"/>
        <w:rPr>
          <w:snapToGrid w:val="0"/>
        </w:rPr>
      </w:pPr>
      <w:bookmarkStart w:id="30" w:name="_Toc22729123"/>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22729124"/>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32" w:name="_Toc22729125"/>
      <w:r>
        <w:rPr>
          <w:rStyle w:val="CharSectno"/>
        </w:rPr>
        <w:t>9A</w:t>
      </w:r>
      <w:r>
        <w:t>.</w:t>
      </w:r>
      <w:r>
        <w:tab/>
      </w:r>
      <w:r>
        <w:rPr>
          <w:snapToGrid w:val="0"/>
        </w:rPr>
        <w:t>Special facility licence, purposes for which may be granted</w:t>
      </w:r>
      <w:bookmarkEnd w:id="3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3" w:name="_Toc22729126"/>
      <w:r>
        <w:rPr>
          <w:rStyle w:val="CharSectno"/>
        </w:rPr>
        <w:t>9AB</w:t>
      </w:r>
      <w:r>
        <w:t>.</w:t>
      </w:r>
      <w:r>
        <w:tab/>
        <w:t xml:space="preserve">Kind of extended trading permit prescribed </w:t>
      </w:r>
      <w:r>
        <w:rPr>
          <w:snapToGrid w:val="0"/>
        </w:rPr>
        <w:t>(Act s.</w:t>
      </w:r>
      <w:r>
        <w:t> 25(5a))</w:t>
      </w:r>
      <w:bookmarkEnd w:id="3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4" w:name="_Toc22729127"/>
      <w:r>
        <w:rPr>
          <w:rStyle w:val="CharSectno"/>
        </w:rPr>
        <w:t>9B</w:t>
      </w:r>
      <w:r>
        <w:rPr>
          <w:snapToGrid w:val="0"/>
        </w:rPr>
        <w:t>.</w:t>
      </w:r>
      <w:r>
        <w:rPr>
          <w:snapToGrid w:val="0"/>
        </w:rPr>
        <w:tab/>
        <w:t>Special facility licence, effect of as to sale of packaged liquor</w:t>
      </w:r>
      <w:bookmarkEnd w:id="3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5" w:name="_Toc22729128"/>
      <w:r>
        <w:rPr>
          <w:rStyle w:val="CharSectno"/>
        </w:rPr>
        <w:t>9C</w:t>
      </w:r>
      <w:r>
        <w:t>.</w:t>
      </w:r>
      <w:r>
        <w:tab/>
        <w:t>Types of special facility licence prescribed (Act s. 46(6))</w:t>
      </w:r>
      <w:bookmarkEnd w:id="3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6" w:name="_Toc22729129"/>
      <w:r>
        <w:rPr>
          <w:rStyle w:val="CharSectno"/>
        </w:rPr>
        <w:t>9D</w:t>
      </w:r>
      <w:r>
        <w:t>.</w:t>
      </w:r>
      <w:r>
        <w:tab/>
      </w:r>
      <w:r>
        <w:rPr>
          <w:snapToGrid w:val="0"/>
        </w:rPr>
        <w:t>Act s.</w:t>
      </w:r>
      <w:r>
        <w:t> 33(6b) modified as to occasional licences</w:t>
      </w:r>
      <w:bookmarkEnd w:id="36"/>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7" w:name="_Toc22729130"/>
      <w:r>
        <w:rPr>
          <w:rStyle w:val="CharSectno"/>
        </w:rPr>
        <w:t>9E</w:t>
      </w:r>
      <w:r>
        <w:t>.</w:t>
      </w:r>
      <w:r>
        <w:tab/>
        <w:t>Period prescribed (Act s. 33(6D)(b))</w:t>
      </w:r>
      <w:bookmarkEnd w:id="3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38" w:name="_Toc22729131"/>
      <w:r>
        <w:rPr>
          <w:rStyle w:val="CharSectno"/>
        </w:rPr>
        <w:t>9EA</w:t>
      </w:r>
      <w:r>
        <w:t>.</w:t>
      </w:r>
      <w:r>
        <w:tab/>
        <w:t>Kinds of licence prescribed (Act s. 38(1)(a))</w:t>
      </w:r>
      <w:bookmarkEnd w:id="38"/>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39" w:name="_Toc22729132"/>
      <w:r>
        <w:rPr>
          <w:rStyle w:val="CharSectno"/>
        </w:rPr>
        <w:t>9F</w:t>
      </w:r>
      <w:r>
        <w:t>.</w:t>
      </w:r>
      <w:r>
        <w:tab/>
        <w:t>Kinds of permit prescribed (Act s. 38(1)(b))</w:t>
      </w:r>
      <w:bookmarkEnd w:id="3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0" w:name="_Toc22729133"/>
      <w:r>
        <w:rPr>
          <w:rStyle w:val="CharSectno"/>
        </w:rPr>
        <w:t>10</w:t>
      </w:r>
      <w:r>
        <w:rPr>
          <w:snapToGrid w:val="0"/>
        </w:rPr>
        <w:t>.</w:t>
      </w:r>
      <w:r>
        <w:rPr>
          <w:snapToGrid w:val="0"/>
        </w:rPr>
        <w:tab/>
        <w:t>Requirements prescribed (Act s. </w:t>
      </w:r>
      <w:r>
        <w:t>57(2)(d)</w:t>
      </w:r>
      <w:r>
        <w:rPr>
          <w:snapToGrid w:val="0"/>
        </w:rPr>
        <w:t>)</w:t>
      </w:r>
      <w:bookmarkEnd w:id="4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1" w:name="_Toc22729134"/>
      <w:r>
        <w:rPr>
          <w:rStyle w:val="CharSectno"/>
        </w:rPr>
        <w:t>10A</w:t>
      </w:r>
      <w:r>
        <w:rPr>
          <w:snapToGrid w:val="0"/>
        </w:rPr>
        <w:t>.</w:t>
      </w:r>
      <w:r>
        <w:rPr>
          <w:snapToGrid w:val="0"/>
        </w:rPr>
        <w:tab/>
        <w:t>Condition prescribed (Act s. 55(2))</w:t>
      </w:r>
      <w:bookmarkEnd w:id="41"/>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2" w:name="_Toc22729135"/>
      <w:r>
        <w:rPr>
          <w:rStyle w:val="CharSectno"/>
        </w:rPr>
        <w:t>10B</w:t>
      </w:r>
      <w:r>
        <w:t>.</w:t>
      </w:r>
      <w:r>
        <w:tab/>
        <w:t>Days for making application prescribed (Act s. 64(1BA))</w:t>
      </w:r>
      <w:bookmarkEnd w:id="42"/>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3" w:name="_Toc22729136"/>
      <w:r>
        <w:rPr>
          <w:rStyle w:val="CharSectno"/>
        </w:rPr>
        <w:t>11</w:t>
      </w:r>
      <w:r>
        <w:rPr>
          <w:snapToGrid w:val="0"/>
        </w:rPr>
        <w:t>.</w:t>
      </w:r>
      <w:r>
        <w:rPr>
          <w:snapToGrid w:val="0"/>
        </w:rPr>
        <w:tab/>
        <w:t>Plans and specifications, requirements for (Act s. 66(4) and (5))</w:t>
      </w:r>
      <w:bookmarkEnd w:id="4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 w:name="_Toc22729137"/>
      <w:r>
        <w:rPr>
          <w:rStyle w:val="CharSectno"/>
        </w:rPr>
        <w:t>13</w:t>
      </w:r>
      <w:r>
        <w:rPr>
          <w:snapToGrid w:val="0"/>
        </w:rPr>
        <w:t>.</w:t>
      </w:r>
      <w:r>
        <w:rPr>
          <w:snapToGrid w:val="0"/>
        </w:rPr>
        <w:tab/>
        <w:t>Records as to applicant, requirements for (Act s. 68(1)(b))</w:t>
      </w:r>
      <w:bookmarkEnd w:id="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5" w:name="_Toc22729138"/>
      <w:r>
        <w:rPr>
          <w:rStyle w:val="CharSectno"/>
        </w:rPr>
        <w:t>14A</w:t>
      </w:r>
      <w:r>
        <w:t>.</w:t>
      </w:r>
      <w:r>
        <w:tab/>
        <w:t xml:space="preserve">Types etc. of premises prescribed </w:t>
      </w:r>
      <w:r>
        <w:rPr>
          <w:snapToGrid w:val="0"/>
        </w:rPr>
        <w:t>(Act s. 77(5a)(b))</w:t>
      </w:r>
      <w:bookmarkEnd w:id="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6" w:name="_Toc22729139"/>
      <w:r>
        <w:rPr>
          <w:rStyle w:val="CharSectno"/>
        </w:rPr>
        <w:t>14AB</w:t>
      </w:r>
      <w:r>
        <w:t>.</w:t>
      </w:r>
      <w:r>
        <w:tab/>
        <w:t xml:space="preserve">Requirement for lodgment of application prescribed </w:t>
      </w:r>
      <w:r>
        <w:rPr>
          <w:snapToGrid w:val="0"/>
        </w:rPr>
        <w:t>(Act s. </w:t>
      </w:r>
      <w:r>
        <w:t>75(1)(b))</w:t>
      </w:r>
      <w:bookmarkEnd w:id="4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47" w:name="_Toc22729140"/>
      <w:r>
        <w:rPr>
          <w:rStyle w:val="CharSectno"/>
        </w:rPr>
        <w:t>14AC</w:t>
      </w:r>
      <w:r>
        <w:t>.</w:t>
      </w:r>
      <w:r>
        <w:tab/>
        <w:t xml:space="preserve">Requirement for lodgment of application prescribed </w:t>
      </w:r>
      <w:r>
        <w:rPr>
          <w:snapToGrid w:val="0"/>
        </w:rPr>
        <w:t>(Act s. </w:t>
      </w:r>
      <w:r>
        <w:t>76(1)(b))</w:t>
      </w:r>
      <w:bookmarkEnd w:id="47"/>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48" w:name="_Toc22729141"/>
      <w:r>
        <w:rPr>
          <w:rStyle w:val="CharSectno"/>
        </w:rPr>
        <w:t>14ADA</w:t>
      </w:r>
      <w:r>
        <w:t>.</w:t>
      </w:r>
      <w:r>
        <w:tab/>
        <w:t>Manager’s approval, application for (Act s. 102B)</w:t>
      </w:r>
      <w:bookmarkEnd w:id="4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49" w:name="_Toc22729142"/>
      <w:r>
        <w:rPr>
          <w:rStyle w:val="CharSectno"/>
        </w:rPr>
        <w:t>14ADB</w:t>
      </w:r>
      <w:r>
        <w:t>.</w:t>
      </w:r>
      <w:r>
        <w:tab/>
        <w:t>Manager’s approval, conditions on (Act s. 102C)</w:t>
      </w:r>
      <w:bookmarkEnd w:id="4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0" w:name="_Toc22729143"/>
      <w:r>
        <w:rPr>
          <w:rStyle w:val="CharSectno"/>
        </w:rPr>
        <w:t>14ADC</w:t>
      </w:r>
      <w:r>
        <w:t>.</w:t>
      </w:r>
      <w:r>
        <w:tab/>
        <w:t>Manager’s approval, duration of (Act s. 102D)</w:t>
      </w:r>
      <w:bookmarkEnd w:id="5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1" w:name="_Toc22729144"/>
      <w:r>
        <w:rPr>
          <w:rStyle w:val="CharSectno"/>
        </w:rPr>
        <w:t>14ADD</w:t>
      </w:r>
      <w:r>
        <w:t>.</w:t>
      </w:r>
      <w:r>
        <w:tab/>
        <w:t>Manager’s approval, renewal of (Act s. 102E)</w:t>
      </w:r>
      <w:bookmarkEnd w:id="5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2" w:name="_Toc22729145"/>
      <w:r>
        <w:rPr>
          <w:rStyle w:val="CharSectno"/>
        </w:rPr>
        <w:t>14ADE</w:t>
      </w:r>
      <w:r>
        <w:t>.</w:t>
      </w:r>
      <w:r>
        <w:tab/>
        <w:t>Approved manager, identification card for</w:t>
      </w:r>
      <w:bookmarkEnd w:id="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3" w:name="_Toc22729146"/>
      <w:r>
        <w:rPr>
          <w:rStyle w:val="CharSectno"/>
        </w:rPr>
        <w:t>14ADF</w:t>
      </w:r>
      <w:r>
        <w:t>.</w:t>
      </w:r>
      <w:r>
        <w:tab/>
        <w:t>Lost etc. identification card, replacement of</w:t>
      </w:r>
      <w:bookmarkEnd w:id="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4" w:name="_Toc22729147"/>
      <w:r>
        <w:rPr>
          <w:rStyle w:val="CharSectno"/>
        </w:rPr>
        <w:t>14ADG</w:t>
      </w:r>
      <w:r>
        <w:t>.</w:t>
      </w:r>
      <w:r>
        <w:tab/>
        <w:t>Transitioned approvals (Act Sch. 1B)</w:t>
      </w:r>
      <w:bookmarkEnd w:id="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5" w:name="_Toc22729148"/>
      <w:r>
        <w:rPr>
          <w:rStyle w:val="CharSectno"/>
        </w:rPr>
        <w:t>14AD</w:t>
      </w:r>
      <w:r>
        <w:t>.</w:t>
      </w:r>
      <w:r>
        <w:tab/>
        <w:t xml:space="preserve">Responsible practices in selling etc. liquor, courses on required </w:t>
      </w:r>
      <w:r>
        <w:rPr>
          <w:snapToGrid w:val="0"/>
        </w:rPr>
        <w:t>(Act s. </w:t>
      </w:r>
      <w:r>
        <w:t>103A(1)(a))</w:t>
      </w:r>
      <w:bookmarkEnd w:id="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56" w:name="_Toc22729149"/>
      <w:r>
        <w:rPr>
          <w:rStyle w:val="CharSectno"/>
        </w:rPr>
        <w:t>14AE</w:t>
      </w:r>
      <w:r>
        <w:t>.</w:t>
      </w:r>
      <w:r>
        <w:tab/>
        <w:t>Offences for r. 14AD</w:t>
      </w:r>
      <w:bookmarkEnd w:id="5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57" w:name="_Toc22729150"/>
      <w:r>
        <w:rPr>
          <w:rStyle w:val="CharSectno"/>
        </w:rPr>
        <w:t>14AG</w:t>
      </w:r>
      <w:r>
        <w:t>.</w:t>
      </w:r>
      <w:r>
        <w:tab/>
        <w:t>Licensee to maintain register </w:t>
      </w:r>
      <w:r>
        <w:rPr>
          <w:snapToGrid w:val="0"/>
        </w:rPr>
        <w:t>(Act s. </w:t>
      </w:r>
      <w:r>
        <w:t>103A(1)(b))</w:t>
      </w:r>
      <w:bookmarkEnd w:id="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58" w:name="_Toc22729151"/>
      <w:r>
        <w:rPr>
          <w:rStyle w:val="CharSectno"/>
        </w:rPr>
        <w:t>16</w:t>
      </w:r>
      <w:r>
        <w:rPr>
          <w:snapToGrid w:val="0"/>
        </w:rPr>
        <w:t>.</w:t>
      </w:r>
      <w:r>
        <w:rPr>
          <w:snapToGrid w:val="0"/>
        </w:rPr>
        <w:tab/>
        <w:t>Amount of liability prescribed (Act s. 107)</w:t>
      </w:r>
      <w:bookmarkEnd w:id="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9" w:name="_Toc22729152"/>
      <w:r>
        <w:rPr>
          <w:rStyle w:val="CharSectno"/>
        </w:rPr>
        <w:t>16A</w:t>
      </w:r>
      <w:r>
        <w:t>.</w:t>
      </w:r>
      <w:r>
        <w:tab/>
        <w:t xml:space="preserve">Sports arenas prescribed (Act s. 110(4B) </w:t>
      </w:r>
      <w:r>
        <w:rPr>
          <w:i/>
        </w:rPr>
        <w:t>sports arena</w:t>
      </w:r>
      <w:r>
        <w:t>)</w:t>
      </w:r>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0" w:name="_Toc22729153"/>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1" w:name="_Toc22729154"/>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2" w:name="_Toc22729155"/>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22729156"/>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22729157"/>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5" w:name="_Toc22729158"/>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66" w:name="_Toc22729159"/>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67" w:name="_Toc22729160"/>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68" w:name="_Toc22729161"/>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69" w:name="_Toc22729162"/>
      <w:r>
        <w:rPr>
          <w:rStyle w:val="CharSectno"/>
        </w:rPr>
        <w:t>18EB</w:t>
      </w:r>
      <w:r>
        <w:t>.</w:t>
      </w:r>
      <w:r>
        <w:tab/>
        <w:t>Incidents and information prescribed for register (Act s. 116A)</w:t>
      </w:r>
      <w:bookmarkEnd w:id="69"/>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0" w:name="_Toc22729163"/>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1" w:name="_Toc22729164"/>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72" w:name="_Toc22729165"/>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3" w:name="_Toc22729166"/>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4" w:name="_Toc22729167"/>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75" w:name="_Toc2272916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76" w:name="_Toc22729169"/>
      <w:r>
        <w:rPr>
          <w:rStyle w:val="CharSectno"/>
        </w:rPr>
        <w:t>21</w:t>
      </w:r>
      <w:r>
        <w:t>.</w:t>
      </w:r>
      <w:r>
        <w:tab/>
        <w:t>Wholesaler, subsidy for (Act s. 130)</w:t>
      </w:r>
      <w:bookmarkEnd w:id="76"/>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77" w:name="_Toc22729170"/>
      <w:r>
        <w:rPr>
          <w:rStyle w:val="CharSectno"/>
        </w:rPr>
        <w:t>21A</w:t>
      </w:r>
      <w:r>
        <w:t>.</w:t>
      </w:r>
      <w:r>
        <w:tab/>
        <w:t>Wine producer, subsidy for (Act s. 130)</w:t>
      </w:r>
      <w:bookmarkEnd w:id="77"/>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pt" o:ole="">
            <v:imagedata r:id="rId22" o:title=""/>
          </v:shape>
          <o:OLEObject Type="Embed" ProgID="Equation.3" ShapeID="_x0000_i1025" DrawAspect="Content" ObjectID="_1644271710"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78" w:name="_Toc22729171"/>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79" w:name="_Toc22729172"/>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0" w:name="_Toc22729173"/>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1" w:name="_Toc22729174"/>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2" w:name="_Toc22729175"/>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3" w:name="_Toc22729176"/>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4" w:name="_Toc22729177"/>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5" w:name="_Toc22729178"/>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86" w:name="_Toc22729179"/>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87" w:name="_Toc22729180"/>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88" w:name="_Toc22729181"/>
      <w:r>
        <w:rPr>
          <w:rStyle w:val="CharSectno"/>
        </w:rPr>
        <w:t>27</w:t>
      </w:r>
      <w:r>
        <w:rPr>
          <w:snapToGrid w:val="0"/>
        </w:rPr>
        <w:t>.</w:t>
      </w:r>
      <w:r>
        <w:rPr>
          <w:snapToGrid w:val="0"/>
        </w:rPr>
        <w:tab/>
      </w:r>
      <w:r>
        <w:t>Prescribed offences for infringement notices (Act s. 167(2))</w:t>
      </w:r>
      <w:bookmarkEnd w:id="88"/>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22653456"/>
      <w:bookmarkStart w:id="90" w:name="_Toc22654390"/>
      <w:bookmarkStart w:id="91" w:name="_Toc22720136"/>
      <w:bookmarkStart w:id="92" w:name="_Toc22729182"/>
      <w:r>
        <w:rPr>
          <w:rStyle w:val="CharSchNo"/>
        </w:rPr>
        <w:t>Schedule 1</w:t>
      </w:r>
      <w:bookmarkEnd w:id="89"/>
      <w:bookmarkEnd w:id="90"/>
      <w:bookmarkEnd w:id="91"/>
      <w:bookmarkEnd w:id="92"/>
    </w:p>
    <w:p>
      <w:pPr>
        <w:pStyle w:val="yShoulderClause"/>
        <w:spacing w:before="60"/>
        <w:rPr>
          <w:snapToGrid w:val="0"/>
        </w:rPr>
      </w:pPr>
      <w:r>
        <w:rPr>
          <w:snapToGrid w:val="0"/>
        </w:rPr>
        <w:t>[Regulation 3]</w:t>
      </w:r>
    </w:p>
    <w:p>
      <w:pPr>
        <w:pStyle w:val="yHeading2"/>
        <w:outlineLvl w:val="9"/>
      </w:pPr>
      <w:bookmarkStart w:id="93" w:name="_Toc22653457"/>
      <w:bookmarkStart w:id="94" w:name="_Toc22654391"/>
      <w:bookmarkStart w:id="95" w:name="_Toc22720137"/>
      <w:bookmarkStart w:id="96" w:name="_Toc22729183"/>
      <w:r>
        <w:rPr>
          <w:rStyle w:val="CharSchText"/>
        </w:rPr>
        <w:t>Forms</w:t>
      </w:r>
      <w:bookmarkEnd w:id="93"/>
      <w:bookmarkEnd w:id="94"/>
      <w:bookmarkEnd w:id="95"/>
      <w:bookmarkEnd w:id="96"/>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97" w:name="_Toc22653458"/>
      <w:bookmarkStart w:id="98" w:name="_Toc22654392"/>
      <w:bookmarkStart w:id="99" w:name="_Toc22720138"/>
      <w:bookmarkStart w:id="100" w:name="_Toc22729184"/>
      <w:r>
        <w:rPr>
          <w:rStyle w:val="CharSchNo"/>
        </w:rPr>
        <w:t>Schedule 2</w:t>
      </w:r>
      <w:bookmarkEnd w:id="97"/>
      <w:bookmarkEnd w:id="98"/>
      <w:bookmarkEnd w:id="99"/>
      <w:bookmarkEnd w:id="100"/>
    </w:p>
    <w:p>
      <w:pPr>
        <w:pStyle w:val="yShoulderClause"/>
        <w:spacing w:before="60"/>
        <w:rPr>
          <w:snapToGrid w:val="0"/>
        </w:rPr>
      </w:pPr>
      <w:r>
        <w:rPr>
          <w:snapToGrid w:val="0"/>
        </w:rPr>
        <w:t>[Regulation 13]</w:t>
      </w:r>
    </w:p>
    <w:p>
      <w:pPr>
        <w:pStyle w:val="yHeading2"/>
        <w:spacing w:before="120" w:after="80"/>
      </w:pPr>
      <w:bookmarkStart w:id="101" w:name="_Toc22653459"/>
      <w:bookmarkStart w:id="102" w:name="_Toc22654393"/>
      <w:bookmarkStart w:id="103" w:name="_Toc22720139"/>
      <w:bookmarkStart w:id="104" w:name="_Toc22729185"/>
      <w:r>
        <w:rPr>
          <w:rStyle w:val="CharSchText"/>
        </w:rPr>
        <w:t>Details of applicant</w:t>
      </w:r>
      <w:bookmarkEnd w:id="101"/>
      <w:bookmarkEnd w:id="102"/>
      <w:bookmarkEnd w:id="103"/>
      <w:bookmarkEnd w:id="1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05" w:name="_Toc22653460"/>
      <w:bookmarkStart w:id="106" w:name="_Toc22654394"/>
      <w:bookmarkStart w:id="107" w:name="_Toc22720140"/>
      <w:bookmarkStart w:id="108" w:name="_Toc22729186"/>
      <w:r>
        <w:rPr>
          <w:rStyle w:val="CharSchNo"/>
        </w:rPr>
        <w:t>Schedule 3</w:t>
      </w:r>
      <w:r>
        <w:t> — </w:t>
      </w:r>
      <w:r>
        <w:rPr>
          <w:rStyle w:val="CharSchText"/>
        </w:rPr>
        <w:t>Fees</w:t>
      </w:r>
      <w:bookmarkEnd w:id="105"/>
      <w:bookmarkEnd w:id="106"/>
      <w:bookmarkEnd w:id="107"/>
      <w:bookmarkEnd w:id="108"/>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09" w:name="_Toc22653461"/>
      <w:bookmarkStart w:id="110" w:name="_Toc22654395"/>
      <w:bookmarkStart w:id="111" w:name="_Toc22720141"/>
      <w:bookmarkStart w:id="112" w:name="_Toc22729187"/>
      <w:r>
        <w:t>Notes</w:t>
      </w:r>
      <w:bookmarkEnd w:id="109"/>
      <w:bookmarkEnd w:id="110"/>
      <w:bookmarkEnd w:id="111"/>
      <w:bookmarkEnd w:id="112"/>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3" w:name="_Toc22729188"/>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bCs/>
                <w:snapToGrid w:val="0"/>
              </w:rPr>
              <w:t>r. 1 and 2: 20 Jul 2018 (see r. 2(a));</w:t>
            </w:r>
            <w:r>
              <w:rPr>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bCs/>
                <w:snapToGrid w:val="0"/>
              </w:rPr>
            </w:pPr>
            <w:r>
              <w:rPr>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c>
          <w:tcPr>
            <w:tcW w:w="3119" w:type="dxa"/>
            <w:shd w:val="clear" w:color="auto" w:fill="auto"/>
          </w:tcPr>
          <w:p>
            <w:pPr>
              <w:pStyle w:val="nTable"/>
              <w:keepNext/>
              <w:spacing w:after="40"/>
            </w:pPr>
            <w:r>
              <w:rPr>
                <w:i/>
              </w:rPr>
              <w:t>Liquor Control (Wakathuni Restricted Area) Regulations 2019</w:t>
            </w:r>
            <w:r>
              <w:t xml:space="preserve"> Pt. 5</w:t>
            </w:r>
          </w:p>
        </w:tc>
        <w:tc>
          <w:tcPr>
            <w:tcW w:w="1276" w:type="dxa"/>
            <w:shd w:val="clear" w:color="auto" w:fill="auto"/>
          </w:tcPr>
          <w:p>
            <w:pPr>
              <w:pStyle w:val="nTable"/>
              <w:keepNext/>
              <w:spacing w:after="40"/>
            </w:pPr>
            <w:r>
              <w:t>14 Jun 2019 p. 1898-900</w:t>
            </w:r>
          </w:p>
        </w:tc>
        <w:tc>
          <w:tcPr>
            <w:tcW w:w="2693" w:type="dxa"/>
            <w:shd w:val="clear" w:color="auto" w:fill="auto"/>
          </w:tcPr>
          <w:p>
            <w:pPr>
              <w:pStyle w:val="nTable"/>
              <w:keepNext/>
              <w:spacing w:after="40"/>
              <w:rPr>
                <w:bCs/>
                <w:snapToGrid w:val="0"/>
              </w:rPr>
            </w:pPr>
            <w:r>
              <w:rPr>
                <w:bCs/>
                <w:snapToGrid w:val="0"/>
              </w:rPr>
              <w:t>15 Jun 2019 (see r. 2(b))</w:t>
            </w:r>
          </w:p>
        </w:tc>
      </w:tr>
      <w:tr>
        <w:tc>
          <w:tcPr>
            <w:tcW w:w="3119" w:type="dxa"/>
            <w:tcBorders>
              <w:bottom w:val="single" w:sz="4" w:space="0" w:color="auto"/>
            </w:tcBorders>
            <w:shd w:val="clear" w:color="auto" w:fill="auto"/>
          </w:tcPr>
          <w:p>
            <w:pPr>
              <w:pStyle w:val="nTable"/>
              <w:keepNext/>
              <w:spacing w:after="40"/>
              <w:rPr>
                <w:i/>
              </w:rPr>
            </w:pPr>
            <w:r>
              <w:rPr>
                <w:i/>
              </w:rPr>
              <w:t>Liquor Control Amendment Regulations 2019</w:t>
            </w:r>
          </w:p>
        </w:tc>
        <w:tc>
          <w:tcPr>
            <w:tcW w:w="1276" w:type="dxa"/>
            <w:tcBorders>
              <w:bottom w:val="single" w:sz="4" w:space="0" w:color="auto"/>
            </w:tcBorders>
            <w:shd w:val="clear" w:color="auto" w:fill="auto"/>
          </w:tcPr>
          <w:p>
            <w:pPr>
              <w:pStyle w:val="nTable"/>
              <w:keepNext/>
              <w:spacing w:after="40"/>
            </w:pPr>
            <w:r>
              <w:t>28 Jun 2019 p. 2491</w:t>
            </w:r>
            <w:r>
              <w:noBreakHyphen/>
              <w:t>2</w:t>
            </w:r>
          </w:p>
        </w:tc>
        <w:tc>
          <w:tcPr>
            <w:tcW w:w="2693" w:type="dxa"/>
            <w:tcBorders>
              <w:bottom w:val="single" w:sz="4" w:space="0" w:color="auto"/>
            </w:tcBorders>
            <w:shd w:val="clear" w:color="auto" w:fill="auto"/>
          </w:tcPr>
          <w:p>
            <w:pPr>
              <w:pStyle w:val="nTable"/>
              <w:keepNext/>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114" w:name="_Toc22729189"/>
      <w:r>
        <w:t>Provisions that have not come into operation</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6 </w:t>
            </w:r>
            <w:r>
              <w:rPr>
                <w:vertAlign w:val="superscript"/>
              </w:rPr>
              <w:t>11</w:t>
            </w:r>
          </w:p>
        </w:tc>
        <w:tc>
          <w:tcPr>
            <w:tcW w:w="1276" w:type="dxa"/>
          </w:tcPr>
          <w:p>
            <w:pPr>
              <w:pStyle w:val="nTable"/>
              <w:spacing w:after="40"/>
            </w:pPr>
            <w:r>
              <w:t>22 Oct 2019 p. 3724</w:t>
            </w:r>
            <w:r>
              <w:noBreakHyphen/>
              <w:t>8</w:t>
            </w:r>
          </w:p>
        </w:tc>
        <w:tc>
          <w:tcPr>
            <w:tcW w:w="2693" w:type="dxa"/>
          </w:tcPr>
          <w:p>
            <w:pPr>
              <w:pStyle w:val="nTable"/>
              <w:spacing w:after="40"/>
            </w:pPr>
            <w:r>
              <w:t>1 Jan 2020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Commenced 1 July 2014.</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2019</w:t>
      </w:r>
      <w:r>
        <w:t xml:space="preserve"> Pt. 6 had not come into operation.  It reads as follows:</w:t>
      </w:r>
    </w:p>
    <w:p>
      <w:pPr>
        <w:pStyle w:val="BlankOpen"/>
      </w:pPr>
    </w:p>
    <w:p>
      <w:pPr>
        <w:pStyle w:val="nzHeading2"/>
      </w:pPr>
      <w:bookmarkStart w:id="115" w:name="_Toc17719521"/>
      <w:bookmarkStart w:id="116" w:name="_Toc17719549"/>
      <w:bookmarkStart w:id="117" w:name="_Toc17788888"/>
      <w:bookmarkStart w:id="118" w:name="_Toc17789412"/>
      <w:bookmarkStart w:id="119" w:name="_Toc17790420"/>
      <w:bookmarkStart w:id="120" w:name="_Toc17791981"/>
      <w:bookmarkStart w:id="121" w:name="_Toc17792408"/>
      <w:bookmarkStart w:id="122" w:name="_Toc17795620"/>
      <w:bookmarkStart w:id="123" w:name="_Toc17803215"/>
      <w:bookmarkStart w:id="124" w:name="_Toc17803276"/>
      <w:bookmarkStart w:id="125" w:name="_Toc18674191"/>
      <w:bookmarkStart w:id="126" w:name="_Toc18674816"/>
      <w:bookmarkStart w:id="127" w:name="_Toc18911681"/>
      <w:bookmarkStart w:id="128" w:name="_Toc18911819"/>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zHeading5"/>
      </w:pPr>
      <w:bookmarkStart w:id="129" w:name="_Toc17791982"/>
      <w:bookmarkStart w:id="130" w:name="_Toc17803216"/>
      <w:bookmarkStart w:id="131" w:name="_Toc18911682"/>
      <w:bookmarkStart w:id="132" w:name="_Toc18911820"/>
      <w:r>
        <w:rPr>
          <w:rStyle w:val="CharSectno"/>
        </w:rPr>
        <w:t>11</w:t>
      </w:r>
      <w:r>
        <w:t>.</w:t>
      </w:r>
      <w:r>
        <w:tab/>
        <w:t>Regulations amended</w:t>
      </w:r>
      <w:bookmarkEnd w:id="129"/>
      <w:bookmarkEnd w:id="130"/>
      <w:bookmarkEnd w:id="131"/>
      <w:bookmarkEnd w:id="132"/>
    </w:p>
    <w:p>
      <w:pPr>
        <w:pStyle w:val="nzSubsection"/>
      </w:pPr>
      <w:r>
        <w:tab/>
      </w:r>
      <w:r>
        <w:tab/>
        <w:t xml:space="preserve">This Part amends the </w:t>
      </w:r>
      <w:r>
        <w:rPr>
          <w:i/>
        </w:rPr>
        <w:t>Liquor Control Regulations 1989</w:t>
      </w:r>
      <w:r>
        <w:t>.</w:t>
      </w:r>
    </w:p>
    <w:p>
      <w:pPr>
        <w:pStyle w:val="nzHeading5"/>
      </w:pPr>
      <w:bookmarkStart w:id="133" w:name="_Toc17791983"/>
      <w:bookmarkStart w:id="134" w:name="_Toc17803217"/>
      <w:bookmarkStart w:id="135" w:name="_Toc18911683"/>
      <w:bookmarkStart w:id="136" w:name="_Toc18911821"/>
      <w:r>
        <w:rPr>
          <w:rStyle w:val="CharSectno"/>
        </w:rPr>
        <w:t>12</w:t>
      </w:r>
      <w:r>
        <w:t>.</w:t>
      </w:r>
      <w:r>
        <w:tab/>
        <w:t>Regulation 26 amended</w:t>
      </w:r>
      <w:bookmarkEnd w:id="133"/>
      <w:bookmarkEnd w:id="134"/>
      <w:bookmarkEnd w:id="135"/>
      <w:bookmarkEnd w:id="136"/>
    </w:p>
    <w:p>
      <w:pPr>
        <w:pStyle w:val="nzSubsection"/>
      </w:pPr>
      <w:r>
        <w:tab/>
      </w:r>
      <w:r>
        <w:tab/>
        <w:t>In regulation 26(1aa):</w:t>
      </w:r>
    </w:p>
    <w:p>
      <w:pPr>
        <w:pStyle w:val="nzIndenta"/>
      </w:pPr>
      <w:r>
        <w:tab/>
        <w:t>(a)</w:t>
      </w:r>
      <w:r>
        <w:tab/>
        <w:t>in paragraph (a) delete “$285; or” and insert:</w:t>
      </w:r>
    </w:p>
    <w:p>
      <w:pPr>
        <w:pStyle w:val="BlankOpen"/>
      </w:pPr>
    </w:p>
    <w:p>
      <w:pPr>
        <w:pStyle w:val="nzIndenta"/>
      </w:pPr>
      <w:r>
        <w:tab/>
      </w:r>
      <w:r>
        <w:tab/>
        <w:t>$289.00; or</w:t>
      </w:r>
    </w:p>
    <w:p>
      <w:pPr>
        <w:pStyle w:val="BlankClose"/>
      </w:pPr>
    </w:p>
    <w:p>
      <w:pPr>
        <w:pStyle w:val="nzIndenta"/>
      </w:pPr>
      <w:r>
        <w:tab/>
        <w:t>(b)</w:t>
      </w:r>
      <w:r>
        <w:tab/>
        <w:t>in paragraph (b) delete “$573.” and insert:</w:t>
      </w:r>
    </w:p>
    <w:p>
      <w:pPr>
        <w:pStyle w:val="BlankOpen"/>
      </w:pPr>
    </w:p>
    <w:p>
      <w:pPr>
        <w:pStyle w:val="nzIndenta"/>
      </w:pPr>
      <w:r>
        <w:tab/>
      </w:r>
      <w:r>
        <w:tab/>
        <w:t>$581.50.</w:t>
      </w:r>
    </w:p>
    <w:p>
      <w:pPr>
        <w:pStyle w:val="BlankClose"/>
      </w:pPr>
    </w:p>
    <w:p>
      <w:pPr>
        <w:pStyle w:val="nzHeading5"/>
      </w:pPr>
      <w:bookmarkStart w:id="137" w:name="_Toc17791984"/>
      <w:bookmarkStart w:id="138" w:name="_Toc17803218"/>
      <w:bookmarkStart w:id="139" w:name="_Toc18911684"/>
      <w:bookmarkStart w:id="140" w:name="_Toc18911822"/>
      <w:r>
        <w:rPr>
          <w:rStyle w:val="CharSectno"/>
        </w:rPr>
        <w:t>13</w:t>
      </w:r>
      <w:r>
        <w:t>.</w:t>
      </w:r>
      <w:r>
        <w:tab/>
        <w:t>Schedule 3 replaced</w:t>
      </w:r>
      <w:bookmarkEnd w:id="137"/>
      <w:bookmarkEnd w:id="138"/>
      <w:bookmarkEnd w:id="139"/>
      <w:bookmarkEnd w:id="140"/>
    </w:p>
    <w:p>
      <w:pPr>
        <w:pStyle w:val="nzSubsection"/>
        <w:keepNext/>
      </w:pPr>
      <w:r>
        <w:tab/>
      </w:r>
      <w:r>
        <w:tab/>
        <w:t>Delete Schedule 3 and insert:</w:t>
      </w:r>
    </w:p>
    <w:p>
      <w:pPr>
        <w:pStyle w:val="BlankOpen"/>
        <w:keepNext w:val="0"/>
        <w:keepLines w:val="0"/>
      </w:pPr>
    </w:p>
    <w:p>
      <w:pPr>
        <w:pStyle w:val="nzHeading2"/>
      </w:pPr>
      <w:bookmarkStart w:id="141" w:name="_Toc17719525"/>
      <w:bookmarkStart w:id="142" w:name="_Toc17719553"/>
      <w:bookmarkStart w:id="143" w:name="_Toc17788892"/>
      <w:bookmarkStart w:id="144" w:name="_Toc17789416"/>
      <w:bookmarkStart w:id="145" w:name="_Toc17790424"/>
      <w:bookmarkStart w:id="146" w:name="_Toc17791985"/>
      <w:bookmarkStart w:id="147" w:name="_Toc17792412"/>
      <w:bookmarkStart w:id="148" w:name="_Toc17795624"/>
      <w:bookmarkStart w:id="149" w:name="_Toc17803219"/>
      <w:bookmarkStart w:id="150" w:name="_Toc17803280"/>
      <w:bookmarkStart w:id="151" w:name="_Toc18674195"/>
      <w:bookmarkStart w:id="152" w:name="_Toc18674820"/>
      <w:bookmarkStart w:id="153" w:name="_Toc18911685"/>
      <w:bookmarkStart w:id="154" w:name="_Toc18911823"/>
      <w:bookmarkStart w:id="155" w:name="_Toc22654398"/>
      <w:r>
        <w:rPr>
          <w:rStyle w:val="CharSchNo"/>
        </w:rPr>
        <w:t>Schedule 3</w:t>
      </w:r>
      <w:r>
        <w:t> — </w:t>
      </w:r>
      <w:r>
        <w:rPr>
          <w:rStyle w:val="CharSchText"/>
        </w:rPr>
        <w:t>Fees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nz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6.</w:t>
            </w:r>
          </w:p>
        </w:tc>
        <w:tc>
          <w:tcPr>
            <w:tcW w:w="5270" w:type="dxa"/>
            <w:tcBorders>
              <w:top w:val="single" w:sz="4" w:space="0" w:color="auto"/>
              <w:left w:val="single" w:sz="4" w:space="0" w:color="auto"/>
              <w:bottom w:val="nil"/>
              <w:right w:val="single" w:sz="4" w:space="0" w:color="auto"/>
            </w:tcBorders>
          </w:tcPr>
          <w:p>
            <w:pPr>
              <w:pStyle w:val="nzTableNAm"/>
              <w:tabs>
                <w:tab w:val="clear" w:pos="567"/>
                <w:tab w:val="left" w:pos="518"/>
                <w:tab w:val="right" w:leader="dot" w:pos="6237"/>
              </w:tabs>
            </w:pPr>
            <w:r>
              <w:t xml:space="preserve">Application for an occasional licence if the anticipated number of patrons is — </w:t>
            </w:r>
          </w:p>
          <w:p>
            <w:pPr>
              <w:pStyle w:val="nzTableNAm"/>
              <w:tabs>
                <w:tab w:val="clear" w:pos="567"/>
                <w:tab w:val="left" w:pos="518"/>
                <w:tab w:val="right" w:leader="dot" w:pos="6237"/>
              </w:tabs>
            </w:pPr>
            <w:r>
              <w:t>(a)</w:t>
            </w:r>
            <w:r>
              <w:tab/>
              <w:t xml:space="preserve">up to 250 </w:t>
            </w:r>
            <w:r>
              <w:tab/>
            </w:r>
          </w:p>
          <w:p>
            <w:pPr>
              <w:pStyle w:val="nz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p>
            <w:pPr>
              <w:pStyle w:val="nzTableNAm"/>
              <w:tabs>
                <w:tab w:val="clear" w:pos="567"/>
                <w:tab w:val="right" w:pos="659"/>
              </w:tabs>
              <w:ind w:right="48"/>
              <w:jc w:val="right"/>
              <w:rPr>
                <w:szCs w:val="22"/>
              </w:rPr>
            </w:pPr>
            <w:r>
              <w:rPr>
                <w:szCs w:val="22"/>
              </w:rPr>
              <w:t>54.50</w:t>
            </w:r>
          </w:p>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(c)</w:t>
            </w:r>
            <w:r>
              <w:tab/>
              <w:t xml:space="preserve">between 501 and 1 000 </w:t>
            </w:r>
            <w:r>
              <w:tab/>
            </w:r>
          </w:p>
          <w:p>
            <w:pPr>
              <w:pStyle w:val="nzTableNAm"/>
              <w:tabs>
                <w:tab w:val="clear" w:pos="567"/>
                <w:tab w:val="left" w:pos="518"/>
                <w:tab w:val="right" w:leader="dot" w:pos="6237"/>
              </w:tabs>
            </w:pPr>
            <w:r>
              <w:t>(d)</w:t>
            </w:r>
            <w:r>
              <w:tab/>
              <w:t xml:space="preserve">between 1 001 and 5 000 </w:t>
            </w:r>
            <w:r>
              <w:tab/>
            </w:r>
          </w:p>
          <w:p>
            <w:pPr>
              <w:pStyle w:val="nzTableNAm"/>
              <w:tabs>
                <w:tab w:val="clear" w:pos="567"/>
                <w:tab w:val="left" w:pos="518"/>
                <w:tab w:val="right" w:leader="dot" w:pos="6237"/>
              </w:tabs>
            </w:pPr>
            <w:r>
              <w:t>(e)</w:t>
            </w:r>
            <w:r>
              <w:tab/>
              <w:t xml:space="preserve">between 5 001 and 10 000 </w:t>
            </w:r>
            <w:r>
              <w:tab/>
            </w:r>
          </w:p>
          <w:p>
            <w:pPr>
              <w:pStyle w:val="nz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235.00</w:t>
            </w:r>
          </w:p>
          <w:p>
            <w:pPr>
              <w:pStyle w:val="nzTableNAm"/>
              <w:tabs>
                <w:tab w:val="clear" w:pos="567"/>
                <w:tab w:val="right" w:pos="659"/>
              </w:tabs>
              <w:ind w:right="48"/>
              <w:jc w:val="right"/>
            </w:pPr>
            <w:r>
              <w:rPr>
                <w:szCs w:val="22"/>
              </w:rPr>
              <w:t>1 190.50</w:t>
            </w:r>
          </w:p>
          <w:p>
            <w:pPr>
              <w:pStyle w:val="nzTableNAm"/>
              <w:tabs>
                <w:tab w:val="clear" w:pos="567"/>
                <w:tab w:val="right" w:pos="659"/>
              </w:tabs>
              <w:ind w:right="48"/>
              <w:jc w:val="right"/>
            </w:pPr>
            <w:r>
              <w:rPr>
                <w:szCs w:val="22"/>
              </w:rPr>
              <w:t>2 384.00</w:t>
            </w:r>
          </w:p>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7.</w:t>
            </w:r>
          </w:p>
        </w:tc>
        <w:tc>
          <w:tcPr>
            <w:tcW w:w="5270" w:type="dxa"/>
            <w:tcBorders>
              <w:top w:val="single" w:sz="4" w:space="0" w:color="auto"/>
              <w:left w:val="single" w:sz="4" w:space="0" w:color="auto"/>
              <w:bottom w:val="nil"/>
              <w:right w:val="single" w:sz="4" w:space="0" w:color="auto"/>
            </w:tcBorders>
          </w:tcPr>
          <w:p>
            <w:pPr>
              <w:pStyle w:val="nz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30" w:hanging="530"/>
            </w:pPr>
            <w:r>
              <w:t>(a)</w:t>
            </w:r>
            <w:r>
              <w:tab/>
              <w:t xml:space="preserve">issued for the purpose referred to in section 60(4)(ca) — </w:t>
            </w:r>
          </w:p>
          <w:p>
            <w:pPr>
              <w:pStyle w:val="nz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nz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 w:val="right" w:leader="dot" w:pos="6237"/>
              </w:tabs>
              <w:ind w:right="48"/>
              <w:jc w:val="right"/>
            </w:pPr>
          </w:p>
          <w:p>
            <w:pPr>
              <w:pStyle w:val="nzTableNAm"/>
              <w:tabs>
                <w:tab w:val="clear" w:pos="567"/>
                <w:tab w:val="right" w:pos="659"/>
                <w:tab w:val="right" w:leader="dot" w:pos="6237"/>
              </w:tabs>
              <w:ind w:right="48"/>
              <w:jc w:val="right"/>
              <w:rPr>
                <w:szCs w:val="22"/>
              </w:rPr>
            </w:pPr>
            <w:r>
              <w:rPr>
                <w:szCs w:val="22"/>
              </w:rPr>
              <w:t>54.50</w:t>
            </w:r>
          </w:p>
          <w:p>
            <w:pPr>
              <w:pStyle w:val="nz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16" w:hanging="516"/>
            </w:pPr>
            <w:r>
              <w:t>(b)</w:t>
            </w:r>
            <w:r>
              <w:tab/>
              <w:t xml:space="preserve">issued for the purpose referred to in </w:t>
            </w:r>
            <w:r>
              <w:br/>
              <w:t xml:space="preserve">section 60(4)(e) </w:t>
            </w:r>
            <w:r>
              <w:tab/>
            </w:r>
          </w:p>
          <w:p>
            <w:pPr>
              <w:pStyle w:val="nz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364.00</w:t>
            </w:r>
          </w:p>
          <w:p>
            <w:pPr>
              <w:pStyle w:val="nz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943"/>
              </w:tabs>
              <w:ind w:left="518" w:hanging="518"/>
            </w:pPr>
            <w:r>
              <w:t>(d)</w:t>
            </w:r>
            <w:r>
              <w:tab/>
              <w:t xml:space="preserve">issued for the purpose referred to in section 60(4)(ia) — </w:t>
            </w:r>
          </w:p>
          <w:p>
            <w:pPr>
              <w:pStyle w:val="nz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nz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rPr>
                <w:szCs w:val="22"/>
              </w:rPr>
            </w:pPr>
            <w:r>
              <w:rPr>
                <w:szCs w:val="22"/>
              </w:rPr>
              <w:t>364.00</w:t>
            </w:r>
          </w:p>
          <w:p>
            <w:pPr>
              <w:pStyle w:val="nz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10.</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11.</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nzTableNAm"/>
              <w:keepNext/>
            </w:pPr>
            <w:r>
              <w:t>12.</w:t>
            </w:r>
          </w:p>
        </w:tc>
        <w:tc>
          <w:tcPr>
            <w:tcW w:w="5270" w:type="dxa"/>
            <w:tcBorders>
              <w:top w:val="single" w:sz="4" w:space="0" w:color="auto"/>
              <w:left w:val="single" w:sz="4" w:space="0" w:color="auto"/>
              <w:bottom w:val="nil"/>
              <w:right w:val="single" w:sz="4" w:space="0" w:color="auto"/>
            </w:tcBorders>
          </w:tcPr>
          <w:p>
            <w:pPr>
              <w:pStyle w:val="nzTableNAm"/>
              <w:keepNext/>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nzTableNAm"/>
              <w:keepNext/>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keepNext/>
            </w:pPr>
          </w:p>
        </w:tc>
        <w:tc>
          <w:tcPr>
            <w:tcW w:w="5270" w:type="dxa"/>
            <w:tcBorders>
              <w:top w:val="nil"/>
              <w:left w:val="single" w:sz="4" w:space="0" w:color="auto"/>
              <w:bottom w:val="nil"/>
              <w:right w:val="single" w:sz="4" w:space="0" w:color="auto"/>
            </w:tcBorders>
          </w:tcPr>
          <w:p>
            <w:pPr>
              <w:pStyle w:val="nzTableNAm"/>
              <w:keepNext/>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nzTableNAm"/>
              <w:keepNext/>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13.</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15.</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16.</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17.</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nzTableNAm"/>
            </w:pPr>
            <w:r>
              <w:t>18.</w:t>
            </w:r>
          </w:p>
        </w:tc>
        <w:tc>
          <w:tcPr>
            <w:tcW w:w="5270" w:type="dxa"/>
            <w:tcBorders>
              <w:top w:val="single" w:sz="4" w:space="0" w:color="auto"/>
              <w:left w:val="single" w:sz="4" w:space="0" w:color="auto"/>
              <w:bottom w:val="nil"/>
              <w:right w:val="single" w:sz="4" w:space="0" w:color="auto"/>
            </w:tcBorders>
          </w:tcPr>
          <w:p>
            <w:pPr>
              <w:pStyle w:val="nz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nzTableNAm"/>
            </w:pPr>
          </w:p>
        </w:tc>
        <w:tc>
          <w:tcPr>
            <w:tcW w:w="5270" w:type="dxa"/>
            <w:tcBorders>
              <w:top w:val="nil"/>
              <w:left w:val="single" w:sz="4" w:space="0" w:color="auto"/>
              <w:bottom w:val="nil"/>
              <w:right w:val="single" w:sz="4" w:space="0" w:color="auto"/>
            </w:tcBorders>
          </w:tcPr>
          <w:p>
            <w:pPr>
              <w:pStyle w:val="nz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nz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p>
        </w:tc>
        <w:tc>
          <w:tcPr>
            <w:tcW w:w="5270" w:type="dxa"/>
            <w:tcBorders>
              <w:top w:val="nil"/>
              <w:left w:val="single" w:sz="4" w:space="0" w:color="auto"/>
              <w:bottom w:val="single" w:sz="4" w:space="0" w:color="auto"/>
              <w:right w:val="single" w:sz="4" w:space="0" w:color="auto"/>
            </w:tcBorders>
          </w:tcPr>
          <w:p>
            <w:pPr>
              <w:pStyle w:val="nz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19.</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20.</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21.</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22.</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23.</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24.</w:t>
            </w:r>
          </w:p>
        </w:tc>
        <w:tc>
          <w:tcPr>
            <w:tcW w:w="5270"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nz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nzTableNAm"/>
              <w:keepNext/>
              <w:tabs>
                <w:tab w:val="clear" w:pos="567"/>
                <w:tab w:val="right" w:pos="659"/>
              </w:tabs>
              <w:ind w:right="48"/>
              <w:jc w:val="right"/>
            </w:pPr>
            <w:r>
              <w:rPr>
                <w:szCs w:val="22"/>
              </w:rPr>
              <w:t>66.50</w:t>
            </w:r>
          </w:p>
        </w:tc>
      </w:tr>
      <w:tr>
        <w:trPr>
          <w:cantSplit/>
        </w:trPr>
        <w:tc>
          <w:tcPr>
            <w:tcW w:w="684" w:type="dxa"/>
          </w:tcPr>
          <w:p>
            <w:pPr>
              <w:pStyle w:val="nzTableNAm"/>
            </w:pPr>
            <w:r>
              <w:t>26.</w:t>
            </w:r>
          </w:p>
        </w:tc>
        <w:tc>
          <w:tcPr>
            <w:tcW w:w="5270" w:type="dxa"/>
          </w:tcPr>
          <w:p>
            <w:pPr>
              <w:pStyle w:val="nz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nzTableNAm"/>
              <w:tabs>
                <w:tab w:val="clear" w:pos="567"/>
                <w:tab w:val="right" w:pos="659"/>
              </w:tabs>
              <w:ind w:right="48"/>
              <w:jc w:val="right"/>
            </w:pPr>
            <w:r>
              <w:rPr>
                <w:szCs w:val="22"/>
              </w:rPr>
              <w:t>92.00</w:t>
            </w:r>
          </w:p>
        </w:tc>
      </w:tr>
      <w:tr>
        <w:trPr>
          <w:cantSplit/>
        </w:trPr>
        <w:tc>
          <w:tcPr>
            <w:tcW w:w="684" w:type="dxa"/>
          </w:tcPr>
          <w:p>
            <w:pPr>
              <w:pStyle w:val="nzTableNAm"/>
            </w:pPr>
            <w:r>
              <w:t>27.</w:t>
            </w:r>
          </w:p>
        </w:tc>
        <w:tc>
          <w:tcPr>
            <w:tcW w:w="5270" w:type="dxa"/>
          </w:tcPr>
          <w:p>
            <w:pPr>
              <w:pStyle w:val="nzTableNAm"/>
              <w:tabs>
                <w:tab w:val="clear" w:pos="567"/>
                <w:tab w:val="right" w:leader="dot" w:pos="6237"/>
              </w:tabs>
            </w:pPr>
            <w:r>
              <w:t xml:space="preserve">Supply of a list of licensed premises on computer disk </w:t>
            </w:r>
            <w:r>
              <w:tab/>
            </w:r>
          </w:p>
        </w:tc>
        <w:tc>
          <w:tcPr>
            <w:tcW w:w="1114" w:type="dxa"/>
            <w:vAlign w:val="bottom"/>
          </w:tcPr>
          <w:p>
            <w:pPr>
              <w:pStyle w:val="nzTableNAm"/>
              <w:tabs>
                <w:tab w:val="clear" w:pos="567"/>
                <w:tab w:val="right" w:pos="659"/>
              </w:tabs>
              <w:ind w:right="48"/>
              <w:jc w:val="right"/>
              <w:rPr>
                <w:rFonts w:ascii="Arial" w:hAnsi="Arial"/>
              </w:rPr>
            </w:pPr>
            <w:r>
              <w:rPr>
                <w:szCs w:val="22"/>
              </w:rPr>
              <w:t>60.50</w:t>
            </w:r>
          </w:p>
        </w:tc>
      </w:tr>
      <w:tr>
        <w:trPr>
          <w:cantSplit/>
        </w:trPr>
        <w:tc>
          <w:tcPr>
            <w:tcW w:w="684" w:type="dxa"/>
          </w:tcPr>
          <w:p>
            <w:pPr>
              <w:pStyle w:val="nzTableNAm"/>
            </w:pPr>
            <w:r>
              <w:t>28.</w:t>
            </w:r>
          </w:p>
        </w:tc>
        <w:tc>
          <w:tcPr>
            <w:tcW w:w="5270" w:type="dxa"/>
          </w:tcPr>
          <w:p>
            <w:pPr>
              <w:pStyle w:val="nzTableNAm"/>
              <w:tabs>
                <w:tab w:val="clear" w:pos="567"/>
                <w:tab w:val="right" w:leader="dot" w:pos="6237"/>
              </w:tabs>
            </w:pPr>
            <w:r>
              <w:t xml:space="preserve">Supply of address labels for licensed premises </w:t>
            </w:r>
            <w:r>
              <w:tab/>
            </w:r>
          </w:p>
        </w:tc>
        <w:tc>
          <w:tcPr>
            <w:tcW w:w="1114" w:type="dxa"/>
            <w:vAlign w:val="bottom"/>
          </w:tcPr>
          <w:p>
            <w:pPr>
              <w:pStyle w:val="nzTableNAm"/>
              <w:tabs>
                <w:tab w:val="clear" w:pos="567"/>
                <w:tab w:val="right" w:pos="659"/>
              </w:tabs>
              <w:ind w:right="48"/>
              <w:jc w:val="right"/>
            </w:pPr>
            <w:r>
              <w:rPr>
                <w:szCs w:val="22"/>
              </w:rPr>
              <w:t>148.00</w:t>
            </w:r>
          </w:p>
        </w:tc>
      </w:tr>
      <w:tr>
        <w:trPr>
          <w:cantSplit/>
        </w:trPr>
        <w:tc>
          <w:tcPr>
            <w:tcW w:w="684" w:type="dxa"/>
          </w:tcPr>
          <w:p>
            <w:pPr>
              <w:pStyle w:val="nzTableNAm"/>
            </w:pPr>
            <w:r>
              <w:t>29.</w:t>
            </w:r>
          </w:p>
        </w:tc>
        <w:tc>
          <w:tcPr>
            <w:tcW w:w="5270" w:type="dxa"/>
          </w:tcPr>
          <w:p>
            <w:pPr>
              <w:pStyle w:val="nzTableNAm"/>
              <w:tabs>
                <w:tab w:val="clear" w:pos="567"/>
                <w:tab w:val="right" w:leader="dot" w:pos="6237"/>
              </w:tabs>
            </w:pPr>
            <w:r>
              <w:t xml:space="preserve">Supply of approved heading for advertising an application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30.</w:t>
            </w:r>
          </w:p>
        </w:tc>
        <w:tc>
          <w:tcPr>
            <w:tcW w:w="5270" w:type="dxa"/>
          </w:tcPr>
          <w:p>
            <w:pPr>
              <w:pStyle w:val="nzTableNAm"/>
              <w:tabs>
                <w:tab w:val="clear" w:pos="567"/>
                <w:tab w:val="right" w:leader="dot" w:pos="6237"/>
              </w:tabs>
            </w:pPr>
            <w:r>
              <w:t xml:space="preserve">Supply of copy of plan — per sheet </w:t>
            </w:r>
            <w:r>
              <w:tab/>
            </w:r>
          </w:p>
        </w:tc>
        <w:tc>
          <w:tcPr>
            <w:tcW w:w="1114" w:type="dxa"/>
            <w:vAlign w:val="bottom"/>
          </w:tcPr>
          <w:p>
            <w:pPr>
              <w:pStyle w:val="nzTableNAm"/>
              <w:tabs>
                <w:tab w:val="clear" w:pos="567"/>
                <w:tab w:val="right" w:pos="659"/>
              </w:tabs>
              <w:ind w:right="48"/>
              <w:jc w:val="right"/>
            </w:pPr>
            <w:r>
              <w:t>28.00</w:t>
            </w:r>
            <w:r>
              <w:br/>
              <w:t>(up to a max. of 224.00)</w:t>
            </w:r>
          </w:p>
        </w:tc>
      </w:tr>
      <w:tr>
        <w:trPr>
          <w:cantSplit/>
        </w:trPr>
        <w:tc>
          <w:tcPr>
            <w:tcW w:w="684" w:type="dxa"/>
          </w:tcPr>
          <w:p>
            <w:pPr>
              <w:pStyle w:val="nzTableNAm"/>
            </w:pPr>
            <w:r>
              <w:t>31.</w:t>
            </w:r>
          </w:p>
        </w:tc>
        <w:tc>
          <w:tcPr>
            <w:tcW w:w="5270" w:type="dxa"/>
          </w:tcPr>
          <w:p>
            <w:pPr>
              <w:pStyle w:val="nzTableNAm"/>
              <w:tabs>
                <w:tab w:val="clear" w:pos="567"/>
                <w:tab w:val="right" w:leader="dot" w:pos="6237"/>
              </w:tabs>
            </w:pPr>
            <w:r>
              <w:t xml:space="preserve">Supply of certified copy of plan defining licensed premises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32.</w:t>
            </w:r>
          </w:p>
        </w:tc>
        <w:tc>
          <w:tcPr>
            <w:tcW w:w="5270" w:type="dxa"/>
          </w:tcPr>
          <w:p>
            <w:pPr>
              <w:pStyle w:val="nz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nzTableNAm"/>
              <w:tabs>
                <w:tab w:val="clear" w:pos="567"/>
                <w:tab w:val="right" w:pos="659"/>
              </w:tabs>
              <w:ind w:right="48"/>
              <w:jc w:val="right"/>
            </w:pPr>
            <w:r>
              <w:t>28.00</w:t>
            </w:r>
          </w:p>
        </w:tc>
      </w:tr>
      <w:tr>
        <w:trPr>
          <w:cantSplit/>
        </w:trPr>
        <w:tc>
          <w:tcPr>
            <w:tcW w:w="684" w:type="dxa"/>
          </w:tcPr>
          <w:p>
            <w:pPr>
              <w:pStyle w:val="nzTableNAm"/>
            </w:pPr>
            <w:r>
              <w:t>33.</w:t>
            </w:r>
          </w:p>
        </w:tc>
        <w:tc>
          <w:tcPr>
            <w:tcW w:w="5270" w:type="dxa"/>
          </w:tcPr>
          <w:p>
            <w:pPr>
              <w:pStyle w:val="nz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nzTableNAm"/>
              <w:tabs>
                <w:tab w:val="clear" w:pos="567"/>
                <w:tab w:val="right" w:leader="dot" w:pos="6237"/>
              </w:tabs>
            </w:pPr>
            <w:r>
              <w:t>[In addition to the fee under item 32]</w:t>
            </w:r>
          </w:p>
        </w:tc>
        <w:tc>
          <w:tcPr>
            <w:tcW w:w="1114" w:type="dxa"/>
            <w:vAlign w:val="bottom"/>
          </w:tcPr>
          <w:p>
            <w:pPr>
              <w:pStyle w:val="nzTableNAm"/>
              <w:tabs>
                <w:tab w:val="clear" w:pos="567"/>
                <w:tab w:val="right" w:leader="dot" w:pos="6237"/>
              </w:tabs>
              <w:jc w:val="right"/>
            </w:pPr>
            <w:r>
              <w:t>28.00</w:t>
            </w:r>
          </w:p>
          <w:p>
            <w:pPr>
              <w:pStyle w:val="nzTableNAm"/>
              <w:tabs>
                <w:tab w:val="clear" w:pos="567"/>
                <w:tab w:val="right" w:pos="659"/>
              </w:tabs>
              <w:ind w:right="48"/>
              <w:jc w:val="right"/>
            </w:pPr>
          </w:p>
        </w:tc>
      </w:tr>
      <w:tr>
        <w:trPr>
          <w:cantSplit/>
        </w:trPr>
        <w:tc>
          <w:tcPr>
            <w:tcW w:w="684" w:type="dxa"/>
          </w:tcPr>
          <w:p>
            <w:pPr>
              <w:pStyle w:val="nzTableNAm"/>
            </w:pPr>
            <w:r>
              <w:t>34.</w:t>
            </w:r>
          </w:p>
        </w:tc>
        <w:tc>
          <w:tcPr>
            <w:tcW w:w="5270" w:type="dxa"/>
          </w:tcPr>
          <w:p>
            <w:pPr>
              <w:pStyle w:val="nz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nzTableNAm"/>
              <w:tabs>
                <w:tab w:val="clear" w:pos="567"/>
                <w:tab w:val="right" w:pos="659"/>
              </w:tabs>
              <w:ind w:right="48"/>
              <w:jc w:val="right"/>
            </w:pPr>
            <w:r>
              <w:t>4.00</w:t>
            </w:r>
          </w:p>
        </w:tc>
      </w:tr>
      <w:tr>
        <w:trPr>
          <w:cantSplit/>
        </w:trPr>
        <w:tc>
          <w:tcPr>
            <w:tcW w:w="684" w:type="dxa"/>
          </w:tcPr>
          <w:p>
            <w:pPr>
              <w:pStyle w:val="nzTableNAm"/>
            </w:pPr>
            <w:r>
              <w:t>35.</w:t>
            </w:r>
          </w:p>
        </w:tc>
        <w:tc>
          <w:tcPr>
            <w:tcW w:w="5270" w:type="dxa"/>
          </w:tcPr>
          <w:p>
            <w:pPr>
              <w:pStyle w:val="nzTableNAm"/>
              <w:tabs>
                <w:tab w:val="clear" w:pos="567"/>
                <w:tab w:val="right" w:leader="dot" w:pos="6237"/>
              </w:tabs>
            </w:pPr>
            <w:r>
              <w:t xml:space="preserve">Issue of a summons to a witness </w:t>
            </w:r>
            <w:r>
              <w:tab/>
            </w:r>
          </w:p>
        </w:tc>
        <w:tc>
          <w:tcPr>
            <w:tcW w:w="1114" w:type="dxa"/>
            <w:vAlign w:val="bottom"/>
          </w:tcPr>
          <w:p>
            <w:pPr>
              <w:pStyle w:val="nzTableNAm"/>
              <w:tabs>
                <w:tab w:val="clear" w:pos="567"/>
                <w:tab w:val="right" w:pos="659"/>
              </w:tabs>
              <w:ind w:right="48"/>
              <w:jc w:val="right"/>
            </w:pPr>
            <w:r>
              <w:t>23.00</w:t>
            </w:r>
          </w:p>
        </w:tc>
      </w:tr>
      <w:tr>
        <w:trPr>
          <w:cantSplit/>
        </w:trPr>
        <w:tc>
          <w:tcPr>
            <w:tcW w:w="684" w:type="dxa"/>
          </w:tcPr>
          <w:p>
            <w:pPr>
              <w:pStyle w:val="nzTableNAm"/>
            </w:pPr>
            <w:r>
              <w:t>36.</w:t>
            </w:r>
          </w:p>
        </w:tc>
        <w:tc>
          <w:tcPr>
            <w:tcW w:w="5270" w:type="dxa"/>
          </w:tcPr>
          <w:p>
            <w:pPr>
              <w:pStyle w:val="nzTableNAm"/>
              <w:tabs>
                <w:tab w:val="clear" w:pos="567"/>
                <w:tab w:val="right" w:leader="dot" w:pos="6237"/>
              </w:tabs>
            </w:pPr>
            <w:r>
              <w:t xml:space="preserve">For a search of the database of records of licences — per licence </w:t>
            </w:r>
            <w:r>
              <w:tab/>
            </w:r>
          </w:p>
        </w:tc>
        <w:tc>
          <w:tcPr>
            <w:tcW w:w="1114" w:type="dxa"/>
            <w:vAlign w:val="bottom"/>
          </w:tcPr>
          <w:p>
            <w:pPr>
              <w:pStyle w:val="nzTableNAm"/>
              <w:tabs>
                <w:tab w:val="clear" w:pos="567"/>
                <w:tab w:val="right" w:pos="659"/>
              </w:tabs>
              <w:ind w:right="48"/>
              <w:jc w:val="right"/>
            </w:pPr>
            <w:r>
              <w:t>41.50</w:t>
            </w:r>
          </w:p>
        </w:tc>
      </w:tr>
      <w:tr>
        <w:trPr>
          <w:cantSplit/>
        </w:trPr>
        <w:tc>
          <w:tcPr>
            <w:tcW w:w="684" w:type="dxa"/>
          </w:tcPr>
          <w:p>
            <w:pPr>
              <w:pStyle w:val="nzTableNAm"/>
            </w:pPr>
            <w:r>
              <w:t>37.</w:t>
            </w:r>
          </w:p>
        </w:tc>
        <w:tc>
          <w:tcPr>
            <w:tcW w:w="5270" w:type="dxa"/>
          </w:tcPr>
          <w:p>
            <w:pPr>
              <w:pStyle w:val="nzTableNAm"/>
              <w:tabs>
                <w:tab w:val="clear" w:pos="567"/>
                <w:tab w:val="right" w:leader="dot" w:pos="6237"/>
              </w:tabs>
            </w:pPr>
            <w:r>
              <w:t xml:space="preserve">For a full search of a licence record </w:t>
            </w:r>
            <w:r>
              <w:tab/>
            </w:r>
          </w:p>
        </w:tc>
        <w:tc>
          <w:tcPr>
            <w:tcW w:w="1114" w:type="dxa"/>
            <w:vAlign w:val="bottom"/>
          </w:tcPr>
          <w:p>
            <w:pPr>
              <w:pStyle w:val="nzTableNAm"/>
              <w:tabs>
                <w:tab w:val="clear" w:pos="567"/>
                <w:tab w:val="right" w:pos="659"/>
              </w:tabs>
              <w:ind w:right="48"/>
              <w:jc w:val="right"/>
            </w:pPr>
            <w:r>
              <w:rPr>
                <w:szCs w:val="22"/>
              </w:rPr>
              <w:t>53.50</w:t>
            </w:r>
          </w:p>
        </w:tc>
      </w:tr>
      <w:tr>
        <w:trPr>
          <w:cantSplit/>
        </w:trPr>
        <w:tc>
          <w:tcPr>
            <w:tcW w:w="684" w:type="dxa"/>
            <w:tcBorders>
              <w:bottom w:val="nil"/>
            </w:tcBorders>
          </w:tcPr>
          <w:p>
            <w:pPr>
              <w:pStyle w:val="nzTableNAm"/>
            </w:pPr>
            <w:r>
              <w:t>38.</w:t>
            </w:r>
          </w:p>
        </w:tc>
        <w:tc>
          <w:tcPr>
            <w:tcW w:w="5270" w:type="dxa"/>
            <w:tcBorders>
              <w:bottom w:val="nil"/>
            </w:tcBorders>
          </w:tcPr>
          <w:p>
            <w:pPr>
              <w:pStyle w:val="nzTableNAm"/>
              <w:tabs>
                <w:tab w:val="clear" w:pos="567"/>
                <w:tab w:val="right" w:leader="dot" w:pos="6237"/>
              </w:tabs>
            </w:pPr>
            <w:r>
              <w:t xml:space="preserve">For a search of postcodes — </w:t>
            </w:r>
          </w:p>
        </w:tc>
        <w:tc>
          <w:tcPr>
            <w:tcW w:w="1114" w:type="dxa"/>
            <w:tcBorders>
              <w:bottom w:val="nil"/>
            </w:tcBorders>
            <w:vAlign w:val="bottom"/>
          </w:tcPr>
          <w:p>
            <w:pPr>
              <w:pStyle w:val="nzTableNAm"/>
              <w:tabs>
                <w:tab w:val="clear" w:pos="567"/>
                <w:tab w:val="right" w:pos="659"/>
              </w:tabs>
              <w:ind w:right="48"/>
              <w:jc w:val="right"/>
            </w:pPr>
          </w:p>
        </w:tc>
      </w:tr>
      <w:tr>
        <w:trPr>
          <w:cantSplit/>
        </w:trPr>
        <w:tc>
          <w:tcPr>
            <w:tcW w:w="684" w:type="dxa"/>
            <w:tcBorders>
              <w:top w:val="nil"/>
              <w:bottom w:val="nil"/>
            </w:tcBorders>
          </w:tcPr>
          <w:p>
            <w:pPr>
              <w:pStyle w:val="nzTableNAm"/>
            </w:pPr>
          </w:p>
        </w:tc>
        <w:tc>
          <w:tcPr>
            <w:tcW w:w="5270" w:type="dxa"/>
            <w:tcBorders>
              <w:top w:val="nil"/>
              <w:bottom w:val="nil"/>
            </w:tcBorders>
          </w:tcPr>
          <w:p>
            <w:pPr>
              <w:pStyle w:val="nzTableNAm"/>
              <w:tabs>
                <w:tab w:val="right" w:leader="dot" w:pos="6237"/>
              </w:tabs>
            </w:pPr>
            <w:r>
              <w:t>(a)</w:t>
            </w:r>
            <w:r>
              <w:tab/>
              <w:t xml:space="preserve">1 to 10 postcodes </w:t>
            </w:r>
            <w:r>
              <w:tab/>
            </w:r>
          </w:p>
        </w:tc>
        <w:tc>
          <w:tcPr>
            <w:tcW w:w="1114" w:type="dxa"/>
            <w:tcBorders>
              <w:top w:val="nil"/>
              <w:bottom w:val="nil"/>
            </w:tcBorders>
            <w:vAlign w:val="bottom"/>
          </w:tcPr>
          <w:p>
            <w:pPr>
              <w:pStyle w:val="nzTableNAm"/>
              <w:tabs>
                <w:tab w:val="clear" w:pos="567"/>
                <w:tab w:val="right" w:pos="659"/>
              </w:tabs>
              <w:ind w:right="48"/>
              <w:jc w:val="right"/>
            </w:pPr>
            <w:r>
              <w:t>41.50</w:t>
            </w:r>
          </w:p>
        </w:tc>
      </w:tr>
      <w:tr>
        <w:trPr>
          <w:cantSplit/>
        </w:trPr>
        <w:tc>
          <w:tcPr>
            <w:tcW w:w="684" w:type="dxa"/>
            <w:tcBorders>
              <w:top w:val="nil"/>
            </w:tcBorders>
          </w:tcPr>
          <w:p>
            <w:pPr>
              <w:pStyle w:val="nzTableNAm"/>
            </w:pPr>
          </w:p>
        </w:tc>
        <w:tc>
          <w:tcPr>
            <w:tcW w:w="5270" w:type="dxa"/>
            <w:tcBorders>
              <w:top w:val="nil"/>
            </w:tcBorders>
          </w:tcPr>
          <w:p>
            <w:pPr>
              <w:pStyle w:val="nzTableNAm"/>
              <w:tabs>
                <w:tab w:val="right" w:leader="dot" w:pos="6237"/>
              </w:tabs>
            </w:pPr>
            <w:r>
              <w:t>(b)</w:t>
            </w:r>
            <w:r>
              <w:tab/>
              <w:t xml:space="preserve">more than 10 postcodes </w:t>
            </w:r>
            <w:r>
              <w:tab/>
            </w:r>
          </w:p>
        </w:tc>
        <w:tc>
          <w:tcPr>
            <w:tcW w:w="1114" w:type="dxa"/>
            <w:tcBorders>
              <w:top w:val="nil"/>
            </w:tcBorders>
            <w:vAlign w:val="bottom"/>
          </w:tcPr>
          <w:p>
            <w:pPr>
              <w:pStyle w:val="nz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nzTableNAm"/>
            </w:pPr>
            <w:r>
              <w:t>39.</w:t>
            </w:r>
          </w:p>
        </w:tc>
        <w:tc>
          <w:tcPr>
            <w:tcW w:w="5270" w:type="dxa"/>
            <w:tcBorders>
              <w:top w:val="nil"/>
              <w:left w:val="single" w:sz="4" w:space="0" w:color="auto"/>
              <w:bottom w:val="single" w:sz="4" w:space="0" w:color="auto"/>
              <w:right w:val="single" w:sz="4" w:space="0" w:color="auto"/>
            </w:tcBorders>
          </w:tcPr>
          <w:p>
            <w:pPr>
              <w:pStyle w:val="nz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t>154.00</w:t>
            </w:r>
          </w:p>
        </w:tc>
      </w:tr>
    </w:tbl>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57" w:name="_Toc22653463"/>
      <w:bookmarkStart w:id="158" w:name="_Toc22654399"/>
      <w:bookmarkStart w:id="159" w:name="_Toc22720144"/>
      <w:bookmarkStart w:id="160" w:name="_Toc22729190"/>
      <w:r>
        <w:rPr>
          <w:sz w:val="28"/>
        </w:rPr>
        <w:t>Defined terms</w:t>
      </w:r>
      <w:bookmarkEnd w:id="157"/>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6083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846D-B231-4D74-B21F-B42258CF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28717</Words>
  <Characters>136981</Characters>
  <Application>Microsoft Office Word</Application>
  <DocSecurity>0</DocSecurity>
  <Lines>4892</Lines>
  <Paragraphs>2906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1989 - 14-s0-01</dc:title>
  <dc:subject/>
  <dc:creator/>
  <cp:keywords/>
  <dc:description/>
  <cp:lastModifiedBy>svcMRProcess</cp:lastModifiedBy>
  <cp:revision>4</cp:revision>
  <cp:lastPrinted>2018-12-06T06:42:00Z</cp:lastPrinted>
  <dcterms:created xsi:type="dcterms:W3CDTF">2020-02-26T17:22:00Z</dcterms:created>
  <dcterms:modified xsi:type="dcterms:W3CDTF">2020-02-26T17:22:00Z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22 Oct 2019</vt:lpwstr>
  </property>
  <property fmtid="{D5CDD505-2E9C-101B-9397-08002B2CF9AE}" pid="8" name="Suffix">
    <vt:lpwstr>14-s0-01</vt:lpwstr>
  </property>
  <property fmtid="{D5CDD505-2E9C-101B-9397-08002B2CF9AE}" pid="9" name="CommencementDate">
    <vt:lpwstr>20191022</vt:lpwstr>
  </property>
</Properties>
</file>