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_Toc22915961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_Toc22915962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_Toc22915963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_Toc22915964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_Toc22915965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_Toc22915966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_Toc22915967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_Toc22915969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_Toc22915970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_Toc22915971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_Toc22915972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_Toc22915973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_Toc22915974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_Toc22915975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_Toc22915977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_Toc22915978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_Toc22915979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_Toc22915980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_Toc22915981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_Toc22915982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_Toc22915983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_Toc22915984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_Toc22915985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_Toc22915986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_Toc22915987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_Toc22915988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_Toc22915989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_Toc22915990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_Toc22915991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_Toc22915992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_Toc22915993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_Toc22915994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_Toc22915995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_Toc22915996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_Toc22915999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_Toc22916000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_Toc22916001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_Toc22916003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_Toc22916004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_Toc22916005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_Toc22916006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_Toc22916007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_Toc22916008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_Toc22916009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_Toc22916010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_Toc22916011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_Toc22916012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_Toc22916013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_Toc22916014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_Toc22916015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_Toc22916017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_Toc22916018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_Toc22916019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_Toc22916020 \h </w:instrText>
      </w:r>
      <w:r>
        <w:fldChar w:fldCharType="separate"/>
      </w:r>
      <w:r>
        <w:t>44</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_Toc22916021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_Toc22916022 \h </w:instrText>
      </w:r>
      <w:r>
        <w:fldChar w:fldCharType="separate"/>
      </w:r>
      <w:r>
        <w:t>45</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_Toc22916023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_Toc22916024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_Toc22916025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_Toc22916026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_Toc22916027 \h </w:instrText>
      </w:r>
      <w:r>
        <w:fldChar w:fldCharType="separate"/>
      </w:r>
      <w:r>
        <w:t>54</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_Toc22916028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_Toc22916029 \h </w:instrText>
      </w:r>
      <w:r>
        <w:fldChar w:fldCharType="separate"/>
      </w:r>
      <w:r>
        <w:t>56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_Toc22916030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_Toc22916032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_Toc22916033 \h </w:instrText>
      </w:r>
      <w:r>
        <w:fldChar w:fldCharType="separate"/>
      </w:r>
      <w:r>
        <w:t>58</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_Toc22916034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_Toc22916035 \h </w:instrText>
      </w:r>
      <w:r>
        <w:fldChar w:fldCharType="separate"/>
      </w:r>
      <w:r>
        <w:t>59</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_Toc22916036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_Toc22916037 \h </w:instrText>
      </w:r>
      <w:r>
        <w:fldChar w:fldCharType="separate"/>
      </w:r>
      <w:r>
        <w:t>60</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_Toc22916038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_Toc22916039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_Toc22916040 \h </w:instrText>
      </w:r>
      <w:r>
        <w:fldChar w:fldCharType="separate"/>
      </w:r>
      <w:r>
        <w:t>61</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_Toc22916041 \h </w:instrText>
      </w:r>
      <w:r>
        <w:fldChar w:fldCharType="separate"/>
      </w:r>
      <w:r>
        <w:t>62</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_Toc22916042 \h </w:instrText>
      </w:r>
      <w:r>
        <w:fldChar w:fldCharType="separate"/>
      </w:r>
      <w:r>
        <w:t>62</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_Toc22916043 \h </w:instrText>
      </w:r>
      <w:r>
        <w:fldChar w:fldCharType="separate"/>
      </w:r>
      <w:r>
        <w:t>63</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_Toc22916044 \h </w:instrText>
      </w:r>
      <w:r>
        <w:fldChar w:fldCharType="separate"/>
      </w:r>
      <w:r>
        <w:t>63</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_Toc22916045 \h </w:instrText>
      </w:r>
      <w:r>
        <w:fldChar w:fldCharType="separate"/>
      </w:r>
      <w:r>
        <w:t>64</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_Toc22916046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_Toc22916049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_Toc22916051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_Toc22916052 \h </w:instrText>
      </w:r>
      <w:r>
        <w:fldChar w:fldCharType="separate"/>
      </w:r>
      <w:r>
        <w:t>68</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_Toc22916053 \h </w:instrText>
      </w:r>
      <w:r>
        <w:fldChar w:fldCharType="separate"/>
      </w:r>
      <w:r>
        <w:t>70</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_Toc22916054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_Toc22916055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_Toc22916056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_Toc22916057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_Toc22916058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_Toc22916059 \h </w:instrText>
      </w:r>
      <w:r>
        <w:fldChar w:fldCharType="separate"/>
      </w:r>
      <w:r>
        <w:t>73</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_Toc22916060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_Toc22916061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_Toc22916063 \h </w:instrText>
      </w:r>
      <w:r>
        <w:fldChar w:fldCharType="separate"/>
      </w:r>
      <w:r>
        <w:t>76</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_Toc22916064 \h </w:instrText>
      </w:r>
      <w:r>
        <w:fldChar w:fldCharType="separate"/>
      </w:r>
      <w:r>
        <w:t>76</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_Toc22916065 \h </w:instrText>
      </w:r>
      <w:r>
        <w:fldChar w:fldCharType="separate"/>
      </w:r>
      <w:r>
        <w:t>78</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_Toc22916066 \h </w:instrText>
      </w:r>
      <w:r>
        <w:fldChar w:fldCharType="separate"/>
      </w:r>
      <w:r>
        <w:t>78</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_Toc22916067 \h </w:instrText>
      </w:r>
      <w:r>
        <w:fldChar w:fldCharType="separate"/>
      </w:r>
      <w:r>
        <w:t>79</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_Toc22916068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_Toc22916071 \h </w:instrText>
      </w:r>
      <w:r>
        <w:fldChar w:fldCharType="separate"/>
      </w:r>
      <w:r>
        <w:t>81</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_Toc22916072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_Toc22916074 \h </w:instrText>
      </w:r>
      <w:r>
        <w:fldChar w:fldCharType="separate"/>
      </w:r>
      <w:r>
        <w:t>82</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_Toc22916075 \h </w:instrText>
      </w:r>
      <w:r>
        <w:fldChar w:fldCharType="separate"/>
      </w:r>
      <w:r>
        <w:t>83</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_Toc22916076 \h </w:instrText>
      </w:r>
      <w:r>
        <w:fldChar w:fldCharType="separate"/>
      </w:r>
      <w:r>
        <w:t>83</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_Toc22916077 \h </w:instrText>
      </w:r>
      <w:r>
        <w:fldChar w:fldCharType="separate"/>
      </w:r>
      <w:r>
        <w:t>84</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_Toc22916078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_Toc22916080 \h </w:instrText>
      </w:r>
      <w:r>
        <w:fldChar w:fldCharType="separate"/>
      </w:r>
      <w:r>
        <w:t>86</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_Toc22916081 \h </w:instrText>
      </w:r>
      <w:r>
        <w:fldChar w:fldCharType="separate"/>
      </w:r>
      <w:r>
        <w:t>86</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_Toc22916082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_Toc22916084 \h </w:instrText>
      </w:r>
      <w:r>
        <w:fldChar w:fldCharType="separate"/>
      </w:r>
      <w:r>
        <w:t>89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_Toc22916085 \h </w:instrText>
      </w:r>
      <w:r>
        <w:fldChar w:fldCharType="separate"/>
      </w:r>
      <w:r>
        <w:t>92</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_Toc22916086 \h </w:instrText>
      </w:r>
      <w:r>
        <w:fldChar w:fldCharType="separate"/>
      </w:r>
      <w:r>
        <w:t>94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_Toc22916087 \h </w:instrText>
      </w:r>
      <w:r>
        <w:fldChar w:fldCharType="separate"/>
      </w:r>
      <w:r>
        <w:t>94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_Toc22916088 \h </w:instrText>
      </w:r>
      <w:r>
        <w:fldChar w:fldCharType="separate"/>
      </w:r>
      <w:r>
        <w:t>94</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_Toc22916089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_Toc22916090 \h </w:instrText>
      </w:r>
      <w:r>
        <w:fldChar w:fldCharType="separate"/>
      </w:r>
      <w:r>
        <w:t>96</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_Toc22916091 \h </w:instrText>
      </w:r>
      <w:r>
        <w:fldChar w:fldCharType="separate"/>
      </w:r>
      <w:r>
        <w:t>96</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_Toc22916092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_Toc22916094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_Toc22916095 \h </w:instrText>
      </w:r>
      <w:r>
        <w:fldChar w:fldCharType="separate"/>
      </w:r>
      <w:r>
        <w:t>98</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_Toc22916096 \h </w:instrText>
      </w:r>
      <w:r>
        <w:fldChar w:fldCharType="separate"/>
      </w:r>
      <w:r>
        <w:t>98</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_Toc22916097 \h </w:instrText>
      </w:r>
      <w:r>
        <w:fldChar w:fldCharType="separate"/>
      </w:r>
      <w:r>
        <w:t>99</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_Toc22916098 \h </w:instrText>
      </w:r>
      <w:r>
        <w:fldChar w:fldCharType="separate"/>
      </w:r>
      <w:r>
        <w:t>100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_Toc22916099 \h </w:instrText>
      </w:r>
      <w:r>
        <w:fldChar w:fldCharType="separate"/>
      </w:r>
      <w:r>
        <w:t>100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_Toc22916100 \h </w:instrText>
      </w:r>
      <w:r>
        <w:fldChar w:fldCharType="separate"/>
      </w:r>
      <w:r>
        <w:t>101</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_Toc22916101 \h </w:instrText>
      </w:r>
      <w:r>
        <w:fldChar w:fldCharType="separate"/>
      </w:r>
      <w:r>
        <w:t>104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_Toc22916102 \h </w:instrText>
      </w:r>
      <w:r>
        <w:fldChar w:fldCharType="separate"/>
      </w:r>
      <w:r>
        <w:t>106</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_Toc22916103 \h </w:instrText>
      </w:r>
      <w:r>
        <w:fldChar w:fldCharType="separate"/>
      </w:r>
      <w:r>
        <w:t>106</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_Toc22916104 \h </w:instrText>
      </w:r>
      <w:r>
        <w:fldChar w:fldCharType="separate"/>
      </w:r>
      <w:r>
        <w:t>108</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_Toc22916105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_Toc22916108 \h </w:instrText>
      </w:r>
      <w:r>
        <w:fldChar w:fldCharType="separate"/>
      </w:r>
      <w:r>
        <w:t>111</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_Toc22916109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_Toc22916111 \h </w:instrText>
      </w:r>
      <w:r>
        <w:fldChar w:fldCharType="separate"/>
      </w:r>
      <w:r>
        <w:t>113</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_Toc22916112 \h </w:instrText>
      </w:r>
      <w:r>
        <w:fldChar w:fldCharType="separate"/>
      </w:r>
      <w:r>
        <w:t>114</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_Toc22916113 \h </w:instrText>
      </w:r>
      <w:r>
        <w:fldChar w:fldCharType="separate"/>
      </w:r>
      <w:r>
        <w:t>115</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_Toc22916114 \h </w:instrText>
      </w:r>
      <w:r>
        <w:fldChar w:fldCharType="separate"/>
      </w:r>
      <w:r>
        <w:t>116</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_Toc22916115 \h </w:instrText>
      </w:r>
      <w:r>
        <w:fldChar w:fldCharType="separate"/>
      </w:r>
      <w:r>
        <w:t>117</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_Toc22916116 \h </w:instrText>
      </w:r>
      <w:r>
        <w:fldChar w:fldCharType="separate"/>
      </w:r>
      <w:r>
        <w:t>118</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_Toc22916117 \h </w:instrText>
      </w:r>
      <w:r>
        <w:fldChar w:fldCharType="separate"/>
      </w:r>
      <w:r>
        <w:t>118</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_Toc22916118 \h </w:instrText>
      </w:r>
      <w:r>
        <w:fldChar w:fldCharType="separate"/>
      </w:r>
      <w:r>
        <w:t>119</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_Toc22916119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_Toc22916121 \h </w:instrText>
      </w:r>
      <w:r>
        <w:fldChar w:fldCharType="separate"/>
      </w:r>
      <w:r>
        <w:t>122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_Toc22916122 \h </w:instrText>
      </w:r>
      <w:r>
        <w:fldChar w:fldCharType="separate"/>
      </w:r>
      <w:r>
        <w:t>122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_Toc22916123 \h </w:instrText>
      </w:r>
      <w:r>
        <w:fldChar w:fldCharType="separate"/>
      </w:r>
      <w:r>
        <w:t>122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_Toc22916124 \h </w:instrText>
      </w:r>
      <w:r>
        <w:fldChar w:fldCharType="separate"/>
      </w:r>
      <w:r>
        <w:t>123</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_Toc22916125 \h </w:instrText>
      </w:r>
      <w:r>
        <w:fldChar w:fldCharType="separate"/>
      </w:r>
      <w:r>
        <w:t>124</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_Toc22916126 \h </w:instrText>
      </w:r>
      <w:r>
        <w:fldChar w:fldCharType="separate"/>
      </w:r>
      <w:r>
        <w:t>125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_Toc22916127 \h </w:instrText>
      </w:r>
      <w:r>
        <w:fldChar w:fldCharType="separate"/>
      </w:r>
      <w:r>
        <w:t>125</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_Toc22916128 \h </w:instrText>
      </w:r>
      <w:r>
        <w:fldChar w:fldCharType="separate"/>
      </w:r>
      <w:r>
        <w:t>125</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_Toc22916129 \h </w:instrText>
      </w:r>
      <w:r>
        <w:fldChar w:fldCharType="separate"/>
      </w:r>
      <w:r>
        <w:t>128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_Toc22916130 \h </w:instrText>
      </w:r>
      <w:r>
        <w:fldChar w:fldCharType="separate"/>
      </w:r>
      <w:r>
        <w:t>128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_Toc22916131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_Toc22916134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_Toc22916136 \h </w:instrText>
      </w:r>
      <w:r>
        <w:fldChar w:fldCharType="separate"/>
      </w:r>
      <w:r>
        <w:t>130</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_Toc22916137 \h </w:instrText>
      </w:r>
      <w:r>
        <w:fldChar w:fldCharType="separate"/>
      </w:r>
      <w:r>
        <w:t>131</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_Toc22916138 \h </w:instrText>
      </w:r>
      <w:r>
        <w:fldChar w:fldCharType="separate"/>
      </w:r>
      <w:r>
        <w:t>132</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_Toc22916139 \h </w:instrText>
      </w:r>
      <w:r>
        <w:fldChar w:fldCharType="separate"/>
      </w:r>
      <w:r>
        <w:t>133</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_Toc22916140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_Toc22916142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_Toc22916145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_Toc22916146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_Toc22916147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_Toc22916149 \h </w:instrText>
      </w:r>
      <w:r>
        <w:fldChar w:fldCharType="separate"/>
      </w:r>
      <w:r>
        <w:t>140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_Toc22916150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_Toc22916151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_Toc22916153 \h </w:instrText>
      </w:r>
      <w:r>
        <w:fldChar w:fldCharType="separate"/>
      </w:r>
      <w:r>
        <w:t>143</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_Toc22916154 \h </w:instrText>
      </w:r>
      <w:r>
        <w:fldChar w:fldCharType="separate"/>
      </w:r>
      <w:r>
        <w:t>143</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_Toc22916155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_Toc22916157 \h </w:instrText>
      </w:r>
      <w:r>
        <w:fldChar w:fldCharType="separate"/>
      </w:r>
      <w:r>
        <w:t>145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_Toc22916158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No. 60 of 2011 s. 4.] </w:t>
      </w:r>
    </w:p>
    <w:p>
      <w:pPr>
        <w:pStyle w:val="Heading2"/>
      </w:pPr>
      <w:bookmarkStart w:id="3" w:name="_Toc2153279"/>
      <w:bookmarkStart w:id="4" w:name="_Toc2160113"/>
      <w:bookmarkStart w:id="5" w:name="_Toc2160837"/>
      <w:bookmarkStart w:id="6" w:name="_Toc5621460"/>
      <w:bookmarkStart w:id="7" w:name="_Toc5632867"/>
      <w:bookmarkStart w:id="8" w:name="_Toc5719246"/>
      <w:bookmarkStart w:id="9" w:name="_Toc22915760"/>
      <w:bookmarkStart w:id="10" w:name="_Toc2291596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2915961"/>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2" w:name="_Toc22915962"/>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22915963"/>
      <w:r>
        <w:rPr>
          <w:rStyle w:val="CharSectno"/>
        </w:rPr>
        <w:t>3</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w:t>
      </w:r>
    </w:p>
    <w:p>
      <w:pPr>
        <w:pStyle w:val="Heading5"/>
        <w:rPr>
          <w:snapToGrid w:val="0"/>
        </w:rPr>
      </w:pPr>
      <w:bookmarkStart w:id="14" w:name="_Toc22915964"/>
      <w:r>
        <w:rPr>
          <w:rStyle w:val="CharSectno"/>
        </w:rPr>
        <w:t>4</w:t>
      </w:r>
      <w:r>
        <w:rPr>
          <w:snapToGrid w:val="0"/>
        </w:rPr>
        <w:t>.</w:t>
      </w:r>
      <w:r>
        <w:rPr>
          <w:snapToGrid w:val="0"/>
        </w:rPr>
        <w:tab/>
        <w:t>Position of Crown</w:t>
      </w:r>
      <w:bookmarkEnd w:id="1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5" w:name="_Toc22915965"/>
      <w:r>
        <w:rPr>
          <w:rStyle w:val="CharSectno"/>
        </w:rPr>
        <w:t>5</w:t>
      </w:r>
      <w:r>
        <w:rPr>
          <w:snapToGrid w:val="0"/>
        </w:rPr>
        <w:t>.</w:t>
      </w:r>
      <w:r>
        <w:rPr>
          <w:snapToGrid w:val="0"/>
        </w:rPr>
        <w:tab/>
        <w:t>Application of Act</w:t>
      </w:r>
      <w:bookmarkEnd w:id="1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16" w:name="_Toc22915966"/>
      <w:r>
        <w:rPr>
          <w:rStyle w:val="CharSectno"/>
        </w:rPr>
        <w:t>6</w:t>
      </w:r>
      <w:r>
        <w:rPr>
          <w:snapToGrid w:val="0"/>
        </w:rPr>
        <w:t>.</w:t>
      </w:r>
      <w:r>
        <w:rPr>
          <w:snapToGrid w:val="0"/>
        </w:rPr>
        <w:tab/>
        <w:t>Modification of application of Act by regulation</w:t>
      </w:r>
      <w:bookmarkEnd w:id="1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7" w:name="_Toc22915967"/>
      <w:r>
        <w:rPr>
          <w:rStyle w:val="CharSectno"/>
        </w:rPr>
        <w:t>7</w:t>
      </w:r>
      <w:r>
        <w:rPr>
          <w:snapToGrid w:val="0"/>
        </w:rPr>
        <w:t>.</w:t>
      </w:r>
      <w:r>
        <w:rPr>
          <w:snapToGrid w:val="0"/>
        </w:rPr>
        <w:tab/>
      </w:r>
      <w:r>
        <w:rPr>
          <w:bCs/>
        </w:rPr>
        <w:t>Transitional provisions relating to commencement of this Act</w:t>
      </w:r>
      <w:bookmarkEnd w:id="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8" w:name="_Toc2153287"/>
      <w:bookmarkStart w:id="19" w:name="_Toc2160121"/>
      <w:bookmarkStart w:id="20" w:name="_Toc2160845"/>
      <w:bookmarkStart w:id="21" w:name="_Toc5621468"/>
      <w:bookmarkStart w:id="22" w:name="_Toc5632875"/>
      <w:bookmarkStart w:id="23" w:name="_Toc5719254"/>
      <w:bookmarkStart w:id="24" w:name="_Toc22915768"/>
      <w:bookmarkStart w:id="25" w:name="_Toc22915968"/>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bookmarkEnd w:id="24"/>
      <w:bookmarkEnd w:id="25"/>
    </w:p>
    <w:p>
      <w:pPr>
        <w:pStyle w:val="Heading5"/>
      </w:pPr>
      <w:bookmarkStart w:id="26" w:name="_Toc22915969"/>
      <w:r>
        <w:rPr>
          <w:rStyle w:val="CharSectno"/>
        </w:rPr>
        <w:t>7A</w:t>
      </w:r>
      <w:r>
        <w:t>.</w:t>
      </w:r>
      <w:r>
        <w:tab/>
        <w:t>Commissioner</w:t>
      </w:r>
      <w:bookmarkEnd w:id="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7" w:name="_Toc22915970"/>
      <w:r>
        <w:rPr>
          <w:rStyle w:val="CharSectno"/>
        </w:rPr>
        <w:t>8</w:t>
      </w:r>
      <w:r>
        <w:rPr>
          <w:snapToGrid w:val="0"/>
        </w:rPr>
        <w:t>.</w:t>
      </w:r>
      <w:r>
        <w:rPr>
          <w:snapToGrid w:val="0"/>
        </w:rPr>
        <w:tab/>
        <w:t>Functions of Commissioner</w:t>
      </w:r>
      <w:bookmarkEnd w:id="2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28" w:name="_Toc22915971"/>
      <w:r>
        <w:rPr>
          <w:rStyle w:val="CharSectno"/>
        </w:rPr>
        <w:t>9</w:t>
      </w:r>
      <w:r>
        <w:rPr>
          <w:snapToGrid w:val="0"/>
        </w:rPr>
        <w:t>.</w:t>
      </w:r>
      <w:r>
        <w:rPr>
          <w:snapToGrid w:val="0"/>
        </w:rPr>
        <w:tab/>
        <w:t>Commissioner may institute or defend proceedings for party</w:t>
      </w:r>
      <w:bookmarkEnd w:id="28"/>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29" w:name="_Toc22915972"/>
      <w:r>
        <w:rPr>
          <w:rStyle w:val="CharSectno"/>
        </w:rPr>
        <w:t>10</w:t>
      </w:r>
      <w:r>
        <w:rPr>
          <w:snapToGrid w:val="0"/>
        </w:rPr>
        <w:t>.</w:t>
      </w:r>
      <w:r>
        <w:rPr>
          <w:snapToGrid w:val="0"/>
        </w:rPr>
        <w:tab/>
        <w:t>Delegation by Commissioner</w:t>
      </w:r>
      <w:bookmarkEnd w:id="2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30" w:name="_Toc22915973"/>
      <w:r>
        <w:rPr>
          <w:rStyle w:val="CharSectno"/>
        </w:rPr>
        <w:t>11</w:t>
      </w:r>
      <w:r>
        <w:rPr>
          <w:snapToGrid w:val="0"/>
        </w:rPr>
        <w:t>.</w:t>
      </w:r>
      <w:r>
        <w:rPr>
          <w:snapToGrid w:val="0"/>
        </w:rPr>
        <w:tab/>
        <w:t>Protection of officers</w:t>
      </w:r>
      <w:bookmarkEnd w:id="3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1" w:name="_Toc22915974"/>
      <w:r>
        <w:rPr>
          <w:rStyle w:val="CharSectno"/>
        </w:rPr>
        <w:t>11A</w:t>
      </w:r>
      <w:r>
        <w:t>.</w:t>
      </w:r>
      <w:r>
        <w:tab/>
        <w:t>Information officially obtained to be confidential</w:t>
      </w:r>
      <w:bookmarkEnd w:id="3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32" w:name="_Toc22915975"/>
      <w:r>
        <w:rPr>
          <w:rStyle w:val="CharSectno"/>
        </w:rPr>
        <w:t>11B</w:t>
      </w:r>
      <w:r>
        <w:t>.</w:t>
      </w:r>
      <w:r>
        <w:tab/>
        <w:t>Powers of investigation</w:t>
      </w:r>
      <w:bookmarkEnd w:id="3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33" w:name="_Toc2153295"/>
      <w:bookmarkStart w:id="34" w:name="_Toc2160129"/>
      <w:bookmarkStart w:id="35" w:name="_Toc2160853"/>
      <w:bookmarkStart w:id="36" w:name="_Toc5621476"/>
      <w:bookmarkStart w:id="37" w:name="_Toc5632883"/>
      <w:bookmarkStart w:id="38" w:name="_Toc5719262"/>
      <w:bookmarkStart w:id="39" w:name="_Toc22915776"/>
      <w:bookmarkStart w:id="40" w:name="_Toc22915976"/>
      <w:r>
        <w:rPr>
          <w:rStyle w:val="CharPartNo"/>
        </w:rPr>
        <w:t>Part III</w:t>
      </w:r>
      <w:r>
        <w:rPr>
          <w:rStyle w:val="CharDivNo"/>
        </w:rPr>
        <w:t> </w:t>
      </w:r>
      <w:r>
        <w:t>—</w:t>
      </w:r>
      <w:r>
        <w:rPr>
          <w:rStyle w:val="CharDivText"/>
        </w:rPr>
        <w:t> </w:t>
      </w:r>
      <w:r>
        <w:rPr>
          <w:rStyle w:val="CharPartText"/>
        </w:rPr>
        <w:t>Determination of disputes</w:t>
      </w:r>
      <w:bookmarkEnd w:id="33"/>
      <w:bookmarkEnd w:id="34"/>
      <w:bookmarkEnd w:id="35"/>
      <w:bookmarkEnd w:id="36"/>
      <w:bookmarkEnd w:id="37"/>
      <w:bookmarkEnd w:id="38"/>
      <w:bookmarkEnd w:id="39"/>
      <w:bookmarkEnd w:id="40"/>
      <w:r>
        <w:rPr>
          <w:rStyle w:val="CharPartText"/>
        </w:rPr>
        <w:t xml:space="preserve"> </w:t>
      </w:r>
    </w:p>
    <w:p>
      <w:pPr>
        <w:pStyle w:val="Heading5"/>
      </w:pPr>
      <w:bookmarkStart w:id="41" w:name="_Toc22915977"/>
      <w:r>
        <w:rPr>
          <w:rStyle w:val="CharSectno"/>
        </w:rPr>
        <w:t>12</w:t>
      </w:r>
      <w:r>
        <w:t>.</w:t>
      </w:r>
      <w:r>
        <w:tab/>
        <w:t>Terms used</w:t>
      </w:r>
      <w:bookmarkEnd w:id="4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42" w:name="_Toc22915978"/>
      <w:r>
        <w:rPr>
          <w:rStyle w:val="CharSectno"/>
        </w:rPr>
        <w:t>12A</w:t>
      </w:r>
      <w:r>
        <w:t>.</w:t>
      </w:r>
      <w:r>
        <w:tab/>
      </w:r>
      <w:r>
        <w:rPr>
          <w:snapToGrid w:val="0"/>
        </w:rPr>
        <w:t>Jurisdiction</w:t>
      </w:r>
      <w:r>
        <w:t xml:space="preserve"> over </w:t>
      </w:r>
      <w:r>
        <w:rPr>
          <w:snapToGrid w:val="0"/>
        </w:rPr>
        <w:t>prescribed</w:t>
      </w:r>
      <w:r>
        <w:t xml:space="preserve"> disputes</w:t>
      </w:r>
      <w:bookmarkEnd w:id="4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43" w:name="_Toc22915979"/>
      <w:r>
        <w:rPr>
          <w:rStyle w:val="CharSectno"/>
        </w:rPr>
        <w:t>13</w:t>
      </w:r>
      <w:r>
        <w:t>.</w:t>
      </w:r>
      <w:r>
        <w:tab/>
        <w:t>Jurisdiction over other disputes</w:t>
      </w:r>
      <w:bookmarkEnd w:id="4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44" w:name="_Toc22915980"/>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44"/>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45" w:name="_Toc22915981"/>
      <w:r>
        <w:rPr>
          <w:rStyle w:val="CharSectno"/>
        </w:rPr>
        <w:t>13B</w:t>
      </w:r>
      <w:r>
        <w:t>.</w:t>
      </w:r>
      <w:r>
        <w:tab/>
        <w:t>Appeals from decisions of registrar</w:t>
      </w:r>
      <w:bookmarkEnd w:id="4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No. 69 of 2006 s. 29.]</w:t>
      </w:r>
    </w:p>
    <w:p>
      <w:pPr>
        <w:pStyle w:val="Heading5"/>
        <w:rPr>
          <w:snapToGrid w:val="0"/>
        </w:rPr>
      </w:pPr>
      <w:bookmarkStart w:id="46" w:name="_Toc22915982"/>
      <w:r>
        <w:rPr>
          <w:rStyle w:val="CharSectno"/>
        </w:rPr>
        <w:t>14</w:t>
      </w:r>
      <w:r>
        <w:rPr>
          <w:snapToGrid w:val="0"/>
        </w:rPr>
        <w:t>.</w:t>
      </w:r>
      <w:r>
        <w:rPr>
          <w:snapToGrid w:val="0"/>
        </w:rPr>
        <w:tab/>
        <w:t>Time for determination of proceedings</w:t>
      </w:r>
      <w:bookmarkEnd w:id="4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47" w:name="_Toc22915983"/>
      <w:r>
        <w:rPr>
          <w:rStyle w:val="CharSectno"/>
        </w:rPr>
        <w:t>15</w:t>
      </w:r>
      <w:r>
        <w:rPr>
          <w:snapToGrid w:val="0"/>
        </w:rPr>
        <w:t>.</w:t>
      </w:r>
      <w:r>
        <w:rPr>
          <w:snapToGrid w:val="0"/>
        </w:rPr>
        <w:tab/>
        <w:t>Applications for relief and orders that may be made</w:t>
      </w:r>
      <w:bookmarkEnd w:id="47"/>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48" w:name="_Toc22915984"/>
      <w:r>
        <w:rPr>
          <w:rStyle w:val="CharSectno"/>
        </w:rPr>
        <w:t>16</w:t>
      </w:r>
      <w:r>
        <w:rPr>
          <w:snapToGrid w:val="0"/>
        </w:rPr>
        <w:t>.</w:t>
      </w:r>
      <w:r>
        <w:rPr>
          <w:snapToGrid w:val="0"/>
        </w:rPr>
        <w:tab/>
        <w:t>Enforcement</w:t>
      </w:r>
      <w:bookmarkEnd w:id="4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49" w:name="_Toc22915985"/>
      <w:r>
        <w:rPr>
          <w:rStyle w:val="CharSectno"/>
        </w:rPr>
        <w:t>17A</w:t>
      </w:r>
      <w:r>
        <w:t>.</w:t>
      </w:r>
      <w:r>
        <w:tab/>
        <w:t>Disputes between tenants</w:t>
      </w:r>
      <w:bookmarkEnd w:id="49"/>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50" w:name="_Toc22915986"/>
      <w:r>
        <w:rPr>
          <w:rStyle w:val="CharSectno"/>
        </w:rPr>
        <w:t>17B</w:t>
      </w:r>
      <w:r>
        <w:t>.</w:t>
      </w:r>
      <w:r>
        <w:tab/>
        <w:t>Determination of rights and liabilities after termination of tenant’s interest on grounds of family violence</w:t>
      </w:r>
      <w:bookmarkEnd w:id="50"/>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51" w:name="_Toc22915987"/>
      <w:r>
        <w:rPr>
          <w:rStyle w:val="CharSectno"/>
        </w:rPr>
        <w:t>17</w:t>
      </w:r>
      <w:r>
        <w:rPr>
          <w:snapToGrid w:val="0"/>
        </w:rPr>
        <w:t>.</w:t>
      </w:r>
      <w:r>
        <w:rPr>
          <w:snapToGrid w:val="0"/>
        </w:rPr>
        <w:tab/>
        <w:t>Application to vary or set aside order</w:t>
      </w:r>
      <w:bookmarkEnd w:id="51"/>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52" w:name="_Toc22915988"/>
      <w:r>
        <w:rPr>
          <w:rStyle w:val="CharSectno"/>
        </w:rPr>
        <w:t>18</w:t>
      </w:r>
      <w:r>
        <w:rPr>
          <w:snapToGrid w:val="0"/>
        </w:rPr>
        <w:t>.</w:t>
      </w:r>
      <w:r>
        <w:rPr>
          <w:snapToGrid w:val="0"/>
        </w:rPr>
        <w:tab/>
        <w:t>Form of applications and notice of hearing</w:t>
      </w:r>
      <w:bookmarkEnd w:id="52"/>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53" w:name="_Toc22915989"/>
      <w:r>
        <w:rPr>
          <w:rStyle w:val="CharSectno"/>
        </w:rPr>
        <w:t>19</w:t>
      </w:r>
      <w:r>
        <w:rPr>
          <w:snapToGrid w:val="0"/>
        </w:rPr>
        <w:t>.</w:t>
      </w:r>
      <w:r>
        <w:rPr>
          <w:snapToGrid w:val="0"/>
        </w:rPr>
        <w:tab/>
        <w:t>Witnesses and inspection of documents</w:t>
      </w:r>
      <w:bookmarkEnd w:id="5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54" w:name="_Toc22915990"/>
      <w:r>
        <w:rPr>
          <w:rStyle w:val="CharSectno"/>
        </w:rPr>
        <w:t>20</w:t>
      </w:r>
      <w:r>
        <w:rPr>
          <w:snapToGrid w:val="0"/>
        </w:rPr>
        <w:t>.</w:t>
      </w:r>
      <w:r>
        <w:rPr>
          <w:snapToGrid w:val="0"/>
        </w:rPr>
        <w:tab/>
        <w:t>General powers in proceedings</w:t>
      </w:r>
      <w:bookmarkEnd w:id="5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55" w:name="_Toc22915991"/>
      <w:r>
        <w:rPr>
          <w:rStyle w:val="CharSectno"/>
        </w:rPr>
        <w:t>21</w:t>
      </w:r>
      <w:r>
        <w:t>.</w:t>
      </w:r>
      <w:r>
        <w:tab/>
        <w:t>Evidence</w:t>
      </w:r>
      <w:bookmarkEnd w:id="5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56" w:name="_Toc22915992"/>
      <w:r>
        <w:rPr>
          <w:rStyle w:val="CharSectno"/>
        </w:rPr>
        <w:t>22</w:t>
      </w:r>
      <w:r>
        <w:rPr>
          <w:snapToGrid w:val="0"/>
        </w:rPr>
        <w:t>.</w:t>
      </w:r>
      <w:r>
        <w:rPr>
          <w:snapToGrid w:val="0"/>
        </w:rPr>
        <w:tab/>
        <w:t>Presentation of cases</w:t>
      </w:r>
      <w:bookmarkEnd w:id="5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w:t>
      </w:r>
    </w:p>
    <w:p>
      <w:pPr>
        <w:pStyle w:val="Heading5"/>
        <w:rPr>
          <w:snapToGrid w:val="0"/>
        </w:rPr>
      </w:pPr>
      <w:bookmarkStart w:id="57" w:name="_Toc22915993"/>
      <w:r>
        <w:rPr>
          <w:rStyle w:val="CharSectno"/>
        </w:rPr>
        <w:t>23</w:t>
      </w:r>
      <w:r>
        <w:rPr>
          <w:snapToGrid w:val="0"/>
        </w:rPr>
        <w:t>.</w:t>
      </w:r>
      <w:r>
        <w:rPr>
          <w:snapToGrid w:val="0"/>
        </w:rPr>
        <w:tab/>
        <w:t>Settlement by conciliation</w:t>
      </w:r>
      <w:bookmarkEnd w:id="5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58" w:name="_Toc22915994"/>
      <w:r>
        <w:rPr>
          <w:rStyle w:val="CharSectno"/>
        </w:rPr>
        <w:t>24</w:t>
      </w:r>
      <w:r>
        <w:rPr>
          <w:snapToGrid w:val="0"/>
        </w:rPr>
        <w:t>.</w:t>
      </w:r>
      <w:r>
        <w:rPr>
          <w:snapToGrid w:val="0"/>
        </w:rPr>
        <w:tab/>
        <w:t>Costs</w:t>
      </w:r>
      <w:bookmarkEnd w:id="58"/>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59" w:name="_Toc22915995"/>
      <w:r>
        <w:rPr>
          <w:rStyle w:val="CharSectno"/>
        </w:rPr>
        <w:t>25</w:t>
      </w:r>
      <w:r>
        <w:rPr>
          <w:snapToGrid w:val="0"/>
        </w:rPr>
        <w:t>.</w:t>
      </w:r>
      <w:r>
        <w:rPr>
          <w:snapToGrid w:val="0"/>
        </w:rPr>
        <w:tab/>
        <w:t>Reservation of question of law</w:t>
      </w:r>
      <w:bookmarkEnd w:id="5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60" w:name="_Toc22915996"/>
      <w:r>
        <w:rPr>
          <w:rStyle w:val="CharSectno"/>
        </w:rPr>
        <w:t>26</w:t>
      </w:r>
      <w:r>
        <w:rPr>
          <w:snapToGrid w:val="0"/>
        </w:rPr>
        <w:t>.</w:t>
      </w:r>
      <w:r>
        <w:rPr>
          <w:snapToGrid w:val="0"/>
        </w:rPr>
        <w:tab/>
        <w:t>Finality of proceedings</w:t>
      </w:r>
      <w:bookmarkEnd w:id="6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No. 50 of 1988 s. 13; No. 59 of 2004 s. 120(3) and 121; No. 69 of 2006 s. 30.] </w:t>
      </w:r>
    </w:p>
    <w:p>
      <w:pPr>
        <w:pStyle w:val="Heading2"/>
      </w:pPr>
      <w:bookmarkStart w:id="61" w:name="_Toc2153315"/>
      <w:bookmarkStart w:id="62" w:name="_Toc2160149"/>
      <w:bookmarkStart w:id="63" w:name="_Toc2160873"/>
      <w:bookmarkStart w:id="64" w:name="_Toc5621496"/>
      <w:bookmarkStart w:id="65" w:name="_Toc5632904"/>
      <w:bookmarkStart w:id="66" w:name="_Toc5719283"/>
      <w:bookmarkStart w:id="67" w:name="_Toc22915797"/>
      <w:bookmarkStart w:id="68" w:name="_Toc22915997"/>
      <w:r>
        <w:rPr>
          <w:rStyle w:val="CharPartNo"/>
        </w:rPr>
        <w:t>Part IV</w:t>
      </w:r>
      <w:r>
        <w:t> — </w:t>
      </w:r>
      <w:r>
        <w:rPr>
          <w:rStyle w:val="CharPartText"/>
        </w:rPr>
        <w:t>Residential tenancy agreements</w:t>
      </w:r>
      <w:bookmarkEnd w:id="61"/>
      <w:bookmarkEnd w:id="62"/>
      <w:bookmarkEnd w:id="63"/>
      <w:bookmarkEnd w:id="64"/>
      <w:bookmarkEnd w:id="65"/>
      <w:bookmarkEnd w:id="66"/>
      <w:bookmarkEnd w:id="67"/>
      <w:bookmarkEnd w:id="68"/>
    </w:p>
    <w:p>
      <w:pPr>
        <w:pStyle w:val="Footnoteheading"/>
      </w:pPr>
      <w:r>
        <w:tab/>
        <w:t>[Heading inserted: No. 60 of 2011 s. 21.]</w:t>
      </w:r>
    </w:p>
    <w:p>
      <w:pPr>
        <w:pStyle w:val="Heading3"/>
      </w:pPr>
      <w:bookmarkStart w:id="69" w:name="_Toc2153316"/>
      <w:bookmarkStart w:id="70" w:name="_Toc2160150"/>
      <w:bookmarkStart w:id="71" w:name="_Toc2160874"/>
      <w:bookmarkStart w:id="72" w:name="_Toc5621497"/>
      <w:bookmarkStart w:id="73" w:name="_Toc5632905"/>
      <w:bookmarkStart w:id="74" w:name="_Toc5719284"/>
      <w:bookmarkStart w:id="75" w:name="_Toc22915798"/>
      <w:bookmarkStart w:id="76" w:name="_Toc22915998"/>
      <w:r>
        <w:rPr>
          <w:rStyle w:val="CharDivNo"/>
        </w:rPr>
        <w:t>Division 1A</w:t>
      </w:r>
      <w:r>
        <w:t> — </w:t>
      </w:r>
      <w:r>
        <w:rPr>
          <w:rStyle w:val="CharDivText"/>
        </w:rPr>
        <w:t>Form of residential tenancy agreement and associated documents</w:t>
      </w:r>
      <w:bookmarkEnd w:id="69"/>
      <w:bookmarkEnd w:id="70"/>
      <w:bookmarkEnd w:id="71"/>
      <w:bookmarkEnd w:id="72"/>
      <w:bookmarkEnd w:id="73"/>
      <w:bookmarkEnd w:id="74"/>
      <w:bookmarkEnd w:id="75"/>
      <w:bookmarkEnd w:id="76"/>
    </w:p>
    <w:p>
      <w:pPr>
        <w:pStyle w:val="Footnoteheading"/>
      </w:pPr>
      <w:r>
        <w:tab/>
        <w:t>[Heading inserted: No. 60 of 2011 s. 22.]</w:t>
      </w:r>
    </w:p>
    <w:p>
      <w:pPr>
        <w:pStyle w:val="Heading5"/>
      </w:pPr>
      <w:bookmarkStart w:id="77" w:name="_Toc22915999"/>
      <w:r>
        <w:rPr>
          <w:rStyle w:val="CharSectno"/>
        </w:rPr>
        <w:t>27A</w:t>
      </w:r>
      <w:r>
        <w:t>.</w:t>
      </w:r>
      <w:r>
        <w:tab/>
        <w:t>Written residential tenancy agreement to be in prescribed form</w:t>
      </w:r>
      <w:bookmarkEnd w:id="7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78" w:name="_Toc22916000"/>
      <w:r>
        <w:rPr>
          <w:rStyle w:val="CharSectno"/>
        </w:rPr>
        <w:t>27B</w:t>
      </w:r>
      <w:r>
        <w:t>.</w:t>
      </w:r>
      <w:r>
        <w:tab/>
        <w:t>Information to be given to tenant by lessor</w:t>
      </w:r>
      <w:bookmarkEnd w:id="7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79" w:name="_Toc22916001"/>
      <w:r>
        <w:rPr>
          <w:rStyle w:val="CharSectno"/>
        </w:rPr>
        <w:t>27C</w:t>
      </w:r>
      <w:r>
        <w:t>.</w:t>
      </w:r>
      <w:r>
        <w:tab/>
      </w:r>
      <w:r>
        <w:rPr>
          <w:snapToGrid w:val="0"/>
        </w:rPr>
        <w:t>Property condition report at start and end of tenancy</w:t>
      </w:r>
      <w:bookmarkEnd w:id="7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80" w:name="_Toc2153320"/>
      <w:bookmarkStart w:id="81" w:name="_Toc2160154"/>
      <w:bookmarkStart w:id="82" w:name="_Toc2160878"/>
      <w:bookmarkStart w:id="83" w:name="_Toc5621501"/>
      <w:bookmarkStart w:id="84" w:name="_Toc5632909"/>
      <w:bookmarkStart w:id="85" w:name="_Toc5719288"/>
      <w:bookmarkStart w:id="86" w:name="_Toc22915802"/>
      <w:bookmarkStart w:id="87" w:name="_Toc22916002"/>
      <w:r>
        <w:rPr>
          <w:rStyle w:val="CharDivNo"/>
        </w:rPr>
        <w:t>Division 1</w:t>
      </w:r>
      <w:r>
        <w:rPr>
          <w:snapToGrid w:val="0"/>
        </w:rPr>
        <w:t> — </w:t>
      </w:r>
      <w:r>
        <w:rPr>
          <w:rStyle w:val="CharDivText"/>
        </w:rPr>
        <w:t>Rent and security bonds</w:t>
      </w:r>
      <w:bookmarkEnd w:id="80"/>
      <w:bookmarkEnd w:id="81"/>
      <w:bookmarkEnd w:id="82"/>
      <w:bookmarkEnd w:id="83"/>
      <w:bookmarkEnd w:id="84"/>
      <w:bookmarkEnd w:id="85"/>
      <w:bookmarkEnd w:id="86"/>
      <w:bookmarkEnd w:id="87"/>
    </w:p>
    <w:p>
      <w:pPr>
        <w:pStyle w:val="Heading5"/>
        <w:spacing w:before="160"/>
        <w:rPr>
          <w:snapToGrid w:val="0"/>
        </w:rPr>
      </w:pPr>
      <w:bookmarkStart w:id="88" w:name="_Toc22916003"/>
      <w:r>
        <w:rPr>
          <w:rStyle w:val="CharSectno"/>
        </w:rPr>
        <w:t>27</w:t>
      </w:r>
      <w:r>
        <w:rPr>
          <w:snapToGrid w:val="0"/>
        </w:rPr>
        <w:t>.</w:t>
      </w:r>
      <w:r>
        <w:rPr>
          <w:snapToGrid w:val="0"/>
        </w:rPr>
        <w:tab/>
        <w:t>Restriction on consideration for tenancy agreement</w:t>
      </w:r>
      <w:bookmarkEnd w:id="88"/>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89" w:name="_Toc22916004"/>
      <w:r>
        <w:rPr>
          <w:rStyle w:val="CharSectno"/>
        </w:rPr>
        <w:t>28</w:t>
      </w:r>
      <w:r>
        <w:rPr>
          <w:snapToGrid w:val="0"/>
        </w:rPr>
        <w:t>.</w:t>
      </w:r>
      <w:r>
        <w:rPr>
          <w:snapToGrid w:val="0"/>
        </w:rPr>
        <w:tab/>
        <w:t>Rent in advance</w:t>
      </w:r>
      <w:bookmarkEnd w:id="89"/>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90" w:name="_Toc22916005"/>
      <w:r>
        <w:rPr>
          <w:rStyle w:val="CharSectno"/>
        </w:rPr>
        <w:t>29</w:t>
      </w:r>
      <w:r>
        <w:rPr>
          <w:snapToGrid w:val="0"/>
        </w:rPr>
        <w:t>.</w:t>
      </w:r>
      <w:r>
        <w:rPr>
          <w:snapToGrid w:val="0"/>
        </w:rPr>
        <w:tab/>
        <w:t>Security bonds</w:t>
      </w:r>
      <w:bookmarkEnd w:id="9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91" w:name="_Toc22916006"/>
      <w:r>
        <w:rPr>
          <w:rStyle w:val="CharSectno"/>
        </w:rPr>
        <w:t>30</w:t>
      </w:r>
      <w:r>
        <w:rPr>
          <w:snapToGrid w:val="0"/>
        </w:rPr>
        <w:t>.</w:t>
      </w:r>
      <w:r>
        <w:rPr>
          <w:snapToGrid w:val="0"/>
        </w:rPr>
        <w:tab/>
        <w:t>Variation of rent (except where calculated by reference to tenant’s income)</w:t>
      </w:r>
      <w:bookmarkEnd w:id="91"/>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92" w:name="_Toc22916007"/>
      <w:r>
        <w:rPr>
          <w:rStyle w:val="CharSectno"/>
        </w:rPr>
        <w:t>31A</w:t>
      </w:r>
      <w:r>
        <w:t>.</w:t>
      </w:r>
      <w:r>
        <w:tab/>
        <w:t>Variation of rent where calculated by reference to tenant’s income</w:t>
      </w:r>
      <w:bookmarkEnd w:id="92"/>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93" w:name="_Toc22916008"/>
      <w:r>
        <w:rPr>
          <w:rStyle w:val="CharSectno"/>
        </w:rPr>
        <w:t>31B</w:t>
      </w:r>
      <w:r>
        <w:t>.</w:t>
      </w:r>
      <w:r>
        <w:tab/>
        <w:t>Increase in rent after renegotiating lease</w:t>
      </w:r>
      <w:bookmarkEnd w:id="93"/>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94" w:name="_Toc22916009"/>
      <w:r>
        <w:rPr>
          <w:rStyle w:val="CharSectno"/>
        </w:rPr>
        <w:t>31</w:t>
      </w:r>
      <w:r>
        <w:rPr>
          <w:snapToGrid w:val="0"/>
        </w:rPr>
        <w:t>.</w:t>
      </w:r>
      <w:r>
        <w:rPr>
          <w:snapToGrid w:val="0"/>
        </w:rPr>
        <w:tab/>
        <w:t>Increase in security bond</w:t>
      </w:r>
      <w:bookmarkEnd w:id="94"/>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95" w:name="_Toc22916010"/>
      <w:r>
        <w:rPr>
          <w:rStyle w:val="CharSectno"/>
        </w:rPr>
        <w:t>32</w:t>
      </w:r>
      <w:r>
        <w:rPr>
          <w:snapToGrid w:val="0"/>
        </w:rPr>
        <w:t>.</w:t>
      </w:r>
      <w:r>
        <w:rPr>
          <w:snapToGrid w:val="0"/>
        </w:rPr>
        <w:tab/>
        <w:t>Limitation of excessive rents in certain circumstances</w:t>
      </w:r>
      <w:bookmarkEnd w:id="9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96" w:name="_Toc22916011"/>
      <w:r>
        <w:rPr>
          <w:rStyle w:val="CharSectno"/>
        </w:rPr>
        <w:t>33</w:t>
      </w:r>
      <w:r>
        <w:rPr>
          <w:snapToGrid w:val="0"/>
        </w:rPr>
        <w:t>.</w:t>
      </w:r>
      <w:r>
        <w:rPr>
          <w:snapToGrid w:val="0"/>
        </w:rPr>
        <w:tab/>
        <w:t>Duty to give receipt for rent</w:t>
      </w:r>
      <w:bookmarkEnd w:id="9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97" w:name="_Toc22916012"/>
      <w:r>
        <w:rPr>
          <w:rStyle w:val="CharSectno"/>
        </w:rPr>
        <w:t>34A</w:t>
      </w:r>
      <w:r>
        <w:t>.</w:t>
      </w:r>
      <w:r>
        <w:tab/>
        <w:t>Manner of payment of rent</w:t>
      </w:r>
      <w:bookmarkEnd w:id="97"/>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98" w:name="_Toc22916013"/>
      <w:r>
        <w:rPr>
          <w:rStyle w:val="CharSectno"/>
        </w:rPr>
        <w:t>34</w:t>
      </w:r>
      <w:r>
        <w:rPr>
          <w:snapToGrid w:val="0"/>
        </w:rPr>
        <w:t>.</w:t>
      </w:r>
      <w:r>
        <w:rPr>
          <w:snapToGrid w:val="0"/>
        </w:rPr>
        <w:tab/>
        <w:t>Proper records of rent to be kept</w:t>
      </w:r>
      <w:bookmarkEnd w:id="98"/>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99" w:name="_Toc22916014"/>
      <w:r>
        <w:rPr>
          <w:rStyle w:val="CharSectno"/>
        </w:rPr>
        <w:t>35</w:t>
      </w:r>
      <w:r>
        <w:rPr>
          <w:snapToGrid w:val="0"/>
        </w:rPr>
        <w:t>.</w:t>
      </w:r>
      <w:r>
        <w:rPr>
          <w:snapToGrid w:val="0"/>
        </w:rPr>
        <w:tab/>
        <w:t>Payment of rent by post</w:t>
      </w:r>
      <w:r>
        <w:rPr>
          <w:snapToGrid w:val="0"/>
        </w:rPr>
        <w:noBreakHyphen/>
        <w:t>dated cheques etc. prohibited</w:t>
      </w:r>
      <w:bookmarkEnd w:id="9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00" w:name="_Toc22916015"/>
      <w:r>
        <w:rPr>
          <w:rStyle w:val="CharSectno"/>
        </w:rPr>
        <w:t>36</w:t>
      </w:r>
      <w:r>
        <w:rPr>
          <w:snapToGrid w:val="0"/>
        </w:rPr>
        <w:t>.</w:t>
      </w:r>
      <w:r>
        <w:rPr>
          <w:snapToGrid w:val="0"/>
        </w:rPr>
        <w:tab/>
        <w:t>Apportionment of rent</w:t>
      </w:r>
      <w:bookmarkEnd w:id="10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01" w:name="_Toc2153334"/>
      <w:bookmarkStart w:id="102" w:name="_Toc2160168"/>
      <w:bookmarkStart w:id="103" w:name="_Toc2160892"/>
      <w:bookmarkStart w:id="104" w:name="_Toc5621515"/>
      <w:bookmarkStart w:id="105" w:name="_Toc5632923"/>
      <w:bookmarkStart w:id="106" w:name="_Toc5719302"/>
      <w:bookmarkStart w:id="107" w:name="_Toc22915816"/>
      <w:bookmarkStart w:id="108" w:name="_Toc22916016"/>
      <w:r>
        <w:rPr>
          <w:rStyle w:val="CharDivNo"/>
        </w:rPr>
        <w:t>Division 2</w:t>
      </w:r>
      <w:r>
        <w:rPr>
          <w:snapToGrid w:val="0"/>
        </w:rPr>
        <w:t> — </w:t>
      </w:r>
      <w:r>
        <w:rPr>
          <w:rStyle w:val="CharDivText"/>
        </w:rPr>
        <w:t>Standard terms</w:t>
      </w:r>
      <w:bookmarkEnd w:id="101"/>
      <w:bookmarkEnd w:id="102"/>
      <w:bookmarkEnd w:id="103"/>
      <w:bookmarkEnd w:id="104"/>
      <w:bookmarkEnd w:id="105"/>
      <w:bookmarkEnd w:id="106"/>
      <w:bookmarkEnd w:id="107"/>
      <w:bookmarkEnd w:id="108"/>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09" w:name="_Toc22916017"/>
      <w:r>
        <w:rPr>
          <w:rStyle w:val="CharSectno"/>
        </w:rPr>
        <w:t>38</w:t>
      </w:r>
      <w:r>
        <w:rPr>
          <w:snapToGrid w:val="0"/>
        </w:rPr>
        <w:t>.</w:t>
      </w:r>
      <w:r>
        <w:rPr>
          <w:snapToGrid w:val="0"/>
        </w:rPr>
        <w:tab/>
        <w:t>Tenant’s responsibility for cleanliness and damage</w:t>
      </w:r>
      <w:bookmarkEnd w:id="109"/>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w:t>
      </w:r>
    </w:p>
    <w:p>
      <w:pPr>
        <w:pStyle w:val="Heading5"/>
        <w:rPr>
          <w:snapToGrid w:val="0"/>
        </w:rPr>
      </w:pPr>
      <w:bookmarkStart w:id="110" w:name="_Toc22916018"/>
      <w:r>
        <w:rPr>
          <w:rStyle w:val="CharSectno"/>
        </w:rPr>
        <w:t>39</w:t>
      </w:r>
      <w:r>
        <w:rPr>
          <w:snapToGrid w:val="0"/>
        </w:rPr>
        <w:t>.</w:t>
      </w:r>
      <w:r>
        <w:rPr>
          <w:snapToGrid w:val="0"/>
        </w:rPr>
        <w:tab/>
        <w:t>Tenant’s conduct on premises</w:t>
      </w:r>
      <w:bookmarkEnd w:id="11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11" w:name="_Toc22916019"/>
      <w:r>
        <w:rPr>
          <w:rStyle w:val="CharSectno"/>
        </w:rPr>
        <w:t>40</w:t>
      </w:r>
      <w:r>
        <w:t>.</w:t>
      </w:r>
      <w:r>
        <w:tab/>
        <w:t>Vacant possession</w:t>
      </w:r>
      <w:bookmarkEnd w:id="111"/>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12" w:name="_Toc22916020"/>
      <w:r>
        <w:rPr>
          <w:rStyle w:val="CharSectno"/>
        </w:rPr>
        <w:t>41</w:t>
      </w:r>
      <w:r>
        <w:rPr>
          <w:snapToGrid w:val="0"/>
        </w:rPr>
        <w:t>.</w:t>
      </w:r>
      <w:r>
        <w:rPr>
          <w:snapToGrid w:val="0"/>
        </w:rPr>
        <w:tab/>
        <w:t>Legal impediments to occupation as residence</w:t>
      </w:r>
      <w:bookmarkEnd w:id="11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13" w:name="_Toc22916021"/>
      <w:r>
        <w:rPr>
          <w:rStyle w:val="CharSectno"/>
        </w:rPr>
        <w:t>42</w:t>
      </w:r>
      <w:r>
        <w:t>.</w:t>
      </w:r>
      <w:r>
        <w:tab/>
        <w:t>Lessor’s responsibility for cleanliness and repairs</w:t>
      </w:r>
      <w:bookmarkEnd w:id="113"/>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14" w:name="_Toc22916022"/>
      <w:r>
        <w:rPr>
          <w:rStyle w:val="CharSectno"/>
        </w:rPr>
        <w:t>43</w:t>
      </w:r>
      <w:r>
        <w:t>.</w:t>
      </w:r>
      <w:r>
        <w:tab/>
        <w:t>Urgent repairs</w:t>
      </w:r>
      <w:bookmarkEnd w:id="114"/>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15" w:name="_Toc22916023"/>
      <w:r>
        <w:rPr>
          <w:rStyle w:val="CharSectno"/>
        </w:rPr>
        <w:t>44</w:t>
      </w:r>
      <w:r>
        <w:t>.</w:t>
      </w:r>
      <w:r>
        <w:tab/>
        <w:t>Quiet enjoyment</w:t>
      </w:r>
      <w:bookmarkEnd w:id="115"/>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16" w:name="_Toc22916024"/>
      <w:r>
        <w:rPr>
          <w:rStyle w:val="CharSectno"/>
        </w:rPr>
        <w:t>45</w:t>
      </w:r>
      <w:r>
        <w:t>.</w:t>
      </w:r>
      <w:r>
        <w:tab/>
        <w:t>Securing premises</w:t>
      </w:r>
      <w:bookmarkEnd w:id="116"/>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17" w:name="_Toc22916025"/>
      <w:r>
        <w:rPr>
          <w:rStyle w:val="CharSectno"/>
        </w:rPr>
        <w:t>46</w:t>
      </w:r>
      <w:r>
        <w:t>.</w:t>
      </w:r>
      <w:r>
        <w:tab/>
        <w:t>Lessor’s right of entry</w:t>
      </w:r>
      <w:bookmarkEnd w:id="117"/>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18" w:name="_Toc22916026"/>
      <w:r>
        <w:rPr>
          <w:rStyle w:val="CharSectno"/>
        </w:rPr>
        <w:t>47</w:t>
      </w:r>
      <w:r>
        <w:t>.</w:t>
      </w:r>
      <w:r>
        <w:tab/>
        <w:t>Right of tenant to affix and remove fixtures etc.</w:t>
      </w:r>
      <w:bookmarkEnd w:id="118"/>
    </w:p>
    <w:p>
      <w:pPr>
        <w:pStyle w:val="Subsection"/>
        <w:rPr>
          <w:snapToGrid w:val="0"/>
        </w:rPr>
      </w:pPr>
      <w:r>
        <w:rPr>
          <w:snapToGrid w:val="0"/>
        </w:rPr>
        <w:tab/>
        <w:t>(1)</w:t>
      </w:r>
      <w:r>
        <w:rPr>
          <w:snapToGrid w:val="0"/>
        </w:rPr>
        <w:tab/>
      </w:r>
      <w:r>
        <w:t>Except as provided in subsection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w:t>
      </w:r>
    </w:p>
    <w:p>
      <w:pPr>
        <w:pStyle w:val="Heading5"/>
        <w:rPr>
          <w:snapToGrid w:val="0"/>
        </w:rPr>
      </w:pPr>
      <w:bookmarkStart w:id="119" w:name="_Toc22916027"/>
      <w:r>
        <w:rPr>
          <w:rStyle w:val="CharSectno"/>
        </w:rPr>
        <w:t>48</w:t>
      </w:r>
      <w:r>
        <w:rPr>
          <w:snapToGrid w:val="0"/>
        </w:rPr>
        <w:t>.</w:t>
      </w:r>
      <w:r>
        <w:rPr>
          <w:snapToGrid w:val="0"/>
        </w:rPr>
        <w:tab/>
        <w:t>Lessor to bear outgoings in respect of premises</w:t>
      </w:r>
      <w:bookmarkEnd w:id="119"/>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120" w:name="_Toc22916028"/>
      <w:r>
        <w:rPr>
          <w:rStyle w:val="CharSectno"/>
        </w:rPr>
        <w:t>49A</w:t>
      </w:r>
      <w:r>
        <w:t>.</w:t>
      </w:r>
      <w:r>
        <w:tab/>
        <w:t>Lessor’s and tenant’s responsibilities in respect of public utility services</w:t>
      </w:r>
      <w:bookmarkEnd w:id="120"/>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No. 60 of 2011 s. 44.] </w:t>
      </w:r>
    </w:p>
    <w:p>
      <w:pPr>
        <w:pStyle w:val="Heading5"/>
        <w:rPr>
          <w:snapToGrid w:val="0"/>
        </w:rPr>
      </w:pPr>
      <w:bookmarkStart w:id="121" w:name="_Toc22916029"/>
      <w:r>
        <w:rPr>
          <w:rStyle w:val="CharSectno"/>
        </w:rPr>
        <w:t>49</w:t>
      </w:r>
      <w:r>
        <w:rPr>
          <w:snapToGrid w:val="0"/>
        </w:rPr>
        <w:t>.</w:t>
      </w:r>
      <w:r>
        <w:rPr>
          <w:snapToGrid w:val="0"/>
        </w:rPr>
        <w:tab/>
        <w:t>Right of tenant to assign or sub</w:t>
      </w:r>
      <w:r>
        <w:rPr>
          <w:snapToGrid w:val="0"/>
        </w:rPr>
        <w:noBreakHyphen/>
        <w:t>let</w:t>
      </w:r>
      <w:bookmarkEnd w:id="121"/>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22" w:name="_Toc22916030"/>
      <w:r>
        <w:rPr>
          <w:rStyle w:val="CharSectno"/>
        </w:rPr>
        <w:t>50</w:t>
      </w:r>
      <w:r>
        <w:rPr>
          <w:snapToGrid w:val="0"/>
        </w:rPr>
        <w:t>.</w:t>
      </w:r>
      <w:r>
        <w:rPr>
          <w:snapToGrid w:val="0"/>
        </w:rPr>
        <w:tab/>
        <w:t>Vicarious responsibility of tenant for breach by other person lawfully on premises</w:t>
      </w:r>
      <w:bookmarkEnd w:id="122"/>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23" w:name="_Toc2153349"/>
      <w:bookmarkStart w:id="124" w:name="_Toc2160183"/>
      <w:bookmarkStart w:id="125" w:name="_Toc2160907"/>
      <w:bookmarkStart w:id="126" w:name="_Toc5621530"/>
      <w:bookmarkStart w:id="127" w:name="_Toc5632938"/>
      <w:bookmarkStart w:id="128" w:name="_Toc5719317"/>
      <w:bookmarkStart w:id="129" w:name="_Toc22915831"/>
      <w:bookmarkStart w:id="130" w:name="_Toc22916031"/>
      <w:r>
        <w:rPr>
          <w:rStyle w:val="CharDivNo"/>
        </w:rPr>
        <w:t>Division 3</w:t>
      </w:r>
      <w:r>
        <w:t> — </w:t>
      </w:r>
      <w:r>
        <w:rPr>
          <w:rStyle w:val="CharDivText"/>
        </w:rPr>
        <w:t>General</w:t>
      </w:r>
      <w:bookmarkEnd w:id="123"/>
      <w:bookmarkEnd w:id="124"/>
      <w:bookmarkEnd w:id="125"/>
      <w:bookmarkEnd w:id="126"/>
      <w:bookmarkEnd w:id="127"/>
      <w:bookmarkEnd w:id="128"/>
      <w:bookmarkEnd w:id="129"/>
      <w:bookmarkEnd w:id="130"/>
    </w:p>
    <w:p>
      <w:pPr>
        <w:pStyle w:val="Footnoteheading"/>
      </w:pPr>
      <w:r>
        <w:tab/>
        <w:t xml:space="preserve">[Heading inserted: No. 60 of 2011 s. 47.] </w:t>
      </w:r>
    </w:p>
    <w:p>
      <w:pPr>
        <w:pStyle w:val="Heading5"/>
      </w:pPr>
      <w:bookmarkStart w:id="131" w:name="_Toc22916032"/>
      <w:r>
        <w:rPr>
          <w:rStyle w:val="CharSectno"/>
        </w:rPr>
        <w:t>51</w:t>
      </w:r>
      <w:r>
        <w:t>.</w:t>
      </w:r>
      <w:r>
        <w:tab/>
        <w:t>Tenant to be notified of lessor’s name and address</w:t>
      </w:r>
      <w:bookmarkEnd w:id="13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32" w:name="_Toc22916033"/>
      <w:r>
        <w:rPr>
          <w:rStyle w:val="CharSectno"/>
        </w:rPr>
        <w:t>52</w:t>
      </w:r>
      <w:r>
        <w:rPr>
          <w:snapToGrid w:val="0"/>
        </w:rPr>
        <w:t>.</w:t>
      </w:r>
      <w:r>
        <w:rPr>
          <w:snapToGrid w:val="0"/>
        </w:rPr>
        <w:tab/>
        <w:t>Failure to pay rent with intention it be recovered from security bond</w:t>
      </w:r>
      <w:bookmarkEnd w:id="132"/>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33" w:name="_Toc22916034"/>
      <w:r>
        <w:rPr>
          <w:rStyle w:val="CharSectno"/>
        </w:rPr>
        <w:t>53</w:t>
      </w:r>
      <w:r>
        <w:t>.</w:t>
      </w:r>
      <w:r>
        <w:tab/>
        <w:t>Tenant’s name, place of employment and forwarding address</w:t>
      </w:r>
      <w:bookmarkEnd w:id="133"/>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34" w:name="_Toc22916035"/>
      <w:r>
        <w:rPr>
          <w:rStyle w:val="CharSectno"/>
        </w:rPr>
        <w:t>54</w:t>
      </w:r>
      <w:r>
        <w:rPr>
          <w:snapToGrid w:val="0"/>
        </w:rPr>
        <w:t>.</w:t>
      </w:r>
      <w:r>
        <w:rPr>
          <w:snapToGrid w:val="0"/>
        </w:rPr>
        <w:tab/>
        <w:t>Lessor to deliver copy of agreement to tenant</w:t>
      </w:r>
      <w:bookmarkEnd w:id="134"/>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35" w:name="_Toc22916036"/>
      <w:r>
        <w:rPr>
          <w:rStyle w:val="CharSectno"/>
        </w:rPr>
        <w:t>55</w:t>
      </w:r>
      <w:r>
        <w:t>.</w:t>
      </w:r>
      <w:r>
        <w:tab/>
        <w:t>Cost of written agreement to be borne by lessor</w:t>
      </w:r>
      <w:bookmarkEnd w:id="135"/>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36" w:name="_Toc22916037"/>
      <w:r>
        <w:rPr>
          <w:rStyle w:val="CharSectno"/>
        </w:rPr>
        <w:t>56</w:t>
      </w:r>
      <w:r>
        <w:rPr>
          <w:snapToGrid w:val="0"/>
        </w:rPr>
        <w:t>.</w:t>
      </w:r>
      <w:r>
        <w:rPr>
          <w:snapToGrid w:val="0"/>
        </w:rPr>
        <w:tab/>
        <w:t>Discrimination against tenants with children</w:t>
      </w:r>
      <w:bookmarkEnd w:id="13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37" w:name="_Toc22916038"/>
      <w:r>
        <w:rPr>
          <w:rStyle w:val="CharSectno"/>
        </w:rPr>
        <w:t>56A</w:t>
      </w:r>
      <w:r>
        <w:t>.</w:t>
      </w:r>
      <w:r>
        <w:tab/>
        <w:t>Discrimination against tenants subjected or exposed to family violence</w:t>
      </w:r>
      <w:bookmarkEnd w:id="137"/>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38" w:name="_Toc22916039"/>
      <w:r>
        <w:rPr>
          <w:rStyle w:val="CharSectno"/>
        </w:rPr>
        <w:t>57</w:t>
      </w:r>
      <w:r>
        <w:rPr>
          <w:snapToGrid w:val="0"/>
        </w:rPr>
        <w:t>.</w:t>
      </w:r>
      <w:r>
        <w:rPr>
          <w:snapToGrid w:val="0"/>
        </w:rPr>
        <w:tab/>
        <w:t>Accelerated rent and liquidated damages prohibited</w:t>
      </w:r>
      <w:bookmarkEnd w:id="138"/>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39" w:name="_Toc22916040"/>
      <w:r>
        <w:rPr>
          <w:rStyle w:val="CharSectno"/>
        </w:rPr>
        <w:t>58</w:t>
      </w:r>
      <w:r>
        <w:rPr>
          <w:snapToGrid w:val="0"/>
        </w:rPr>
        <w:t>.</w:t>
      </w:r>
      <w:r>
        <w:rPr>
          <w:snapToGrid w:val="0"/>
        </w:rPr>
        <w:tab/>
        <w:t>Duty of mitigation</w:t>
      </w:r>
      <w:bookmarkEnd w:id="13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40" w:name="_Toc22916041"/>
      <w:r>
        <w:rPr>
          <w:rStyle w:val="CharSectno"/>
        </w:rPr>
        <w:t>59A</w:t>
      </w:r>
      <w:r>
        <w:t>.</w:t>
      </w:r>
      <w:r>
        <w:tab/>
        <w:t>Minors</w:t>
      </w:r>
      <w:bookmarkEnd w:id="14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41" w:name="_Toc22916042"/>
      <w:r>
        <w:rPr>
          <w:rStyle w:val="CharSectno"/>
        </w:rPr>
        <w:t>59B</w:t>
      </w:r>
      <w:r>
        <w:t>.</w:t>
      </w:r>
      <w:r>
        <w:tab/>
        <w:t>Death of one of 2 or more tenants</w:t>
      </w:r>
      <w:bookmarkEnd w:id="14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42" w:name="_Toc22916043"/>
      <w:r>
        <w:rPr>
          <w:rStyle w:val="CharSectno"/>
        </w:rPr>
        <w:t>59C</w:t>
      </w:r>
      <w:r>
        <w:t>.</w:t>
      </w:r>
      <w:r>
        <w:tab/>
        <w:t>Recognition of certain persons as tenants</w:t>
      </w:r>
      <w:bookmarkEnd w:id="142"/>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43" w:name="_Toc22916044"/>
      <w:r>
        <w:rPr>
          <w:rStyle w:val="CharSectno"/>
        </w:rPr>
        <w:t>59D</w:t>
      </w:r>
      <w:r>
        <w:t>.</w:t>
      </w:r>
      <w:r>
        <w:tab/>
        <w:t>Tenant compensation bonds</w:t>
      </w:r>
      <w:bookmarkEnd w:id="14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44" w:name="_Toc22916045"/>
      <w:r>
        <w:rPr>
          <w:rStyle w:val="CharSectno"/>
        </w:rPr>
        <w:t>59E</w:t>
      </w:r>
      <w:r>
        <w:t>.</w:t>
      </w:r>
      <w:r>
        <w:tab/>
      </w:r>
      <w:r>
        <w:rPr>
          <w:snapToGrid w:val="0"/>
        </w:rPr>
        <w:t>Interference with quiet enjoyment</w:t>
      </w:r>
      <w:bookmarkEnd w:id="144"/>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45" w:name="_Toc22916046"/>
      <w:r>
        <w:rPr>
          <w:rStyle w:val="CharSectno"/>
        </w:rPr>
        <w:t>59F</w:t>
      </w:r>
      <w:r>
        <w:t>.</w:t>
      </w:r>
      <w:r>
        <w:tab/>
      </w:r>
      <w:r>
        <w:rPr>
          <w:snapToGrid w:val="0"/>
        </w:rPr>
        <w:t>Offences relating to security of residential premises</w:t>
      </w:r>
      <w:bookmarkEnd w:id="145"/>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46" w:name="_Toc2153364"/>
      <w:bookmarkStart w:id="147" w:name="_Toc2160198"/>
      <w:bookmarkStart w:id="148" w:name="_Toc2160922"/>
      <w:bookmarkStart w:id="149" w:name="_Toc5621545"/>
      <w:bookmarkStart w:id="150" w:name="_Toc5632954"/>
      <w:bookmarkStart w:id="151" w:name="_Toc5719333"/>
      <w:bookmarkStart w:id="152" w:name="_Toc22915847"/>
      <w:bookmarkStart w:id="153" w:name="_Toc22916047"/>
      <w:r>
        <w:rPr>
          <w:rStyle w:val="CharPartNo"/>
        </w:rPr>
        <w:t>Part V</w:t>
      </w:r>
      <w:r>
        <w:t> — </w:t>
      </w:r>
      <w:r>
        <w:rPr>
          <w:rStyle w:val="CharPartText"/>
        </w:rPr>
        <w:t>Termination of residential tenancy agreements</w:t>
      </w:r>
      <w:bookmarkEnd w:id="146"/>
      <w:bookmarkEnd w:id="147"/>
      <w:bookmarkEnd w:id="148"/>
      <w:bookmarkEnd w:id="149"/>
      <w:bookmarkEnd w:id="150"/>
      <w:bookmarkEnd w:id="151"/>
      <w:bookmarkEnd w:id="152"/>
      <w:bookmarkEnd w:id="153"/>
    </w:p>
    <w:p>
      <w:pPr>
        <w:pStyle w:val="Heading3"/>
      </w:pPr>
      <w:bookmarkStart w:id="154" w:name="_Toc2153365"/>
      <w:bookmarkStart w:id="155" w:name="_Toc2160199"/>
      <w:bookmarkStart w:id="156" w:name="_Toc2160923"/>
      <w:bookmarkStart w:id="157" w:name="_Toc5621546"/>
      <w:bookmarkStart w:id="158" w:name="_Toc5632955"/>
      <w:bookmarkStart w:id="159" w:name="_Toc5719334"/>
      <w:bookmarkStart w:id="160" w:name="_Toc22915848"/>
      <w:bookmarkStart w:id="161" w:name="_Toc22916048"/>
      <w:r>
        <w:rPr>
          <w:rStyle w:val="CharDivNo"/>
        </w:rPr>
        <w:t>Division 1</w:t>
      </w:r>
      <w:r>
        <w:t> — </w:t>
      </w:r>
      <w:r>
        <w:rPr>
          <w:rStyle w:val="CharDivText"/>
        </w:rPr>
        <w:t>How residential tenancy agreements are terminated</w:t>
      </w:r>
      <w:bookmarkEnd w:id="154"/>
      <w:bookmarkEnd w:id="155"/>
      <w:bookmarkEnd w:id="156"/>
      <w:bookmarkEnd w:id="157"/>
      <w:bookmarkEnd w:id="158"/>
      <w:bookmarkEnd w:id="159"/>
      <w:bookmarkEnd w:id="160"/>
      <w:bookmarkEnd w:id="16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62" w:name="_Toc22916049"/>
      <w:r>
        <w:rPr>
          <w:rStyle w:val="CharSectno"/>
        </w:rPr>
        <w:t>60</w:t>
      </w:r>
      <w:r>
        <w:rPr>
          <w:snapToGrid w:val="0"/>
        </w:rPr>
        <w:t>.</w:t>
      </w:r>
      <w:r>
        <w:rPr>
          <w:snapToGrid w:val="0"/>
        </w:rPr>
        <w:tab/>
        <w:t>How residential tenancy agreements and tenant’s interests in agreements are terminated</w:t>
      </w:r>
      <w:bookmarkEnd w:id="16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63" w:name="_Toc2153367"/>
      <w:bookmarkStart w:id="164" w:name="_Toc2160201"/>
      <w:bookmarkStart w:id="165" w:name="_Toc2160925"/>
      <w:bookmarkStart w:id="166" w:name="_Toc5621548"/>
      <w:bookmarkStart w:id="167" w:name="_Toc5632957"/>
      <w:bookmarkStart w:id="168" w:name="_Toc5719336"/>
      <w:bookmarkStart w:id="169" w:name="_Toc22915850"/>
      <w:bookmarkStart w:id="170" w:name="_Toc22916050"/>
      <w:r>
        <w:rPr>
          <w:rStyle w:val="CharDivNo"/>
        </w:rPr>
        <w:t>Division 2</w:t>
      </w:r>
      <w:r>
        <w:t> — </w:t>
      </w:r>
      <w:r>
        <w:rPr>
          <w:rStyle w:val="CharDivText"/>
        </w:rPr>
        <w:t>Notices of termination</w:t>
      </w:r>
      <w:bookmarkEnd w:id="163"/>
      <w:bookmarkEnd w:id="164"/>
      <w:bookmarkEnd w:id="165"/>
      <w:bookmarkEnd w:id="166"/>
      <w:bookmarkEnd w:id="167"/>
      <w:bookmarkEnd w:id="168"/>
      <w:bookmarkEnd w:id="169"/>
      <w:bookmarkEnd w:id="170"/>
    </w:p>
    <w:p>
      <w:pPr>
        <w:pStyle w:val="Footnoteheading"/>
      </w:pPr>
      <w:r>
        <w:tab/>
        <w:t>[Heading inserted: No. 60 of 2011 s. 60.]</w:t>
      </w:r>
    </w:p>
    <w:p>
      <w:pPr>
        <w:pStyle w:val="Heading5"/>
      </w:pPr>
      <w:bookmarkStart w:id="171" w:name="_Toc22916051"/>
      <w:r>
        <w:rPr>
          <w:rStyle w:val="CharSectno"/>
        </w:rPr>
        <w:t>61</w:t>
      </w:r>
      <w:r>
        <w:t>.</w:t>
      </w:r>
      <w:r>
        <w:tab/>
        <w:t>Form of notice of termination by lessor</w:t>
      </w:r>
      <w:bookmarkEnd w:id="17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72" w:name="_Toc22916052"/>
      <w:r>
        <w:rPr>
          <w:rStyle w:val="CharSectno"/>
        </w:rPr>
        <w:t>62</w:t>
      </w:r>
      <w:r>
        <w:rPr>
          <w:snapToGrid w:val="0"/>
        </w:rPr>
        <w:t>.</w:t>
      </w:r>
      <w:r>
        <w:rPr>
          <w:snapToGrid w:val="0"/>
        </w:rPr>
        <w:tab/>
        <w:t>Notice of termination by lessor upon ground of breach of term of agreement</w:t>
      </w:r>
      <w:bookmarkEnd w:id="17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73" w:name="_Toc22916053"/>
      <w:r>
        <w:rPr>
          <w:rStyle w:val="CharSectno"/>
        </w:rPr>
        <w:t>63</w:t>
      </w:r>
      <w:r>
        <w:t>.</w:t>
      </w:r>
      <w:r>
        <w:tab/>
        <w:t>Notice of termination by lessor who has entered into contract of sale</w:t>
      </w:r>
      <w:bookmarkEnd w:id="173"/>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74" w:name="_Toc22916054"/>
      <w:r>
        <w:rPr>
          <w:rStyle w:val="CharSectno"/>
        </w:rPr>
        <w:t>64</w:t>
      </w:r>
      <w:r>
        <w:t>.</w:t>
      </w:r>
      <w:r>
        <w:tab/>
        <w:t>Notice of termination by lessor without any ground</w:t>
      </w:r>
      <w:bookmarkEnd w:id="174"/>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75" w:name="_Toc22916055"/>
      <w:r>
        <w:rPr>
          <w:rStyle w:val="CharSectno"/>
        </w:rPr>
        <w:t>65</w:t>
      </w:r>
      <w:r>
        <w:rPr>
          <w:snapToGrid w:val="0"/>
        </w:rPr>
        <w:t>.</w:t>
      </w:r>
      <w:r>
        <w:rPr>
          <w:snapToGrid w:val="0"/>
        </w:rPr>
        <w:tab/>
        <w:t>Termination by lessor where s. 32 invoked</w:t>
      </w:r>
      <w:bookmarkEnd w:id="17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76" w:name="_Toc22916056"/>
      <w:r>
        <w:rPr>
          <w:rStyle w:val="CharSectno"/>
        </w:rPr>
        <w:t>66</w:t>
      </w:r>
      <w:r>
        <w:rPr>
          <w:snapToGrid w:val="0"/>
        </w:rPr>
        <w:t>.</w:t>
      </w:r>
      <w:r>
        <w:rPr>
          <w:snapToGrid w:val="0"/>
        </w:rPr>
        <w:tab/>
        <w:t>Notice by lessor not waived by acceptance of rent</w:t>
      </w:r>
      <w:bookmarkEnd w:id="17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77" w:name="_Toc22916057"/>
      <w:r>
        <w:rPr>
          <w:rStyle w:val="CharSectno"/>
        </w:rPr>
        <w:t>67</w:t>
      </w:r>
      <w:r>
        <w:rPr>
          <w:snapToGrid w:val="0"/>
        </w:rPr>
        <w:t>.</w:t>
      </w:r>
      <w:r>
        <w:rPr>
          <w:snapToGrid w:val="0"/>
        </w:rPr>
        <w:tab/>
        <w:t>Form of notice of termination by tenant</w:t>
      </w:r>
      <w:bookmarkEnd w:id="177"/>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78" w:name="_Toc22916058"/>
      <w:r>
        <w:rPr>
          <w:rStyle w:val="CharSectno"/>
        </w:rPr>
        <w:t>68</w:t>
      </w:r>
      <w:r>
        <w:rPr>
          <w:snapToGrid w:val="0"/>
        </w:rPr>
        <w:t>.</w:t>
      </w:r>
      <w:r>
        <w:rPr>
          <w:snapToGrid w:val="0"/>
        </w:rPr>
        <w:tab/>
        <w:t>Notice of termination by tenant</w:t>
      </w:r>
      <w:bookmarkEnd w:id="17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79" w:name="_Toc22916059"/>
      <w:r>
        <w:rPr>
          <w:rStyle w:val="CharSectno"/>
        </w:rPr>
        <w:t>69</w:t>
      </w:r>
      <w:r>
        <w:rPr>
          <w:snapToGrid w:val="0"/>
        </w:rPr>
        <w:t>.</w:t>
      </w:r>
      <w:r>
        <w:rPr>
          <w:snapToGrid w:val="0"/>
        </w:rPr>
        <w:tab/>
        <w:t>Notice of termination by lessor or tenant where agreement frustrated</w:t>
      </w:r>
      <w:bookmarkEnd w:id="179"/>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80" w:name="_Toc22916060"/>
      <w:r>
        <w:rPr>
          <w:rStyle w:val="CharSectno"/>
        </w:rPr>
        <w:t>70A</w:t>
      </w:r>
      <w:r>
        <w:t>.</w:t>
      </w:r>
      <w:r>
        <w:tab/>
        <w:t>Notice of termination by lessor or tenant at end of fixed term tenancy</w:t>
      </w:r>
      <w:bookmarkEnd w:id="180"/>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81" w:name="_Toc22916061"/>
      <w:r>
        <w:rPr>
          <w:rStyle w:val="CharSectno"/>
        </w:rPr>
        <w:t>70</w:t>
      </w:r>
      <w:r>
        <w:rPr>
          <w:snapToGrid w:val="0"/>
        </w:rPr>
        <w:t>.</w:t>
      </w:r>
      <w:r>
        <w:rPr>
          <w:snapToGrid w:val="0"/>
        </w:rPr>
        <w:tab/>
        <w:t>Effect of notice of termination of periodic tenancy</w:t>
      </w:r>
      <w:bookmarkEnd w:id="181"/>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82" w:name="_Toc5632969"/>
      <w:bookmarkStart w:id="183" w:name="_Toc5719348"/>
      <w:bookmarkStart w:id="184" w:name="_Toc22915862"/>
      <w:bookmarkStart w:id="185" w:name="_Toc22916062"/>
      <w:bookmarkStart w:id="186" w:name="_Toc2153379"/>
      <w:bookmarkStart w:id="187" w:name="_Toc2160213"/>
      <w:bookmarkStart w:id="188" w:name="_Toc2160937"/>
      <w:bookmarkStart w:id="189" w:name="_Toc5621560"/>
      <w:r>
        <w:rPr>
          <w:rStyle w:val="CharDivNo"/>
        </w:rPr>
        <w:t>Division 2A</w:t>
      </w:r>
      <w:r>
        <w:t> — </w:t>
      </w:r>
      <w:r>
        <w:rPr>
          <w:rStyle w:val="CharDivText"/>
        </w:rPr>
        <w:t>Special provisions about terminating tenant’s interest on grounds of family violence</w:t>
      </w:r>
      <w:bookmarkEnd w:id="182"/>
      <w:bookmarkEnd w:id="183"/>
      <w:bookmarkEnd w:id="184"/>
      <w:bookmarkEnd w:id="185"/>
    </w:p>
    <w:p>
      <w:pPr>
        <w:pStyle w:val="Footnoteheading"/>
      </w:pPr>
      <w:r>
        <w:tab/>
        <w:t xml:space="preserve">[Heading inserted: No. 3 of 2019 s. 18.] </w:t>
      </w:r>
    </w:p>
    <w:p>
      <w:pPr>
        <w:pStyle w:val="Heading5"/>
      </w:pPr>
      <w:bookmarkStart w:id="190" w:name="_Toc22916063"/>
      <w:r>
        <w:rPr>
          <w:rStyle w:val="CharSectno"/>
        </w:rPr>
        <w:t>71AA</w:t>
      </w:r>
      <w:r>
        <w:t>.</w:t>
      </w:r>
      <w:r>
        <w:tab/>
        <w:t>Terms used</w:t>
      </w:r>
      <w:bookmarkEnd w:id="190"/>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91" w:name="_Toc22916064"/>
      <w:r>
        <w:rPr>
          <w:rStyle w:val="CharSectno"/>
        </w:rPr>
        <w:t>71AB</w:t>
      </w:r>
      <w:r>
        <w:t>.</w:t>
      </w:r>
      <w:r>
        <w:tab/>
        <w:t>Notice of termination of tenant’s interest on ground that tenant subject to family violence</w:t>
      </w:r>
      <w:bookmarkEnd w:id="191"/>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92" w:name="_Toc22916065"/>
      <w:r>
        <w:rPr>
          <w:rStyle w:val="CharSectno"/>
        </w:rPr>
        <w:t>71AC</w:t>
      </w:r>
      <w:r>
        <w:t>.</w:t>
      </w:r>
      <w:r>
        <w:tab/>
        <w:t>Review of notice of termination under s. 71AB</w:t>
      </w:r>
      <w:bookmarkEnd w:id="192"/>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93" w:name="_Toc22916066"/>
      <w:r>
        <w:rPr>
          <w:rStyle w:val="CharSectno"/>
        </w:rPr>
        <w:t>71AD</w:t>
      </w:r>
      <w:r>
        <w:t>.</w:t>
      </w:r>
      <w:r>
        <w:tab/>
        <w:t>Rights of co</w:t>
      </w:r>
      <w:r>
        <w:noBreakHyphen/>
        <w:t>tenants after notice under s. 71AB</w:t>
      </w:r>
      <w:bookmarkEnd w:id="193"/>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94" w:name="_Toc22916067"/>
      <w:r>
        <w:rPr>
          <w:rStyle w:val="CharSectno"/>
        </w:rPr>
        <w:t>71AE</w:t>
      </w:r>
      <w:r>
        <w:t>.</w:t>
      </w:r>
      <w:r>
        <w:tab/>
        <w:t>Termination of tenant’s interest by court on grounds of family violence</w:t>
      </w:r>
      <w:bookmarkEnd w:id="194"/>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95" w:name="_Toc22916068"/>
      <w:r>
        <w:rPr>
          <w:rStyle w:val="CharSectno"/>
        </w:rPr>
        <w:t>71AF</w:t>
      </w:r>
      <w:r>
        <w:t>.</w:t>
      </w:r>
      <w:r>
        <w:tab/>
        <w:t>Review of Division</w:t>
      </w:r>
      <w:bookmarkEnd w:id="195"/>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96" w:name="_Toc5632976"/>
      <w:bookmarkStart w:id="197" w:name="_Toc5719355"/>
      <w:bookmarkStart w:id="198" w:name="_Toc22915869"/>
      <w:bookmarkStart w:id="199" w:name="_Toc22916069"/>
      <w:r>
        <w:rPr>
          <w:rStyle w:val="CharDivNo"/>
        </w:rPr>
        <w:t>Division 3</w:t>
      </w:r>
      <w:r>
        <w:t> — </w:t>
      </w:r>
      <w:r>
        <w:rPr>
          <w:rStyle w:val="CharDivText"/>
        </w:rPr>
        <w:t>Special provisions about terminating social housing tenancy agreements</w:t>
      </w:r>
      <w:bookmarkEnd w:id="186"/>
      <w:bookmarkEnd w:id="187"/>
      <w:bookmarkEnd w:id="188"/>
      <w:bookmarkEnd w:id="189"/>
      <w:bookmarkEnd w:id="196"/>
      <w:bookmarkEnd w:id="197"/>
      <w:bookmarkEnd w:id="198"/>
      <w:bookmarkEnd w:id="199"/>
    </w:p>
    <w:p>
      <w:pPr>
        <w:pStyle w:val="Footnoteheading"/>
      </w:pPr>
      <w:r>
        <w:tab/>
        <w:t>[Heading inserted: No. 60 of 2011 s. 92.]</w:t>
      </w:r>
    </w:p>
    <w:p>
      <w:pPr>
        <w:pStyle w:val="Heading4"/>
      </w:pPr>
      <w:bookmarkStart w:id="200" w:name="_Toc2153380"/>
      <w:bookmarkStart w:id="201" w:name="_Toc2160214"/>
      <w:bookmarkStart w:id="202" w:name="_Toc2160938"/>
      <w:bookmarkStart w:id="203" w:name="_Toc5621561"/>
      <w:bookmarkStart w:id="204" w:name="_Toc5632977"/>
      <w:bookmarkStart w:id="205" w:name="_Toc5719356"/>
      <w:bookmarkStart w:id="206" w:name="_Toc22915870"/>
      <w:bookmarkStart w:id="207" w:name="_Toc22916070"/>
      <w:r>
        <w:t>Subdivision 1 — Preliminary</w:t>
      </w:r>
      <w:bookmarkEnd w:id="200"/>
      <w:bookmarkEnd w:id="201"/>
      <w:bookmarkEnd w:id="202"/>
      <w:bookmarkEnd w:id="203"/>
      <w:bookmarkEnd w:id="204"/>
      <w:bookmarkEnd w:id="205"/>
      <w:bookmarkEnd w:id="206"/>
      <w:bookmarkEnd w:id="207"/>
    </w:p>
    <w:p>
      <w:pPr>
        <w:pStyle w:val="Footnoteheading"/>
      </w:pPr>
      <w:r>
        <w:tab/>
        <w:t>[Heading inserted: No. 60 of 2011 s. 92.]</w:t>
      </w:r>
    </w:p>
    <w:p>
      <w:pPr>
        <w:pStyle w:val="Heading5"/>
      </w:pPr>
      <w:bookmarkStart w:id="208" w:name="_Toc22916071"/>
      <w:r>
        <w:rPr>
          <w:rStyle w:val="CharSectno"/>
        </w:rPr>
        <w:t>71A</w:t>
      </w:r>
      <w:r>
        <w:t>.</w:t>
      </w:r>
      <w:r>
        <w:tab/>
        <w:t>Terms used</w:t>
      </w:r>
      <w:bookmarkEnd w:id="20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09" w:name="_Toc22916072"/>
      <w:r>
        <w:rPr>
          <w:rStyle w:val="CharSectno"/>
        </w:rPr>
        <w:t>71B</w:t>
      </w:r>
      <w:r>
        <w:t>.</w:t>
      </w:r>
      <w:r>
        <w:tab/>
        <w:t>Application of Division</w:t>
      </w:r>
      <w:bookmarkEnd w:id="209"/>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10" w:name="_Toc2153383"/>
      <w:bookmarkStart w:id="211" w:name="_Toc2160217"/>
      <w:bookmarkStart w:id="212" w:name="_Toc2160941"/>
      <w:bookmarkStart w:id="213" w:name="_Toc5621564"/>
      <w:bookmarkStart w:id="214" w:name="_Toc5632980"/>
      <w:bookmarkStart w:id="215" w:name="_Toc5719359"/>
      <w:bookmarkStart w:id="216" w:name="_Toc22915873"/>
      <w:bookmarkStart w:id="217" w:name="_Toc22916073"/>
      <w:r>
        <w:t>Subdivision 2 — Notice of termination where tenant not eligible for social housing premises</w:t>
      </w:r>
      <w:bookmarkEnd w:id="210"/>
      <w:bookmarkEnd w:id="211"/>
      <w:bookmarkEnd w:id="212"/>
      <w:bookmarkEnd w:id="213"/>
      <w:bookmarkEnd w:id="214"/>
      <w:bookmarkEnd w:id="215"/>
      <w:bookmarkEnd w:id="216"/>
      <w:bookmarkEnd w:id="217"/>
    </w:p>
    <w:p>
      <w:pPr>
        <w:pStyle w:val="Footnoteheading"/>
      </w:pPr>
      <w:r>
        <w:tab/>
        <w:t>[Heading inserted: No. 60 of 2011 s. 92.]</w:t>
      </w:r>
    </w:p>
    <w:p>
      <w:pPr>
        <w:pStyle w:val="Heading5"/>
        <w:rPr>
          <w:snapToGrid w:val="0"/>
        </w:rPr>
      </w:pPr>
      <w:bookmarkStart w:id="218" w:name="_Toc22916074"/>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1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219" w:name="_Toc22916075"/>
      <w:r>
        <w:rPr>
          <w:rStyle w:val="CharSectno"/>
        </w:rPr>
        <w:t>71D</w:t>
      </w:r>
      <w:r>
        <w:t>.</w:t>
      </w:r>
      <w:r>
        <w:tab/>
        <w:t>Assessment of tenants eligibility for social housing premises</w:t>
      </w:r>
      <w:bookmarkEnd w:id="219"/>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220" w:name="_Toc22916076"/>
      <w:r>
        <w:rPr>
          <w:rStyle w:val="CharSectno"/>
        </w:rPr>
        <w:t>71E</w:t>
      </w:r>
      <w:r>
        <w:t>.</w:t>
      </w:r>
      <w:r>
        <w:tab/>
        <w:t>Criteria for assessing eligibility of tenants for social housing premises under s. 71D</w:t>
      </w:r>
      <w:bookmarkEnd w:id="22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221" w:name="_Toc22916077"/>
      <w:r>
        <w:rPr>
          <w:rStyle w:val="CharSectno"/>
        </w:rPr>
        <w:t>71F</w:t>
      </w:r>
      <w:r>
        <w:t>.</w:t>
      </w:r>
      <w:r>
        <w:tab/>
        <w:t>Review of decision to give notice on ground that tenant not eligible for social housing premises</w:t>
      </w:r>
      <w:bookmarkEnd w:id="221"/>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222" w:name="_Toc22916078"/>
      <w:r>
        <w:rPr>
          <w:rStyle w:val="CharSectno"/>
        </w:rPr>
        <w:t>71G</w:t>
      </w:r>
      <w:r>
        <w:t>.</w:t>
      </w:r>
      <w:r>
        <w:tab/>
        <w:t xml:space="preserve">Time </w:t>
      </w:r>
      <w:r>
        <w:rPr>
          <w:snapToGrid w:val="0"/>
        </w:rPr>
        <w:t>periods to be observed where notice of termination given under this Subdivision</w:t>
      </w:r>
      <w:bookmarkEnd w:id="222"/>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223" w:name="_Toc2153389"/>
      <w:bookmarkStart w:id="224" w:name="_Toc2160223"/>
      <w:bookmarkStart w:id="225" w:name="_Toc2160947"/>
      <w:bookmarkStart w:id="226" w:name="_Toc5621570"/>
      <w:bookmarkStart w:id="227" w:name="_Toc5632986"/>
      <w:bookmarkStart w:id="228" w:name="_Toc5719365"/>
      <w:bookmarkStart w:id="229" w:name="_Toc22915879"/>
      <w:bookmarkStart w:id="230" w:name="_Toc22916079"/>
      <w:r>
        <w:t>Subdivision 3 — Notice of termination where tenant offered alternative social housing premises</w:t>
      </w:r>
      <w:bookmarkEnd w:id="223"/>
      <w:bookmarkEnd w:id="224"/>
      <w:bookmarkEnd w:id="225"/>
      <w:bookmarkEnd w:id="226"/>
      <w:bookmarkEnd w:id="227"/>
      <w:bookmarkEnd w:id="228"/>
      <w:bookmarkEnd w:id="229"/>
      <w:bookmarkEnd w:id="230"/>
    </w:p>
    <w:p>
      <w:pPr>
        <w:pStyle w:val="Footnoteheading"/>
        <w:spacing w:before="100"/>
      </w:pPr>
      <w:r>
        <w:tab/>
        <w:t>[Heading inserted: No. 60 of 2011 s. 92.]</w:t>
      </w:r>
    </w:p>
    <w:p>
      <w:pPr>
        <w:pStyle w:val="Heading5"/>
        <w:rPr>
          <w:snapToGrid w:val="0"/>
        </w:rPr>
      </w:pPr>
      <w:bookmarkStart w:id="231" w:name="_Toc22916080"/>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3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32" w:name="_Toc22916081"/>
      <w:r>
        <w:rPr>
          <w:rStyle w:val="CharSectno"/>
        </w:rPr>
        <w:t>71I</w:t>
      </w:r>
      <w:r>
        <w:t>.</w:t>
      </w:r>
      <w:r>
        <w:tab/>
        <w:t>Review of decision to give notice on ground that tenant offered alternative social housing premises</w:t>
      </w:r>
      <w:bookmarkEnd w:id="232"/>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33" w:name="_Toc22916082"/>
      <w:r>
        <w:rPr>
          <w:rStyle w:val="CharSectno"/>
        </w:rPr>
        <w:t>71J</w:t>
      </w:r>
      <w:r>
        <w:t>.</w:t>
      </w:r>
      <w:r>
        <w:tab/>
        <w:t xml:space="preserve">Time periods to be observed </w:t>
      </w:r>
      <w:r>
        <w:rPr>
          <w:snapToGrid w:val="0"/>
        </w:rPr>
        <w:t xml:space="preserve">where notice of termination given </w:t>
      </w:r>
      <w:r>
        <w:t>under this Subdivision</w:t>
      </w:r>
      <w:bookmarkEnd w:id="233"/>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34" w:name="_Toc2153393"/>
      <w:bookmarkStart w:id="235" w:name="_Toc2160227"/>
      <w:bookmarkStart w:id="236" w:name="_Toc2160951"/>
      <w:bookmarkStart w:id="237" w:name="_Toc5621574"/>
      <w:bookmarkStart w:id="238" w:name="_Toc5632990"/>
      <w:bookmarkStart w:id="239" w:name="_Toc5719369"/>
      <w:bookmarkStart w:id="240" w:name="_Toc22915883"/>
      <w:bookmarkStart w:id="241" w:name="_Toc22916083"/>
      <w:r>
        <w:rPr>
          <w:rStyle w:val="CharDivNo"/>
        </w:rPr>
        <w:t>Division 4</w:t>
      </w:r>
      <w:r>
        <w:t> — </w:t>
      </w:r>
      <w:r>
        <w:rPr>
          <w:rStyle w:val="CharDivText"/>
        </w:rPr>
        <w:t>Orders for termination of residential tenancy agreement</w:t>
      </w:r>
      <w:bookmarkEnd w:id="234"/>
      <w:bookmarkEnd w:id="235"/>
      <w:bookmarkEnd w:id="236"/>
      <w:bookmarkEnd w:id="237"/>
      <w:bookmarkEnd w:id="238"/>
      <w:bookmarkEnd w:id="239"/>
      <w:bookmarkEnd w:id="240"/>
      <w:bookmarkEnd w:id="241"/>
    </w:p>
    <w:p>
      <w:pPr>
        <w:pStyle w:val="Footnoteheading"/>
      </w:pPr>
      <w:r>
        <w:tab/>
        <w:t>[Heading inserted: No. 60 of 2011 s. 69.]</w:t>
      </w:r>
    </w:p>
    <w:p>
      <w:pPr>
        <w:pStyle w:val="Heading5"/>
        <w:rPr>
          <w:snapToGrid w:val="0"/>
        </w:rPr>
      </w:pPr>
      <w:bookmarkStart w:id="242" w:name="_Toc22916084"/>
      <w:r>
        <w:rPr>
          <w:rStyle w:val="CharSectno"/>
        </w:rPr>
        <w:t>71</w:t>
      </w:r>
      <w:r>
        <w:rPr>
          <w:snapToGrid w:val="0"/>
        </w:rPr>
        <w:t>.</w:t>
      </w:r>
      <w:r>
        <w:rPr>
          <w:snapToGrid w:val="0"/>
        </w:rPr>
        <w:tab/>
        <w:t>Application by lessor for termination and order for possession</w:t>
      </w:r>
      <w:bookmarkEnd w:id="24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243" w:name="_Toc22916085"/>
      <w:r>
        <w:rPr>
          <w:rStyle w:val="CharSectno"/>
        </w:rPr>
        <w:t>72</w:t>
      </w:r>
      <w:r>
        <w:rPr>
          <w:snapToGrid w:val="0"/>
        </w:rPr>
        <w:t>.</w:t>
      </w:r>
      <w:r>
        <w:rPr>
          <w:snapToGrid w:val="0"/>
        </w:rPr>
        <w:tab/>
        <w:t>Application for termination and order for possession in relation to fixed term agreements</w:t>
      </w:r>
      <w:bookmarkEnd w:id="243"/>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244" w:name="_Toc22916086"/>
      <w:r>
        <w:rPr>
          <w:rStyle w:val="CharSectno"/>
        </w:rPr>
        <w:t>73A</w:t>
      </w:r>
      <w:r>
        <w:t>.</w:t>
      </w:r>
      <w:r>
        <w:tab/>
        <w:t>Notice of termination not required in certain cases</w:t>
      </w:r>
      <w:bookmarkEnd w:id="24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245" w:name="_Toc22916087"/>
      <w:r>
        <w:rPr>
          <w:rStyle w:val="CharSectno"/>
        </w:rPr>
        <w:t>73</w:t>
      </w:r>
      <w:r>
        <w:rPr>
          <w:snapToGrid w:val="0"/>
        </w:rPr>
        <w:t>.</w:t>
      </w:r>
      <w:r>
        <w:rPr>
          <w:snapToGrid w:val="0"/>
        </w:rPr>
        <w:tab/>
        <w:t>Termination of agreement where tenant causing serious damage or injury</w:t>
      </w:r>
      <w:bookmarkEnd w:id="24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w:t>
      </w:r>
    </w:p>
    <w:p>
      <w:pPr>
        <w:pStyle w:val="Heading5"/>
        <w:rPr>
          <w:snapToGrid w:val="0"/>
        </w:rPr>
      </w:pPr>
      <w:bookmarkStart w:id="246" w:name="_Toc22916088"/>
      <w:r>
        <w:rPr>
          <w:rStyle w:val="CharSectno"/>
        </w:rPr>
        <w:t>74</w:t>
      </w:r>
      <w:r>
        <w:rPr>
          <w:snapToGrid w:val="0"/>
        </w:rPr>
        <w:t>.</w:t>
      </w:r>
      <w:r>
        <w:rPr>
          <w:snapToGrid w:val="0"/>
        </w:rPr>
        <w:tab/>
        <w:t>Termination of agreement where lessor or tenant would otherwise suffer undue hardship</w:t>
      </w:r>
      <w:bookmarkEnd w:id="246"/>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247" w:name="_Toc22916089"/>
      <w:r>
        <w:rPr>
          <w:rStyle w:val="CharSectno"/>
        </w:rPr>
        <w:t>75A</w:t>
      </w:r>
      <w:r>
        <w:t>.</w:t>
      </w:r>
      <w:r>
        <w:tab/>
        <w:t>Termination of social housing tenancy agreement due to objectionable behaviour</w:t>
      </w:r>
      <w:bookmarkEnd w:id="247"/>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248" w:name="_Toc22916090"/>
      <w:r>
        <w:rPr>
          <w:rStyle w:val="CharSectno"/>
        </w:rPr>
        <w:t>75</w:t>
      </w:r>
      <w:r>
        <w:rPr>
          <w:snapToGrid w:val="0"/>
        </w:rPr>
        <w:t>.</w:t>
      </w:r>
      <w:r>
        <w:rPr>
          <w:snapToGrid w:val="0"/>
        </w:rPr>
        <w:tab/>
        <w:t>Termination of agreement for breach by lessor</w:t>
      </w:r>
      <w:bookmarkEnd w:id="24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249" w:name="_Toc22916091"/>
      <w:r>
        <w:rPr>
          <w:rStyle w:val="CharSectno"/>
        </w:rPr>
        <w:t>76A</w:t>
      </w:r>
      <w:r>
        <w:t>.</w:t>
      </w:r>
      <w:r>
        <w:tab/>
        <w:t>Termination of agreement by lessor if premises abandoned</w:t>
      </w:r>
      <w:bookmarkEnd w:id="24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250" w:name="_Toc22916092"/>
      <w:r>
        <w:rPr>
          <w:rStyle w:val="CharSectno"/>
        </w:rPr>
        <w:t>76B</w:t>
      </w:r>
      <w:r>
        <w:t>.</w:t>
      </w:r>
      <w:r>
        <w:tab/>
        <w:t>Dispute about s. 76A notice</w:t>
      </w:r>
      <w:bookmarkEnd w:id="25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251" w:name="_Toc2153403"/>
      <w:bookmarkStart w:id="252" w:name="_Toc2160237"/>
      <w:bookmarkStart w:id="253" w:name="_Toc2160961"/>
      <w:bookmarkStart w:id="254" w:name="_Toc5621584"/>
      <w:bookmarkStart w:id="255" w:name="_Toc5633000"/>
      <w:bookmarkStart w:id="256" w:name="_Toc5719379"/>
      <w:bookmarkStart w:id="257" w:name="_Toc22915893"/>
      <w:bookmarkStart w:id="258" w:name="_Toc22916093"/>
      <w:r>
        <w:rPr>
          <w:rStyle w:val="CharDivNo"/>
        </w:rPr>
        <w:t>Division 5</w:t>
      </w:r>
      <w:r>
        <w:t> — </w:t>
      </w:r>
      <w:r>
        <w:rPr>
          <w:rStyle w:val="CharDivText"/>
        </w:rPr>
        <w:t>General</w:t>
      </w:r>
      <w:bookmarkEnd w:id="251"/>
      <w:bookmarkEnd w:id="252"/>
      <w:bookmarkEnd w:id="253"/>
      <w:bookmarkEnd w:id="254"/>
      <w:bookmarkEnd w:id="255"/>
      <w:bookmarkEnd w:id="256"/>
      <w:bookmarkEnd w:id="257"/>
      <w:bookmarkEnd w:id="258"/>
    </w:p>
    <w:p>
      <w:pPr>
        <w:pStyle w:val="Footnoteheading"/>
        <w:spacing w:before="80"/>
      </w:pPr>
      <w:r>
        <w:tab/>
        <w:t>[Heading inserted: No. 60 of 2011 s. 74.]</w:t>
      </w:r>
    </w:p>
    <w:p>
      <w:pPr>
        <w:pStyle w:val="Heading5"/>
      </w:pPr>
      <w:bookmarkStart w:id="259" w:name="_Toc22916094"/>
      <w:r>
        <w:rPr>
          <w:rStyle w:val="CharSectno"/>
        </w:rPr>
        <w:t>76C</w:t>
      </w:r>
      <w:r>
        <w:t>.</w:t>
      </w:r>
      <w:r>
        <w:tab/>
        <w:t>Fixed term tenancies continued as periodic tenancies</w:t>
      </w:r>
      <w:bookmarkEnd w:id="259"/>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260" w:name="_Toc22916095"/>
      <w:r>
        <w:rPr>
          <w:rStyle w:val="CharSectno"/>
        </w:rPr>
        <w:t>76</w:t>
      </w:r>
      <w:r>
        <w:rPr>
          <w:snapToGrid w:val="0"/>
        </w:rPr>
        <w:t>.</w:t>
      </w:r>
      <w:r>
        <w:rPr>
          <w:snapToGrid w:val="0"/>
        </w:rPr>
        <w:tab/>
        <w:t>Compensation to lessor for holding over</w:t>
      </w:r>
      <w:bookmarkEnd w:id="260"/>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261" w:name="_Toc22916096"/>
      <w:r>
        <w:rPr>
          <w:rStyle w:val="CharSectno"/>
        </w:rPr>
        <w:t>77</w:t>
      </w:r>
      <w:r>
        <w:t>.</w:t>
      </w:r>
      <w:r>
        <w:tab/>
        <w:t>Abandonment of premises</w:t>
      </w:r>
      <w:bookmarkEnd w:id="261"/>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262" w:name="_Toc22916097"/>
      <w:r>
        <w:rPr>
          <w:rStyle w:val="CharSectno"/>
        </w:rPr>
        <w:t>78A</w:t>
      </w:r>
      <w:r>
        <w:t>.</w:t>
      </w:r>
      <w:r>
        <w:tab/>
        <w:t>Order about abandonment</w:t>
      </w:r>
      <w:bookmarkEnd w:id="262"/>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263" w:name="_Toc22916098"/>
      <w:r>
        <w:rPr>
          <w:rStyle w:val="CharSectno"/>
        </w:rPr>
        <w:t>78B</w:t>
      </w:r>
      <w:r>
        <w:t>.</w:t>
      </w:r>
      <w:r>
        <w:tab/>
        <w:t>Review of abandonment order</w:t>
      </w:r>
      <w:bookmarkEnd w:id="263"/>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264" w:name="_Toc22916099"/>
      <w:r>
        <w:rPr>
          <w:rStyle w:val="CharSectno"/>
        </w:rPr>
        <w:t>78</w:t>
      </w:r>
      <w:r>
        <w:rPr>
          <w:snapToGrid w:val="0"/>
        </w:rPr>
        <w:t>.</w:t>
      </w:r>
      <w:r>
        <w:rPr>
          <w:snapToGrid w:val="0"/>
        </w:rPr>
        <w:tab/>
      </w:r>
      <w:r>
        <w:rPr>
          <w:bCs/>
        </w:rPr>
        <w:t>Right of lessor to compensation where tenant abandons premises</w:t>
      </w:r>
      <w:bookmarkEnd w:id="264"/>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265" w:name="_Toc22916100"/>
      <w:r>
        <w:rPr>
          <w:rStyle w:val="CharSectno"/>
        </w:rPr>
        <w:t>79</w:t>
      </w:r>
      <w:r>
        <w:rPr>
          <w:snapToGrid w:val="0"/>
        </w:rPr>
        <w:t>.</w:t>
      </w:r>
      <w:r>
        <w:rPr>
          <w:snapToGrid w:val="0"/>
        </w:rPr>
        <w:tab/>
        <w:t>Abandoned goods</w:t>
      </w:r>
      <w:bookmarkEnd w:id="26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266" w:name="_Toc22916101"/>
      <w:r>
        <w:rPr>
          <w:rStyle w:val="CharSectno"/>
        </w:rPr>
        <w:t>80A</w:t>
      </w:r>
      <w:r>
        <w:t>.</w:t>
      </w:r>
      <w:r>
        <w:tab/>
        <w:t>Abandoned documents</w:t>
      </w:r>
      <w:bookmarkEnd w:id="266"/>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267" w:name="_Toc22916102"/>
      <w:r>
        <w:rPr>
          <w:rStyle w:val="CharSectno"/>
        </w:rPr>
        <w:t>80</w:t>
      </w:r>
      <w:r>
        <w:rPr>
          <w:snapToGrid w:val="0"/>
        </w:rPr>
        <w:t>.</w:t>
      </w:r>
      <w:r>
        <w:rPr>
          <w:snapToGrid w:val="0"/>
        </w:rPr>
        <w:tab/>
        <w:t>Recovery of possession of premises prohibited except by court order</w:t>
      </w:r>
      <w:bookmarkEnd w:id="267"/>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268" w:name="_Toc22916103"/>
      <w:r>
        <w:rPr>
          <w:rStyle w:val="CharSectno"/>
        </w:rPr>
        <w:t>81A</w:t>
      </w:r>
      <w:r>
        <w:t>.</w:t>
      </w:r>
      <w:r>
        <w:tab/>
        <w:t>Mortgagee repossessions of rented properties</w:t>
      </w:r>
      <w:bookmarkEnd w:id="268"/>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269" w:name="_Toc22916104"/>
      <w:r>
        <w:rPr>
          <w:rStyle w:val="CharSectno"/>
        </w:rPr>
        <w:t>81B</w:t>
      </w:r>
      <w:r>
        <w:t>.</w:t>
      </w:r>
      <w:r>
        <w:tab/>
        <w:t>Notice of proposed recovery of premises by person with superior title</w:t>
      </w:r>
      <w:bookmarkEnd w:id="269"/>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270" w:name="_Toc22916105"/>
      <w:r>
        <w:rPr>
          <w:rStyle w:val="CharSectno"/>
        </w:rPr>
        <w:t>81</w:t>
      </w:r>
      <w:r>
        <w:t>.</w:t>
      </w:r>
      <w:r>
        <w:tab/>
        <w:t>Order for tenancy against person with superior title</w:t>
      </w:r>
      <w:bookmarkEnd w:id="270"/>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271" w:name="_Toc2153416"/>
      <w:bookmarkStart w:id="272" w:name="_Toc2160250"/>
      <w:bookmarkStart w:id="273" w:name="_Toc2160974"/>
      <w:bookmarkStart w:id="274" w:name="_Toc5621597"/>
      <w:bookmarkStart w:id="275" w:name="_Toc5633013"/>
      <w:bookmarkStart w:id="276" w:name="_Toc5719392"/>
      <w:bookmarkStart w:id="277" w:name="_Toc22915906"/>
      <w:bookmarkStart w:id="278" w:name="_Toc22916106"/>
      <w:r>
        <w:rPr>
          <w:rStyle w:val="CharPartNo"/>
        </w:rPr>
        <w:t>Part VIA</w:t>
      </w:r>
      <w:r>
        <w:t> — </w:t>
      </w:r>
      <w:r>
        <w:rPr>
          <w:rStyle w:val="CharPartText"/>
        </w:rPr>
        <w:t>Residential tenancy databases</w:t>
      </w:r>
      <w:bookmarkEnd w:id="271"/>
      <w:bookmarkEnd w:id="272"/>
      <w:bookmarkEnd w:id="273"/>
      <w:bookmarkEnd w:id="274"/>
      <w:bookmarkEnd w:id="275"/>
      <w:bookmarkEnd w:id="276"/>
      <w:bookmarkEnd w:id="277"/>
      <w:bookmarkEnd w:id="278"/>
    </w:p>
    <w:p>
      <w:pPr>
        <w:pStyle w:val="Footnoteheading"/>
      </w:pPr>
      <w:r>
        <w:tab/>
        <w:t xml:space="preserve">[Heading inserted: No. 60 of 2011 s. 96.] </w:t>
      </w:r>
    </w:p>
    <w:p>
      <w:pPr>
        <w:pStyle w:val="Heading3"/>
      </w:pPr>
      <w:bookmarkStart w:id="279" w:name="_Toc2153417"/>
      <w:bookmarkStart w:id="280" w:name="_Toc2160251"/>
      <w:bookmarkStart w:id="281" w:name="_Toc2160975"/>
      <w:bookmarkStart w:id="282" w:name="_Toc5621598"/>
      <w:bookmarkStart w:id="283" w:name="_Toc5633014"/>
      <w:bookmarkStart w:id="284" w:name="_Toc5719393"/>
      <w:bookmarkStart w:id="285" w:name="_Toc22915907"/>
      <w:bookmarkStart w:id="286" w:name="_Toc22916107"/>
      <w:r>
        <w:rPr>
          <w:rStyle w:val="CharDivNo"/>
        </w:rPr>
        <w:t>Division 1</w:t>
      </w:r>
      <w:r>
        <w:t> — </w:t>
      </w:r>
      <w:r>
        <w:rPr>
          <w:rStyle w:val="CharDivText"/>
        </w:rPr>
        <w:t>Preliminary</w:t>
      </w:r>
      <w:bookmarkEnd w:id="279"/>
      <w:bookmarkEnd w:id="280"/>
      <w:bookmarkEnd w:id="281"/>
      <w:bookmarkEnd w:id="282"/>
      <w:bookmarkEnd w:id="283"/>
      <w:bookmarkEnd w:id="284"/>
      <w:bookmarkEnd w:id="285"/>
      <w:bookmarkEnd w:id="286"/>
    </w:p>
    <w:p>
      <w:pPr>
        <w:pStyle w:val="Footnoteheading"/>
      </w:pPr>
      <w:r>
        <w:tab/>
        <w:t xml:space="preserve">[Heading inserted: No. 60 of 2011 s. 96.] </w:t>
      </w:r>
    </w:p>
    <w:p>
      <w:pPr>
        <w:pStyle w:val="Heading5"/>
      </w:pPr>
      <w:bookmarkStart w:id="287" w:name="_Toc22916108"/>
      <w:r>
        <w:rPr>
          <w:rStyle w:val="CharSectno"/>
        </w:rPr>
        <w:t>82A</w:t>
      </w:r>
      <w:r>
        <w:t>.</w:t>
      </w:r>
      <w:r>
        <w:tab/>
        <w:t>Terms used</w:t>
      </w:r>
      <w:bookmarkEnd w:id="287"/>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288" w:name="_Toc22916109"/>
      <w:r>
        <w:rPr>
          <w:rStyle w:val="CharSectno"/>
        </w:rPr>
        <w:t>82B</w:t>
      </w:r>
      <w:r>
        <w:t>.</w:t>
      </w:r>
      <w:r>
        <w:tab/>
        <w:t>Application of Part</w:t>
      </w:r>
      <w:bookmarkEnd w:id="288"/>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No. 60 of 2011 s. 96.] </w:t>
      </w:r>
    </w:p>
    <w:p>
      <w:pPr>
        <w:pStyle w:val="Heading3"/>
      </w:pPr>
      <w:bookmarkStart w:id="289" w:name="_Toc2153420"/>
      <w:bookmarkStart w:id="290" w:name="_Toc2160254"/>
      <w:bookmarkStart w:id="291" w:name="_Toc2160978"/>
      <w:bookmarkStart w:id="292" w:name="_Toc5621601"/>
      <w:bookmarkStart w:id="293" w:name="_Toc5633017"/>
      <w:bookmarkStart w:id="294" w:name="_Toc5719396"/>
      <w:bookmarkStart w:id="295" w:name="_Toc22915910"/>
      <w:bookmarkStart w:id="296" w:name="_Toc22916110"/>
      <w:r>
        <w:rPr>
          <w:rStyle w:val="CharDivNo"/>
        </w:rPr>
        <w:t>Division 2</w:t>
      </w:r>
      <w:r>
        <w:t> — </w:t>
      </w:r>
      <w:r>
        <w:rPr>
          <w:rStyle w:val="CharDivText"/>
        </w:rPr>
        <w:t>Tenancy database information</w:t>
      </w:r>
      <w:bookmarkEnd w:id="289"/>
      <w:bookmarkEnd w:id="290"/>
      <w:bookmarkEnd w:id="291"/>
      <w:bookmarkEnd w:id="292"/>
      <w:bookmarkEnd w:id="293"/>
      <w:bookmarkEnd w:id="294"/>
      <w:bookmarkEnd w:id="295"/>
      <w:bookmarkEnd w:id="296"/>
    </w:p>
    <w:p>
      <w:pPr>
        <w:pStyle w:val="Footnoteheading"/>
        <w:spacing w:before="100"/>
      </w:pPr>
      <w:r>
        <w:tab/>
        <w:t xml:space="preserve">[Heading inserted: No. 60 of 2011 s. 96.] </w:t>
      </w:r>
    </w:p>
    <w:p>
      <w:pPr>
        <w:pStyle w:val="Heading5"/>
      </w:pPr>
      <w:bookmarkStart w:id="297" w:name="_Toc22916111"/>
      <w:r>
        <w:rPr>
          <w:rStyle w:val="CharSectno"/>
        </w:rPr>
        <w:t>82C</w:t>
      </w:r>
      <w:r>
        <w:t>.</w:t>
      </w:r>
      <w:r>
        <w:tab/>
        <w:t>Notice of usual use of database</w:t>
      </w:r>
      <w:bookmarkEnd w:id="297"/>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298" w:name="_Toc22916112"/>
      <w:r>
        <w:rPr>
          <w:rStyle w:val="CharSectno"/>
        </w:rPr>
        <w:t>82D</w:t>
      </w:r>
      <w:r>
        <w:t>.</w:t>
      </w:r>
      <w:r>
        <w:tab/>
        <w:t>Notice of listing if database used</w:t>
      </w:r>
      <w:bookmarkEnd w:id="298"/>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299" w:name="_Toc22916113"/>
      <w:r>
        <w:rPr>
          <w:rStyle w:val="CharSectno"/>
        </w:rPr>
        <w:t>82E</w:t>
      </w:r>
      <w:r>
        <w:t>.</w:t>
      </w:r>
      <w:r>
        <w:tab/>
        <w:t>Listing can be made only for particular breaches by particular persons</w:t>
      </w:r>
      <w:bookmarkEnd w:id="299"/>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w:t>
      </w:r>
    </w:p>
    <w:p>
      <w:pPr>
        <w:pStyle w:val="Heading5"/>
      </w:pPr>
      <w:bookmarkStart w:id="300" w:name="_Toc22916114"/>
      <w:r>
        <w:rPr>
          <w:rStyle w:val="CharSectno"/>
        </w:rPr>
        <w:t>82F</w:t>
      </w:r>
      <w:r>
        <w:t>.</w:t>
      </w:r>
      <w:r>
        <w:tab/>
        <w:t>Further restriction on listing</w:t>
      </w:r>
      <w:bookmarkEnd w:id="300"/>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301" w:name="_Toc22916115"/>
      <w:r>
        <w:rPr>
          <w:rStyle w:val="CharSectno"/>
        </w:rPr>
        <w:t>82G</w:t>
      </w:r>
      <w:r>
        <w:t>.</w:t>
      </w:r>
      <w:r>
        <w:tab/>
        <w:t>Ensuring quality of listing — lessor’s or agent’s obligation</w:t>
      </w:r>
      <w:bookmarkEnd w:id="301"/>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302" w:name="_Toc22916116"/>
      <w:r>
        <w:rPr>
          <w:rStyle w:val="CharSectno"/>
        </w:rPr>
        <w:t>82H</w:t>
      </w:r>
      <w:r>
        <w:t>.</w:t>
      </w:r>
      <w:r>
        <w:tab/>
        <w:t>Ensuring quality of listing — database operator’s obligation</w:t>
      </w:r>
      <w:bookmarkEnd w:id="302"/>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303" w:name="_Toc22916117"/>
      <w:r>
        <w:rPr>
          <w:rStyle w:val="CharSectno"/>
        </w:rPr>
        <w:t>82I</w:t>
      </w:r>
      <w:r>
        <w:t>.</w:t>
      </w:r>
      <w:r>
        <w:tab/>
        <w:t>Providing copy of personal information listed</w:t>
      </w:r>
      <w:bookmarkEnd w:id="303"/>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304" w:name="_Toc22916118"/>
      <w:r>
        <w:rPr>
          <w:rStyle w:val="CharSectno"/>
        </w:rPr>
        <w:t>82J</w:t>
      </w:r>
      <w:r>
        <w:t>.</w:t>
      </w:r>
      <w:r>
        <w:tab/>
        <w:t>Disputes about listings</w:t>
      </w:r>
      <w:bookmarkEnd w:id="30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305" w:name="_Toc22916119"/>
      <w:r>
        <w:rPr>
          <w:rStyle w:val="CharSectno"/>
        </w:rPr>
        <w:t>82K</w:t>
      </w:r>
      <w:r>
        <w:t>.</w:t>
      </w:r>
      <w:r>
        <w:tab/>
        <w:t>Keeping personal information listed</w:t>
      </w:r>
      <w:bookmarkEnd w:id="305"/>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306" w:name="_Toc2153430"/>
      <w:bookmarkStart w:id="307" w:name="_Toc2160264"/>
      <w:bookmarkStart w:id="308" w:name="_Toc2160988"/>
      <w:bookmarkStart w:id="309" w:name="_Toc5621611"/>
      <w:bookmarkStart w:id="310" w:name="_Toc5633027"/>
      <w:bookmarkStart w:id="311" w:name="_Toc5719406"/>
      <w:bookmarkStart w:id="312" w:name="_Toc22915920"/>
      <w:bookmarkStart w:id="313" w:name="_Toc22916120"/>
      <w:r>
        <w:rPr>
          <w:rStyle w:val="CharPartNo"/>
        </w:rPr>
        <w:t>Part VI</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p>
    <w:p>
      <w:pPr>
        <w:pStyle w:val="Heading5"/>
        <w:spacing w:before="200"/>
        <w:rPr>
          <w:snapToGrid w:val="0"/>
        </w:rPr>
      </w:pPr>
      <w:bookmarkStart w:id="314" w:name="_Toc22916121"/>
      <w:r>
        <w:rPr>
          <w:rStyle w:val="CharSectno"/>
        </w:rPr>
        <w:t>82</w:t>
      </w:r>
      <w:r>
        <w:rPr>
          <w:snapToGrid w:val="0"/>
        </w:rPr>
        <w:t>.</w:t>
      </w:r>
      <w:r>
        <w:rPr>
          <w:snapToGrid w:val="0"/>
        </w:rPr>
        <w:tab/>
        <w:t>Contracting out</w:t>
      </w:r>
      <w:bookmarkEnd w:id="314"/>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315" w:name="_Toc22916122"/>
      <w:r>
        <w:rPr>
          <w:rStyle w:val="CharSectno"/>
        </w:rPr>
        <w:t>83</w:t>
      </w:r>
      <w:r>
        <w:rPr>
          <w:snapToGrid w:val="0"/>
        </w:rPr>
        <w:t>.</w:t>
      </w:r>
      <w:r>
        <w:rPr>
          <w:snapToGrid w:val="0"/>
        </w:rPr>
        <w:tab/>
        <w:t>Recovery of amounts paid under mistake of law or fact</w:t>
      </w:r>
      <w:bookmarkEnd w:id="31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316" w:name="_Toc22916123"/>
      <w:r>
        <w:rPr>
          <w:rStyle w:val="CharSectno"/>
        </w:rPr>
        <w:t>84</w:t>
      </w:r>
      <w:r>
        <w:rPr>
          <w:snapToGrid w:val="0"/>
        </w:rPr>
        <w:t>.</w:t>
      </w:r>
      <w:r>
        <w:rPr>
          <w:snapToGrid w:val="0"/>
        </w:rPr>
        <w:tab/>
        <w:t>Exemption of tenancy agreement or premises from provision of Act</w:t>
      </w:r>
      <w:bookmarkEnd w:id="316"/>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317" w:name="_Toc22916124"/>
      <w:r>
        <w:rPr>
          <w:rStyle w:val="CharSectno"/>
        </w:rPr>
        <w:t>85</w:t>
      </w:r>
      <w:r>
        <w:rPr>
          <w:snapToGrid w:val="0"/>
        </w:rPr>
        <w:t>.</w:t>
      </w:r>
      <w:r>
        <w:rPr>
          <w:snapToGrid w:val="0"/>
        </w:rPr>
        <w:tab/>
        <w:t>Service</w:t>
      </w:r>
      <w:bookmarkEnd w:id="31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318" w:name="_Toc22916125"/>
      <w:r>
        <w:rPr>
          <w:rStyle w:val="CharSectno"/>
        </w:rPr>
        <w:t>86</w:t>
      </w:r>
      <w:r>
        <w:t>.</w:t>
      </w:r>
      <w:r>
        <w:tab/>
        <w:t>Court may refer matter to Commissioner for investigation</w:t>
      </w:r>
      <w:bookmarkEnd w:id="31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319" w:name="_Toc22916126"/>
      <w:r>
        <w:rPr>
          <w:rStyle w:val="CharSectno"/>
        </w:rPr>
        <w:t>87A</w:t>
      </w:r>
      <w:r>
        <w:t>.</w:t>
      </w:r>
      <w:r>
        <w:tab/>
        <w:t>Defence where lessor and property manager are both charged with the same offence</w:t>
      </w:r>
      <w:bookmarkEnd w:id="31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320" w:name="_Toc22916127"/>
      <w:r>
        <w:rPr>
          <w:rStyle w:val="CharSectno"/>
        </w:rPr>
        <w:t>87</w:t>
      </w:r>
      <w:r>
        <w:rPr>
          <w:snapToGrid w:val="0"/>
        </w:rPr>
        <w:t>.</w:t>
      </w:r>
      <w:r>
        <w:rPr>
          <w:snapToGrid w:val="0"/>
        </w:rPr>
        <w:tab/>
        <w:t>Time for bringing proceedings</w:t>
      </w:r>
      <w:bookmarkEnd w:id="32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21" w:name="_Toc22916128"/>
      <w:r>
        <w:rPr>
          <w:rStyle w:val="CharSectno"/>
        </w:rPr>
        <w:t>88A</w:t>
      </w:r>
      <w:r>
        <w:t>.</w:t>
      </w:r>
      <w:r>
        <w:tab/>
        <w:t>Infringement notices</w:t>
      </w:r>
      <w:bookmarkEnd w:id="321"/>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322" w:name="_Toc22916129"/>
      <w:r>
        <w:rPr>
          <w:rStyle w:val="CharSectno"/>
        </w:rPr>
        <w:t>88B</w:t>
      </w:r>
      <w:r>
        <w:t>.</w:t>
      </w:r>
      <w:r>
        <w:tab/>
        <w:t>Cross</w:t>
      </w:r>
      <w:r>
        <w:noBreakHyphen/>
        <w:t>examination of persons in proceedings involving family violence</w:t>
      </w:r>
      <w:bookmarkEnd w:id="322"/>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323" w:name="_Toc22916130"/>
      <w:r>
        <w:rPr>
          <w:rStyle w:val="CharSectno"/>
        </w:rPr>
        <w:t>88</w:t>
      </w:r>
      <w:r>
        <w:rPr>
          <w:snapToGrid w:val="0"/>
        </w:rPr>
        <w:t>.</w:t>
      </w:r>
      <w:r>
        <w:rPr>
          <w:snapToGrid w:val="0"/>
        </w:rPr>
        <w:tab/>
        <w:t>Regulations</w:t>
      </w:r>
      <w:bookmarkEnd w:id="3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324" w:name="_Toc22916131"/>
      <w:r>
        <w:rPr>
          <w:rStyle w:val="CharSectno"/>
        </w:rPr>
        <w:t>90</w:t>
      </w:r>
      <w:r>
        <w:rPr>
          <w:snapToGrid w:val="0"/>
        </w:rPr>
        <w:t>.</w:t>
      </w:r>
      <w:r>
        <w:rPr>
          <w:snapToGrid w:val="0"/>
        </w:rPr>
        <w:tab/>
        <w:t>Review of Act</w:t>
      </w:r>
      <w:bookmarkEnd w:id="3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325" w:name="_Toc2153441"/>
      <w:bookmarkStart w:id="326" w:name="_Toc2160275"/>
      <w:bookmarkStart w:id="327" w:name="_Toc2160999"/>
      <w:bookmarkStart w:id="328" w:name="_Toc5621622"/>
      <w:bookmarkStart w:id="329" w:name="_Toc5633039"/>
      <w:bookmarkStart w:id="330" w:name="_Toc5719418"/>
      <w:bookmarkStart w:id="331" w:name="_Toc22915932"/>
      <w:bookmarkStart w:id="332" w:name="_Toc22916132"/>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25"/>
      <w:bookmarkEnd w:id="326"/>
      <w:bookmarkEnd w:id="327"/>
      <w:bookmarkEnd w:id="328"/>
      <w:bookmarkEnd w:id="329"/>
      <w:bookmarkEnd w:id="330"/>
      <w:bookmarkEnd w:id="331"/>
      <w:bookmarkEnd w:id="332"/>
    </w:p>
    <w:p>
      <w:pPr>
        <w:pStyle w:val="Footnoteheading"/>
      </w:pPr>
      <w:r>
        <w:tab/>
        <w:t xml:space="preserve">[Heading inserted: No. 60 of 2011 s. 86.] </w:t>
      </w:r>
    </w:p>
    <w:p>
      <w:pPr>
        <w:pStyle w:val="Heading3"/>
      </w:pPr>
      <w:bookmarkStart w:id="333" w:name="_Toc2153442"/>
      <w:bookmarkStart w:id="334" w:name="_Toc2160276"/>
      <w:bookmarkStart w:id="335" w:name="_Toc2161000"/>
      <w:bookmarkStart w:id="336" w:name="_Toc5621623"/>
      <w:bookmarkStart w:id="337" w:name="_Toc5633040"/>
      <w:bookmarkStart w:id="338" w:name="_Toc5719419"/>
      <w:bookmarkStart w:id="339" w:name="_Toc22915933"/>
      <w:bookmarkStart w:id="340" w:name="_Toc22916133"/>
      <w:r>
        <w:rPr>
          <w:rStyle w:val="CharDivNo"/>
        </w:rPr>
        <w:t>Division 1</w:t>
      </w:r>
      <w:r>
        <w:t> — </w:t>
      </w:r>
      <w:r>
        <w:rPr>
          <w:rStyle w:val="CharDivText"/>
        </w:rPr>
        <w:t>Contracting out</w:t>
      </w:r>
      <w:bookmarkEnd w:id="333"/>
      <w:bookmarkEnd w:id="334"/>
      <w:bookmarkEnd w:id="335"/>
      <w:bookmarkEnd w:id="336"/>
      <w:bookmarkEnd w:id="337"/>
      <w:bookmarkEnd w:id="338"/>
      <w:bookmarkEnd w:id="339"/>
      <w:bookmarkEnd w:id="340"/>
    </w:p>
    <w:p>
      <w:pPr>
        <w:pStyle w:val="Footnoteheading"/>
      </w:pPr>
      <w:r>
        <w:tab/>
        <w:t xml:space="preserve">[Heading inserted: No. 60 of 2011 s. 86.] </w:t>
      </w:r>
    </w:p>
    <w:p>
      <w:pPr>
        <w:pStyle w:val="Heading5"/>
      </w:pPr>
      <w:bookmarkStart w:id="341" w:name="_Toc22916134"/>
      <w:r>
        <w:rPr>
          <w:rStyle w:val="CharSectno"/>
        </w:rPr>
        <w:t>91</w:t>
      </w:r>
      <w:r>
        <w:t>.</w:t>
      </w:r>
      <w:r>
        <w:tab/>
        <w:t>Savings in relation to contracting out of standard terms</w:t>
      </w:r>
      <w:bookmarkEnd w:id="34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342" w:name="_Toc2153444"/>
      <w:bookmarkStart w:id="343" w:name="_Toc2160278"/>
      <w:bookmarkStart w:id="344" w:name="_Toc2161002"/>
      <w:bookmarkStart w:id="345" w:name="_Toc5621625"/>
      <w:bookmarkStart w:id="346" w:name="_Toc5633042"/>
      <w:bookmarkStart w:id="347" w:name="_Toc5719421"/>
      <w:bookmarkStart w:id="348" w:name="_Toc22915935"/>
      <w:bookmarkStart w:id="349" w:name="_Toc22916135"/>
      <w:r>
        <w:rPr>
          <w:rStyle w:val="CharDivNo"/>
        </w:rPr>
        <w:t>Division 2</w:t>
      </w:r>
      <w:r>
        <w:t> — </w:t>
      </w:r>
      <w:r>
        <w:rPr>
          <w:rStyle w:val="CharDivText"/>
        </w:rPr>
        <w:t>Security bonds held in AFI</w:t>
      </w:r>
      <w:bookmarkEnd w:id="342"/>
      <w:bookmarkEnd w:id="343"/>
      <w:bookmarkEnd w:id="344"/>
      <w:bookmarkEnd w:id="345"/>
      <w:bookmarkEnd w:id="346"/>
      <w:bookmarkEnd w:id="347"/>
      <w:bookmarkEnd w:id="348"/>
      <w:bookmarkEnd w:id="349"/>
    </w:p>
    <w:p>
      <w:pPr>
        <w:pStyle w:val="Footnoteheading"/>
      </w:pPr>
      <w:r>
        <w:tab/>
        <w:t xml:space="preserve">[Heading inserted: No. 60 of 2011 s. 86.] </w:t>
      </w:r>
    </w:p>
    <w:p>
      <w:pPr>
        <w:pStyle w:val="Heading5"/>
      </w:pPr>
      <w:bookmarkStart w:id="350" w:name="_Toc22916136"/>
      <w:r>
        <w:rPr>
          <w:rStyle w:val="CharSectno"/>
        </w:rPr>
        <w:t>92</w:t>
      </w:r>
      <w:r>
        <w:t>.</w:t>
      </w:r>
      <w:r>
        <w:tab/>
        <w:t>Terms used</w:t>
      </w:r>
      <w:bookmarkEnd w:id="350"/>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351" w:name="_Toc22916137"/>
      <w:r>
        <w:rPr>
          <w:rStyle w:val="CharSectno"/>
        </w:rPr>
        <w:t>93</w:t>
      </w:r>
      <w:r>
        <w:t>.</w:t>
      </w:r>
      <w:r>
        <w:tab/>
        <w:t>All security bonds to be transferred to bond administrator after renewal of agreement or within 18 months</w:t>
      </w:r>
      <w:bookmarkEnd w:id="351"/>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352" w:name="_Toc22916138"/>
      <w:r>
        <w:rPr>
          <w:rStyle w:val="CharSectno"/>
        </w:rPr>
        <w:t>94</w:t>
      </w:r>
      <w:r>
        <w:t>.</w:t>
      </w:r>
      <w:r>
        <w:tab/>
        <w:t>Requirements for AFI holding security bonds</w:t>
      </w:r>
      <w:bookmarkEnd w:id="352"/>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353" w:name="_Toc22916139"/>
      <w:r>
        <w:rPr>
          <w:rStyle w:val="CharSectno"/>
        </w:rPr>
        <w:t>95</w:t>
      </w:r>
      <w:r>
        <w:t>.</w:t>
      </w:r>
      <w:r>
        <w:tab/>
        <w:t>Power of Commissioner to obtain information relating to AFI security bond accounts</w:t>
      </w:r>
      <w:bookmarkEnd w:id="353"/>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354" w:name="_Toc22916140"/>
      <w:r>
        <w:rPr>
          <w:rStyle w:val="CharSectno"/>
        </w:rPr>
        <w:t>96</w:t>
      </w:r>
      <w:r>
        <w:t>.</w:t>
      </w:r>
      <w:r>
        <w:tab/>
        <w:t>Disposal of security bond held in AFIs</w:t>
      </w:r>
      <w:bookmarkEnd w:id="354"/>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355" w:name="_Toc2153450"/>
      <w:bookmarkStart w:id="356" w:name="_Toc2160284"/>
      <w:bookmarkStart w:id="357" w:name="_Toc2161008"/>
      <w:bookmarkStart w:id="358" w:name="_Toc5621631"/>
      <w:bookmarkStart w:id="359" w:name="_Toc5633048"/>
      <w:bookmarkStart w:id="360" w:name="_Toc5719427"/>
      <w:bookmarkStart w:id="361" w:name="_Toc22915941"/>
      <w:bookmarkStart w:id="362" w:name="_Toc22916141"/>
      <w:r>
        <w:rPr>
          <w:rStyle w:val="CharDivNo"/>
        </w:rPr>
        <w:t>Division 3</w:t>
      </w:r>
      <w:r>
        <w:t> — </w:t>
      </w:r>
      <w:r>
        <w:rPr>
          <w:rStyle w:val="CharDivText"/>
        </w:rPr>
        <w:t>Residential tenancy databases</w:t>
      </w:r>
      <w:bookmarkEnd w:id="355"/>
      <w:bookmarkEnd w:id="356"/>
      <w:bookmarkEnd w:id="357"/>
      <w:bookmarkEnd w:id="358"/>
      <w:bookmarkEnd w:id="359"/>
      <w:bookmarkEnd w:id="360"/>
      <w:bookmarkEnd w:id="361"/>
      <w:bookmarkEnd w:id="362"/>
    </w:p>
    <w:p>
      <w:pPr>
        <w:pStyle w:val="Footnoteheading"/>
        <w:keepNext/>
      </w:pPr>
      <w:r>
        <w:tab/>
        <w:t xml:space="preserve">[Heading inserted: No. 60 of 2011 s. 86.] </w:t>
      </w:r>
    </w:p>
    <w:p>
      <w:pPr>
        <w:pStyle w:val="Heading5"/>
      </w:pPr>
      <w:bookmarkStart w:id="363" w:name="_Toc22916142"/>
      <w:r>
        <w:rPr>
          <w:rStyle w:val="CharSectno"/>
        </w:rPr>
        <w:t>97</w:t>
      </w:r>
      <w:r>
        <w:t>.</w:t>
      </w:r>
      <w:r>
        <w:tab/>
        <w:t>Application of Part VIA to listings existing before commencement day</w:t>
      </w:r>
      <w:bookmarkEnd w:id="36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64" w:name="_Toc2153452"/>
      <w:bookmarkStart w:id="365" w:name="_Toc2160286"/>
      <w:bookmarkStart w:id="366" w:name="_Toc2161010"/>
      <w:bookmarkStart w:id="367" w:name="_Toc5621633"/>
      <w:bookmarkStart w:id="368" w:name="_Toc5633050"/>
      <w:bookmarkStart w:id="369" w:name="_Toc5719429"/>
      <w:bookmarkStart w:id="370" w:name="_Toc22915943"/>
      <w:bookmarkStart w:id="371" w:name="_Toc22916143"/>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64"/>
      <w:bookmarkEnd w:id="365"/>
      <w:bookmarkEnd w:id="366"/>
      <w:bookmarkEnd w:id="367"/>
      <w:bookmarkEnd w:id="368"/>
      <w:bookmarkEnd w:id="369"/>
      <w:bookmarkEnd w:id="370"/>
      <w:bookmarkEnd w:id="371"/>
    </w:p>
    <w:p>
      <w:pPr>
        <w:pStyle w:val="yShoulderClause"/>
      </w:pPr>
      <w:r>
        <w:t>[s. 3, 7(3), 12, 29(4), (7), (8), 59D(6), 79(5), (6), (11) and 80A(8)]</w:t>
      </w:r>
    </w:p>
    <w:p>
      <w:pPr>
        <w:pStyle w:val="yFootnoteheading"/>
      </w:pPr>
      <w:r>
        <w:tab/>
        <w:t xml:space="preserve">[Heading inserted: No. 60 of 2011 s. 87(1).] </w:t>
      </w:r>
    </w:p>
    <w:p>
      <w:pPr>
        <w:pStyle w:val="yHeading3"/>
      </w:pPr>
      <w:bookmarkStart w:id="372" w:name="_Toc2153453"/>
      <w:bookmarkStart w:id="373" w:name="_Toc2160287"/>
      <w:bookmarkStart w:id="374" w:name="_Toc2161011"/>
      <w:bookmarkStart w:id="375" w:name="_Toc5621634"/>
      <w:bookmarkStart w:id="376" w:name="_Toc5633051"/>
      <w:bookmarkStart w:id="377" w:name="_Toc5719430"/>
      <w:bookmarkStart w:id="378" w:name="_Toc22915944"/>
      <w:bookmarkStart w:id="379" w:name="_Toc22916144"/>
      <w:r>
        <w:rPr>
          <w:rStyle w:val="CharSDivNo"/>
        </w:rPr>
        <w:t>Division 1</w:t>
      </w:r>
      <w:r>
        <w:t> — </w:t>
      </w:r>
      <w:r>
        <w:rPr>
          <w:rStyle w:val="CharSDivText"/>
        </w:rPr>
        <w:t>General</w:t>
      </w:r>
      <w:bookmarkEnd w:id="372"/>
      <w:bookmarkEnd w:id="373"/>
      <w:bookmarkEnd w:id="374"/>
      <w:bookmarkEnd w:id="375"/>
      <w:bookmarkEnd w:id="376"/>
      <w:bookmarkEnd w:id="377"/>
      <w:bookmarkEnd w:id="378"/>
      <w:bookmarkEnd w:id="379"/>
    </w:p>
    <w:p>
      <w:pPr>
        <w:pStyle w:val="yFootnoteheading"/>
      </w:pPr>
      <w:r>
        <w:tab/>
        <w:t>[Heading inserted: No. 60 of 2011 s. 87(2).]</w:t>
      </w:r>
    </w:p>
    <w:p>
      <w:pPr>
        <w:pStyle w:val="yHeading5"/>
        <w:rPr>
          <w:snapToGrid w:val="0"/>
        </w:rPr>
      </w:pPr>
      <w:bookmarkStart w:id="380" w:name="_Toc22916145"/>
      <w:r>
        <w:rPr>
          <w:rStyle w:val="CharSClsNo"/>
        </w:rPr>
        <w:t>1</w:t>
      </w:r>
      <w:r>
        <w:rPr>
          <w:snapToGrid w:val="0"/>
        </w:rPr>
        <w:t>.</w:t>
      </w:r>
      <w:r>
        <w:rPr>
          <w:snapToGrid w:val="0"/>
        </w:rPr>
        <w:tab/>
      </w:r>
      <w:r>
        <w:t>Term</w:t>
      </w:r>
      <w:r>
        <w:rPr>
          <w:snapToGrid w:val="0"/>
        </w:rPr>
        <w:t xml:space="preserve"> used: authorised agent</w:t>
      </w:r>
      <w:bookmarkEnd w:id="380"/>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381" w:name="_Toc22916146"/>
      <w:r>
        <w:rPr>
          <w:rStyle w:val="CharSClsNo"/>
        </w:rPr>
        <w:t>3</w:t>
      </w:r>
      <w:r>
        <w:rPr>
          <w:snapToGrid w:val="0"/>
        </w:rPr>
        <w:t>.</w:t>
      </w:r>
      <w:r>
        <w:rPr>
          <w:snapToGrid w:val="0"/>
        </w:rPr>
        <w:tab/>
        <w:t>Rental Accommodation Account</w:t>
      </w:r>
      <w:bookmarkEnd w:id="38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382" w:name="_Toc22916147"/>
      <w:r>
        <w:rPr>
          <w:rStyle w:val="CharSClsNo"/>
        </w:rPr>
        <w:t>4</w:t>
      </w:r>
      <w:r>
        <w:rPr>
          <w:snapToGrid w:val="0"/>
        </w:rPr>
        <w:t>.</w:t>
      </w:r>
      <w:r>
        <w:rPr>
          <w:snapToGrid w:val="0"/>
        </w:rPr>
        <w:tab/>
        <w:t>Duties of bond administrator</w:t>
      </w:r>
      <w:bookmarkEnd w:id="38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383" w:name="_Toc2153457"/>
      <w:bookmarkStart w:id="384" w:name="_Toc2160291"/>
      <w:bookmarkStart w:id="385" w:name="_Toc2161015"/>
      <w:bookmarkStart w:id="386" w:name="_Toc5621638"/>
      <w:bookmarkStart w:id="387" w:name="_Toc5633055"/>
      <w:bookmarkStart w:id="388" w:name="_Toc5719434"/>
      <w:bookmarkStart w:id="389" w:name="_Toc22915948"/>
      <w:bookmarkStart w:id="390" w:name="_Toc22916148"/>
      <w:r>
        <w:rPr>
          <w:rStyle w:val="CharSDivNo"/>
        </w:rPr>
        <w:t>Division 2</w:t>
      </w:r>
      <w:r>
        <w:t> — </w:t>
      </w:r>
      <w:r>
        <w:rPr>
          <w:rStyle w:val="CharSDivText"/>
        </w:rPr>
        <w:t>Security bonds</w:t>
      </w:r>
      <w:bookmarkEnd w:id="383"/>
      <w:bookmarkEnd w:id="384"/>
      <w:bookmarkEnd w:id="385"/>
      <w:bookmarkEnd w:id="386"/>
      <w:bookmarkEnd w:id="387"/>
      <w:bookmarkEnd w:id="388"/>
      <w:bookmarkEnd w:id="389"/>
      <w:bookmarkEnd w:id="390"/>
    </w:p>
    <w:p>
      <w:pPr>
        <w:pStyle w:val="yFootnoteheading"/>
      </w:pPr>
      <w:r>
        <w:tab/>
        <w:t>[Heading inserted: No. 60 of 2011 s. 87(11).]</w:t>
      </w:r>
    </w:p>
    <w:p>
      <w:pPr>
        <w:pStyle w:val="yHeading5"/>
      </w:pPr>
      <w:bookmarkStart w:id="391" w:name="_Toc22916149"/>
      <w:r>
        <w:rPr>
          <w:rStyle w:val="CharSClsNo"/>
        </w:rPr>
        <w:t>5A</w:t>
      </w:r>
      <w:r>
        <w:t>.</w:t>
      </w:r>
      <w:r>
        <w:tab/>
        <w:t>Security bond moneys to be paid to bond administrator</w:t>
      </w:r>
      <w:bookmarkEnd w:id="391"/>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392" w:name="_Toc22916150"/>
      <w:r>
        <w:rPr>
          <w:rStyle w:val="CharSClsNo"/>
        </w:rPr>
        <w:t>5</w:t>
      </w:r>
      <w:r>
        <w:rPr>
          <w:snapToGrid w:val="0"/>
        </w:rPr>
        <w:t>.</w:t>
      </w:r>
      <w:r>
        <w:rPr>
          <w:snapToGrid w:val="0"/>
        </w:rPr>
        <w:tab/>
        <w:t xml:space="preserve">Disposal of </w:t>
      </w:r>
      <w:r>
        <w:t>security</w:t>
      </w:r>
      <w:r>
        <w:rPr>
          <w:snapToGrid w:val="0"/>
        </w:rPr>
        <w:t xml:space="preserve"> bond by bond administrator</w:t>
      </w:r>
      <w:bookmarkEnd w:id="39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393" w:name="_Toc22916151"/>
      <w:r>
        <w:rPr>
          <w:rStyle w:val="CharSClsNo"/>
        </w:rPr>
        <w:t>8</w:t>
      </w:r>
      <w:r>
        <w:rPr>
          <w:snapToGrid w:val="0"/>
        </w:rPr>
        <w:t>.</w:t>
      </w:r>
      <w:r>
        <w:rPr>
          <w:snapToGrid w:val="0"/>
        </w:rPr>
        <w:tab/>
      </w:r>
      <w:r>
        <w:t>Court</w:t>
      </w:r>
      <w:r>
        <w:rPr>
          <w:snapToGrid w:val="0"/>
        </w:rPr>
        <w:t xml:space="preserve"> may determine disposal of security bond</w:t>
      </w:r>
      <w:bookmarkEnd w:id="393"/>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394" w:name="_Toc2153461"/>
      <w:bookmarkStart w:id="395" w:name="_Toc2160295"/>
      <w:bookmarkStart w:id="396" w:name="_Toc2161019"/>
      <w:bookmarkStart w:id="397" w:name="_Toc5621642"/>
      <w:bookmarkStart w:id="398" w:name="_Toc5633059"/>
      <w:bookmarkStart w:id="399" w:name="_Toc5719438"/>
      <w:bookmarkStart w:id="400" w:name="_Toc22915952"/>
      <w:bookmarkStart w:id="401" w:name="_Toc22916152"/>
      <w:r>
        <w:rPr>
          <w:rStyle w:val="CharSDivNo"/>
        </w:rPr>
        <w:t>Division 3</w:t>
      </w:r>
      <w:r>
        <w:t> — </w:t>
      </w:r>
      <w:r>
        <w:rPr>
          <w:rStyle w:val="CharSDivText"/>
        </w:rPr>
        <w:t>Tenant compensation bonds</w:t>
      </w:r>
      <w:bookmarkEnd w:id="394"/>
      <w:bookmarkEnd w:id="395"/>
      <w:bookmarkEnd w:id="396"/>
      <w:bookmarkEnd w:id="397"/>
      <w:bookmarkEnd w:id="398"/>
      <w:bookmarkEnd w:id="399"/>
      <w:bookmarkEnd w:id="400"/>
      <w:bookmarkEnd w:id="401"/>
    </w:p>
    <w:p>
      <w:pPr>
        <w:pStyle w:val="yFootnoteheading"/>
      </w:pPr>
      <w:r>
        <w:tab/>
        <w:t>[Heading inserted: No. 60 of 2011 s. 87(23).]</w:t>
      </w:r>
    </w:p>
    <w:p>
      <w:pPr>
        <w:pStyle w:val="yHeading5"/>
      </w:pPr>
      <w:bookmarkStart w:id="402" w:name="_Toc22916153"/>
      <w:r>
        <w:rPr>
          <w:rStyle w:val="CharSClsNo"/>
        </w:rPr>
        <w:t>9</w:t>
      </w:r>
      <w:r>
        <w:t>.</w:t>
      </w:r>
      <w:r>
        <w:tab/>
        <w:t>Application of Division</w:t>
      </w:r>
      <w:bookmarkEnd w:id="402"/>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403" w:name="_Toc22916154"/>
      <w:r>
        <w:rPr>
          <w:rStyle w:val="CharSClsNo"/>
        </w:rPr>
        <w:t>10</w:t>
      </w:r>
      <w:r>
        <w:t>.</w:t>
      </w:r>
      <w:r>
        <w:tab/>
        <w:t>Disposal of tenant compensation bond to tenant by bond administrator</w:t>
      </w:r>
      <w:bookmarkEnd w:id="403"/>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404" w:name="_Toc22916155"/>
      <w:r>
        <w:rPr>
          <w:rStyle w:val="CharSClsNo"/>
        </w:rPr>
        <w:t>11</w:t>
      </w:r>
      <w:r>
        <w:t>.</w:t>
      </w:r>
      <w:r>
        <w:tab/>
        <w:t>Disposal of tenant compensation bond to lessor by bond administrator</w:t>
      </w:r>
      <w:bookmarkEnd w:id="404"/>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06" w:name="_Toc2153465"/>
      <w:bookmarkStart w:id="407" w:name="_Toc2160299"/>
      <w:bookmarkStart w:id="408" w:name="_Toc2161023"/>
      <w:bookmarkStart w:id="409" w:name="_Toc5621646"/>
      <w:bookmarkStart w:id="410" w:name="_Toc5633063"/>
      <w:bookmarkStart w:id="411" w:name="_Toc5719442"/>
      <w:bookmarkStart w:id="412" w:name="_Toc22915956"/>
      <w:bookmarkStart w:id="413" w:name="_Toc22916156"/>
      <w:r>
        <w:t>Notes</w:t>
      </w:r>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14" w:name="_Toc22916157"/>
      <w:r>
        <w:t>Compilation table</w:t>
      </w:r>
      <w:bookmarkEnd w:id="41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single" w:sz="4" w:space="0" w:color="auto"/>
            </w:tcBorders>
          </w:tcPr>
          <w:p>
            <w:pPr>
              <w:pStyle w:val="nTable"/>
              <w:keepNext/>
              <w:spacing w:after="40"/>
            </w:pPr>
            <w:r>
              <w:t>3 of 2019</w:t>
            </w:r>
          </w:p>
        </w:tc>
        <w:tc>
          <w:tcPr>
            <w:tcW w:w="1134" w:type="dxa"/>
            <w:gridSpan w:val="2"/>
            <w:tcBorders>
              <w:top w:val="nil"/>
              <w:bottom w:val="single" w:sz="4" w:space="0" w:color="auto"/>
            </w:tcBorders>
          </w:tcPr>
          <w:p>
            <w:pPr>
              <w:pStyle w:val="nTable"/>
              <w:keepNext/>
              <w:spacing w:after="40"/>
            </w:pPr>
            <w:r>
              <w:t>26 Feb 2019</w:t>
            </w:r>
          </w:p>
        </w:tc>
        <w:tc>
          <w:tcPr>
            <w:tcW w:w="2580" w:type="dxa"/>
            <w:gridSpan w:val="2"/>
            <w:tcBorders>
              <w:top w:val="nil"/>
              <w:bottom w:val="single" w:sz="4" w:space="0" w:color="auto"/>
            </w:tcBorders>
          </w:tcPr>
          <w:p>
            <w:pPr>
              <w:pStyle w:val="nTable"/>
              <w:keepNext/>
              <w:spacing w:after="40"/>
            </w:pPr>
            <w:r>
              <w:t xml:space="preserve">15 Apr 2019 (see s. 2(b) and </w:t>
            </w:r>
            <w:r>
              <w:rPr>
                <w:i/>
              </w:rPr>
              <w:t>Gazette</w:t>
            </w:r>
            <w:r>
              <w:t xml:space="preserve"> 9 Apr 2019 p. 1041-2)</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415" w:name="_Toc22916158"/>
      <w:r>
        <w:rPr>
          <w:snapToGrid w:val="0"/>
        </w:rPr>
        <w:t>Provisions that have not come into operation</w:t>
      </w:r>
      <w:bookmarkEnd w:id="415"/>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18"/>
        <w:gridCol w:w="12"/>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r>
              <w:rPr>
                <w:vertAlign w:val="superscript"/>
              </w:rPr>
              <w:t> 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Community Titles Act 2018</w:t>
            </w:r>
            <w:r>
              <w:t xml:space="preserve"> Pt. 14 Div. 18</w:t>
            </w:r>
            <w:r>
              <w:rPr>
                <w:vertAlign w:val="superscript"/>
              </w:rPr>
              <w:t> 9</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rPr>
          <w:gridAfter w:val="1"/>
          <w:wAfter w:w="12" w:type="dxa"/>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Pt. 9 </w:t>
            </w:r>
            <w:r>
              <w:rPr>
                <w:vertAlign w:val="superscript"/>
              </w:rPr>
              <w:t>10</w:t>
            </w:r>
          </w:p>
        </w:tc>
        <w:tc>
          <w:tcPr>
            <w:tcW w:w="1139" w:type="dxa"/>
            <w:gridSpan w:val="2"/>
            <w:tcBorders>
              <w:bottom w:val="single" w:sz="4" w:space="0" w:color="auto"/>
            </w:tcBorders>
          </w:tcPr>
          <w:p>
            <w:pPr>
              <w:pStyle w:val="nTable"/>
              <w:spacing w:after="40"/>
            </w:pPr>
            <w:r>
              <w:t>25 of 2019</w:t>
            </w:r>
          </w:p>
        </w:tc>
        <w:tc>
          <w:tcPr>
            <w:tcW w:w="1138" w:type="dxa"/>
            <w:gridSpan w:val="2"/>
            <w:tcBorders>
              <w:bottom w:val="single" w:sz="4" w:space="0" w:color="auto"/>
            </w:tcBorders>
          </w:tcPr>
          <w:p>
            <w:pPr>
              <w:pStyle w:val="nTable"/>
              <w:spacing w:after="40"/>
            </w:pPr>
            <w:r>
              <w:t>24 Oct 2019</w:t>
            </w:r>
          </w:p>
        </w:tc>
        <w:tc>
          <w:tcPr>
            <w:tcW w:w="2556" w:type="dxa"/>
            <w:gridSpan w:val="3"/>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pPr>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pPr>
      <w:r>
        <w:rPr>
          <w:rStyle w:val="CharSectno"/>
        </w:rPr>
        <w:t>181</w:t>
      </w:r>
      <w:r>
        <w:t>.</w:t>
      </w:r>
      <w:r>
        <w:tab/>
        <w:t>Act amended</w:t>
      </w:r>
    </w:p>
    <w:p>
      <w:pPr>
        <w:pStyle w:val="nzSubsection"/>
      </w:pPr>
      <w:r>
        <w:tab/>
      </w:r>
      <w:r>
        <w:tab/>
        <w:t xml:space="preserve">This Division amends the </w:t>
      </w:r>
      <w:r>
        <w:rPr>
          <w:i/>
        </w:rPr>
        <w:t>Residential Tenancies Act 1987.</w:t>
      </w:r>
    </w:p>
    <w:p>
      <w:pPr>
        <w:pStyle w:val="nzHeading5"/>
      </w:pPr>
      <w:r>
        <w:rPr>
          <w:rStyle w:val="CharSectno"/>
        </w:rPr>
        <w:t>182</w:t>
      </w:r>
      <w:r>
        <w:t>.</w:t>
      </w:r>
      <w:r>
        <w:tab/>
        <w:t>Section 5 amended</w:t>
      </w:r>
    </w:p>
    <w:p>
      <w:pPr>
        <w:pStyle w:val="nzSubsection"/>
      </w:pPr>
      <w:r>
        <w:tab/>
      </w:r>
      <w:r>
        <w:tab/>
        <w:t>After section 5(1) insert:</w:t>
      </w:r>
    </w:p>
    <w:p>
      <w:pPr>
        <w:pStyle w:val="BlankOpen"/>
      </w:pPr>
    </w:p>
    <w:p>
      <w:pPr>
        <w:pStyle w:val="nzSubsection"/>
      </w:pPr>
      <w:r>
        <w:tab/>
        <w:t>(1A)</w:t>
      </w:r>
      <w:r>
        <w:tab/>
        <w:t xml:space="preserve">This Act does not apply to a residential tenancy agreement that is a strata lease, within the meaning of the </w:t>
      </w:r>
      <w:r>
        <w:rPr>
          <w:i/>
          <w:snapToGrid w:val="0"/>
        </w:rPr>
        <w:t>Strata Titles Act 1985</w:t>
      </w:r>
      <w:r>
        <w:t>.</w:t>
      </w:r>
    </w:p>
    <w:p>
      <w:pPr>
        <w:pStyle w:val="nzPermNoteHeading"/>
      </w:pPr>
      <w:r>
        <w:tab/>
        <w:t>Note for this subsection:</w:t>
      </w:r>
    </w:p>
    <w:p>
      <w:pPr>
        <w:pStyle w:val="nzPermNoteText"/>
      </w:pPr>
      <w:r>
        <w:tab/>
      </w:r>
      <w:r>
        <w:tab/>
        <w:t>This subsection does not affect the application of this Act to a residential tenancy agreement that is a sublease of a strata lease.</w:t>
      </w:r>
    </w:p>
    <w:p>
      <w:pPr>
        <w:pStyle w:val="BlankClose"/>
      </w:pPr>
    </w:p>
    <w:p>
      <w:pPr>
        <w:pStyle w:val="BlankClose"/>
      </w:pPr>
    </w:p>
    <w:p>
      <w:pPr>
        <w:pStyle w:val="nSubsection"/>
      </w:pPr>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nSubsection"/>
        <w:rPr>
          <w:snapToGrid w:val="0"/>
        </w:rPr>
      </w:pPr>
      <w:r>
        <w:rPr>
          <w:vertAlign w:val="superscript"/>
        </w:rPr>
        <w:t>10</w:t>
      </w:r>
      <w:r>
        <w:tab/>
        <w:t>On the date as at which this compilation was prepared</w:t>
      </w:r>
      <w:r>
        <w:rPr>
          <w:i/>
        </w:rPr>
        <w:t xml:space="preserve"> </w:t>
      </w:r>
      <w:r>
        <w:t xml:space="preserve">the </w:t>
      </w:r>
      <w:r>
        <w:rPr>
          <w:i/>
        </w:rPr>
        <w:t xml:space="preserve">Consumer Protection Legislation Amendment Act 2019 </w:t>
      </w:r>
      <w:r>
        <w:t xml:space="preserve">Pt. 9 </w:t>
      </w:r>
      <w:r>
        <w:rPr>
          <w:snapToGrid w:val="0"/>
        </w:rPr>
        <w:t>had not come into operation.  It reads as follows:</w:t>
      </w:r>
    </w:p>
    <w:p>
      <w:pPr>
        <w:pStyle w:val="BlankClose"/>
        <w:rPr>
          <w:sz w:val="20"/>
          <w:szCs w:val="20"/>
        </w:rPr>
      </w:pPr>
    </w:p>
    <w:p>
      <w:pPr>
        <w:pStyle w:val="nzHeading2"/>
      </w:pPr>
      <w:r>
        <w:rPr>
          <w:rStyle w:val="CharPartNo"/>
        </w:rPr>
        <w:t>Part 9</w:t>
      </w:r>
      <w:r>
        <w:rPr>
          <w:rStyle w:val="CharDivNo"/>
        </w:rPr>
        <w:t> </w:t>
      </w:r>
      <w:r>
        <w:t>—</w:t>
      </w:r>
      <w:r>
        <w:rPr>
          <w:rStyle w:val="CharDivText"/>
        </w:rPr>
        <w:t> </w:t>
      </w:r>
      <w:r>
        <w:rPr>
          <w:rStyle w:val="CharPartText"/>
          <w:i/>
        </w:rPr>
        <w:t>Residential Tenancies Act 1987</w:t>
      </w:r>
      <w:r>
        <w:rPr>
          <w:rStyle w:val="CharPartText"/>
        </w:rPr>
        <w:t xml:space="preserve"> amended</w:t>
      </w:r>
    </w:p>
    <w:p>
      <w:pPr>
        <w:pStyle w:val="nzHeading5"/>
      </w:pPr>
      <w:r>
        <w:rPr>
          <w:rStyle w:val="CharSectno"/>
        </w:rPr>
        <w:t>63</w:t>
      </w:r>
      <w:r>
        <w:t>.</w:t>
      </w:r>
      <w:r>
        <w:tab/>
        <w:t>Act amended</w:t>
      </w:r>
    </w:p>
    <w:p>
      <w:pPr>
        <w:pStyle w:val="nzSubsection"/>
      </w:pPr>
      <w:r>
        <w:tab/>
      </w:r>
      <w:r>
        <w:tab/>
        <w:t xml:space="preserve">This Part amends the </w:t>
      </w:r>
      <w:r>
        <w:rPr>
          <w:i/>
        </w:rPr>
        <w:t>Residential Tenancies Act 1987</w:t>
      </w:r>
      <w:r>
        <w:t>.</w:t>
      </w:r>
    </w:p>
    <w:p>
      <w:pPr>
        <w:pStyle w:val="nzHeading5"/>
      </w:pPr>
      <w:r>
        <w:rPr>
          <w:rStyle w:val="CharSectno"/>
        </w:rPr>
        <w:t>64</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common area</w:t>
      </w:r>
      <w:r>
        <w:t xml:space="preserve"> — </w:t>
      </w:r>
    </w:p>
    <w:p>
      <w:pPr>
        <w:pStyle w:val="nzDefpara"/>
      </w:pPr>
      <w:r>
        <w:tab/>
        <w:t>(a)</w:t>
      </w:r>
      <w:r>
        <w:tab/>
        <w:t>means an area accessible to, or provided for the common use of, tenants; and</w:t>
      </w:r>
    </w:p>
    <w:p>
      <w:pPr>
        <w:pStyle w:val="nzDefpara"/>
      </w:pPr>
      <w:r>
        <w:tab/>
        <w:t>(b)</w:t>
      </w:r>
      <w:r>
        <w:tab/>
        <w:t xml:space="preserve">includes common property (as defined in the </w:t>
      </w:r>
      <w:r>
        <w:rPr>
          <w:i/>
        </w:rPr>
        <w:t>Strata Titles Act 1985</w:t>
      </w:r>
      <w:r>
        <w:t xml:space="preserve"> section 3) of a strata scheme or survey strata scheme;</w:t>
      </w:r>
    </w:p>
    <w:p>
      <w:pPr>
        <w:pStyle w:val="BlankClose"/>
      </w:pPr>
    </w:p>
    <w:p>
      <w:pPr>
        <w:pStyle w:val="nzHeading5"/>
      </w:pPr>
      <w:r>
        <w:rPr>
          <w:rStyle w:val="CharSectno"/>
        </w:rPr>
        <w:t>65</w:t>
      </w:r>
      <w:r>
        <w:t>.</w:t>
      </w:r>
      <w:r>
        <w:tab/>
        <w:t>Section 22 amended</w:t>
      </w:r>
    </w:p>
    <w:p>
      <w:pPr>
        <w:pStyle w:val="nzSubsection"/>
      </w:pPr>
      <w:r>
        <w:tab/>
        <w:t>(1)</w:t>
      </w:r>
      <w:r>
        <w:tab/>
        <w:t>Delete section 22(2) and insert:</w:t>
      </w:r>
    </w:p>
    <w:p>
      <w:pPr>
        <w:pStyle w:val="BlankOpen"/>
      </w:pPr>
    </w:p>
    <w:p>
      <w:pPr>
        <w:pStyle w:val="nzSubsection"/>
      </w:pPr>
      <w:r>
        <w:tab/>
        <w:t>(2)</w:t>
      </w:r>
      <w:r>
        <w:tab/>
        <w:t xml:space="preserve">A party to any proceedings may be represented or assisted by an agent in the presentation of the party’s case if — </w:t>
      </w:r>
    </w:p>
    <w:p>
      <w:pPr>
        <w:pStyle w:val="nzIndenta"/>
      </w:pPr>
      <w:r>
        <w:tab/>
        <w:t>(a)</w:t>
      </w:r>
      <w:r>
        <w:tab/>
        <w:t xml:space="preserve">the agent is authorised by the party to do so and is — </w:t>
      </w:r>
    </w:p>
    <w:p>
      <w:pPr>
        <w:pStyle w:val="nzIndenti"/>
      </w:pPr>
      <w:r>
        <w:tab/>
        <w:t>(i)</w:t>
      </w:r>
      <w:r>
        <w:tab/>
        <w:t>the property manager of the premises the subject of the proceedings; or</w:t>
      </w:r>
    </w:p>
    <w:p>
      <w:pPr>
        <w:pStyle w:val="nzIndenti"/>
      </w:pPr>
      <w:r>
        <w:tab/>
        <w:t>(ii)</w:t>
      </w:r>
      <w:r>
        <w:tab/>
        <w:t>employed or engaged by a non</w:t>
      </w:r>
      <w:r>
        <w:noBreakHyphen/>
        <w:t>profit association or similar body to act as an advocate for tenants or lessors in proceedings;</w:t>
      </w:r>
    </w:p>
    <w:p>
      <w:pPr>
        <w:pStyle w:val="nzIndenta"/>
      </w:pPr>
      <w:r>
        <w:tab/>
      </w:r>
      <w:r>
        <w:tab/>
        <w:t>or</w:t>
      </w:r>
    </w:p>
    <w:p>
      <w:pPr>
        <w:pStyle w:val="nzIndenta"/>
      </w:pPr>
      <w:r>
        <w:tab/>
        <w:t>(b)</w:t>
      </w:r>
      <w:r>
        <w:tab/>
        <w:t>the court makes an order under subsection (3C).</w:t>
      </w:r>
    </w:p>
    <w:p>
      <w:pPr>
        <w:pStyle w:val="BlankClose"/>
      </w:pPr>
    </w:p>
    <w:p>
      <w:pPr>
        <w:pStyle w:val="nzSubsection"/>
      </w:pPr>
      <w:r>
        <w:tab/>
        <w:t>(2)</w:t>
      </w:r>
      <w:r>
        <w:tab/>
        <w:t>In section 22(3A) after “authorisation” insert:</w:t>
      </w:r>
    </w:p>
    <w:p>
      <w:pPr>
        <w:pStyle w:val="BlankOpen"/>
      </w:pPr>
    </w:p>
    <w:p>
      <w:pPr>
        <w:pStyle w:val="nzSubsection"/>
      </w:pPr>
      <w:r>
        <w:tab/>
      </w:r>
      <w:r>
        <w:tab/>
        <w:t>mentioned in subsection (2)(a)</w:t>
      </w:r>
    </w:p>
    <w:p>
      <w:pPr>
        <w:pStyle w:val="BlankClose"/>
      </w:pPr>
    </w:p>
    <w:p>
      <w:pPr>
        <w:pStyle w:val="nzSubsection"/>
      </w:pPr>
      <w:r>
        <w:tab/>
        <w:t>(3)</w:t>
      </w:r>
      <w:r>
        <w:tab/>
        <w:t>After section 22(3A) insert:</w:t>
      </w:r>
    </w:p>
    <w:p>
      <w:pPr>
        <w:pStyle w:val="BlankOpen"/>
      </w:pPr>
    </w:p>
    <w:p>
      <w:pPr>
        <w:pStyle w:val="nzSubsection"/>
      </w:pPr>
      <w:r>
        <w:tab/>
        <w:t>(3B)</w:t>
      </w:r>
      <w:r>
        <w:tab/>
        <w:t xml:space="preserve">Without limiting how an agent representing or assisting a party under subsection (2)(a) may represent or assist the party, the agent may initiate proceedings on behalf of the party. </w:t>
      </w:r>
    </w:p>
    <w:p>
      <w:pPr>
        <w:pStyle w:val="nzSubsection"/>
      </w:pPr>
      <w:r>
        <w:tab/>
        <w:t>(3C)</w:t>
      </w:r>
      <w:r>
        <w:tab/>
        <w:t xml:space="preserve">The court may order that a party to proceedings may be represented or assisted by an agent in the presentation of the party’s case if the court hearing the proceeding is satisfied that — </w:t>
      </w:r>
    </w:p>
    <w:p>
      <w:pPr>
        <w:pStyle w:val="nzIndenta"/>
      </w:pPr>
      <w:r>
        <w:tab/>
        <w:t>(a)</w:t>
      </w:r>
      <w:r>
        <w:tab/>
        <w:t>the party is unable to appear personally or conduct the proceedings on the party’s own behalf; and</w:t>
      </w:r>
    </w:p>
    <w:p>
      <w:pPr>
        <w:pStyle w:val="nzIndenta"/>
      </w:pPr>
      <w:r>
        <w:tab/>
        <w:t>(b)</w:t>
      </w:r>
      <w:r>
        <w:tab/>
        <w:t>another party to the proceedings will not be disadvantaged by the party being represented by, or assisted by, the agent.</w:t>
      </w:r>
    </w:p>
    <w:p>
      <w:pPr>
        <w:pStyle w:val="BlankClose"/>
      </w:pPr>
    </w:p>
    <w:p>
      <w:pPr>
        <w:pStyle w:val="nzHeading5"/>
      </w:pPr>
      <w:r>
        <w:rPr>
          <w:rStyle w:val="CharSectno"/>
        </w:rPr>
        <w:t>66</w:t>
      </w:r>
      <w:r>
        <w:t>.</w:t>
      </w:r>
      <w:r>
        <w:tab/>
        <w:t>Section 38 amended</w:t>
      </w:r>
    </w:p>
    <w:p>
      <w:pPr>
        <w:pStyle w:val="nzSubsection"/>
      </w:pPr>
      <w:r>
        <w:tab/>
      </w:r>
      <w:r>
        <w:tab/>
        <w:t>In section 38(1)(c) delete “premises.” and insert:</w:t>
      </w:r>
    </w:p>
    <w:p>
      <w:pPr>
        <w:pStyle w:val="BlankOpen"/>
      </w:pPr>
    </w:p>
    <w:p>
      <w:pPr>
        <w:pStyle w:val="nzSubsection"/>
        <w:rPr>
          <w:snapToGrid w:val="0"/>
        </w:rPr>
      </w:pPr>
      <w:r>
        <w:rPr>
          <w:snapToGrid w:val="0"/>
        </w:rPr>
        <w:tab/>
      </w:r>
      <w:r>
        <w:rPr>
          <w:snapToGrid w:val="0"/>
        </w:rPr>
        <w:tab/>
        <w:t xml:space="preserve">premises or, where relevant, a </w:t>
      </w:r>
      <w:r>
        <w:t>common area or chattels in the common area.</w:t>
      </w:r>
    </w:p>
    <w:p>
      <w:pPr>
        <w:pStyle w:val="BlankClose"/>
      </w:pPr>
    </w:p>
    <w:p>
      <w:pPr>
        <w:pStyle w:val="nzHeading5"/>
      </w:pPr>
      <w:r>
        <w:rPr>
          <w:rStyle w:val="CharSectno"/>
        </w:rPr>
        <w:t>67</w:t>
      </w:r>
      <w:r>
        <w:t>.</w:t>
      </w:r>
      <w:r>
        <w:tab/>
        <w:t>Section 47 amended</w:t>
      </w:r>
    </w:p>
    <w:p>
      <w:pPr>
        <w:pStyle w:val="nzSubsection"/>
      </w:pPr>
      <w:r>
        <w:tab/>
        <w:t>(1)</w:t>
      </w:r>
      <w:r>
        <w:tab/>
        <w:t>Before section 47(1) insert:</w:t>
      </w:r>
    </w:p>
    <w:p>
      <w:pPr>
        <w:pStyle w:val="BlankOpen"/>
      </w:pPr>
    </w:p>
    <w:p>
      <w:pPr>
        <w:pStyle w:val="nzSubsection"/>
      </w:pPr>
      <w:r>
        <w:tab/>
        <w:t>(1A)</w:t>
      </w:r>
      <w:r>
        <w:tab/>
        <w:t xml:space="preserve">In this section — </w:t>
      </w:r>
    </w:p>
    <w:p>
      <w:pPr>
        <w:pStyle w:val="nzDefstart"/>
      </w:pPr>
      <w:r>
        <w:tab/>
      </w:r>
      <w:r>
        <w:rPr>
          <w:rStyle w:val="CharDefText"/>
        </w:rPr>
        <w:t>disability</w:t>
      </w:r>
      <w:r>
        <w:t xml:space="preserve"> means a disability — </w:t>
      </w:r>
    </w:p>
    <w:p>
      <w:pPr>
        <w:pStyle w:val="nzDefpara"/>
      </w:pPr>
      <w:r>
        <w:tab/>
        <w:t>(a)</w:t>
      </w:r>
      <w:r>
        <w:tab/>
        <w:t>which is attributable to an intellectual, psychiatric, cognitive, neurological, sensory, or physical impairment or a combination of those impairments; and</w:t>
      </w:r>
    </w:p>
    <w:p>
      <w:pPr>
        <w:pStyle w:val="nzDefpara"/>
      </w:pPr>
      <w:r>
        <w:tab/>
        <w:t>(b)</w:t>
      </w:r>
      <w:r>
        <w:tab/>
        <w:t>which is permanent or likely to be permanent; and</w:t>
      </w:r>
    </w:p>
    <w:p>
      <w:pPr>
        <w:pStyle w:val="nzDefpara"/>
      </w:pPr>
      <w:r>
        <w:tab/>
        <w:t>(c)</w:t>
      </w:r>
      <w:r>
        <w:tab/>
        <w:t>which may or may not be of a chronic or episodic nature; and</w:t>
      </w:r>
    </w:p>
    <w:p>
      <w:pPr>
        <w:pStyle w:val="nzDefpara"/>
      </w:pPr>
      <w:r>
        <w:tab/>
        <w:t>(d)</w:t>
      </w:r>
      <w:r>
        <w:tab/>
        <w:t>which results in a substantially reduced capacity of the person for communication, social interaction, learning or mobility.</w:t>
      </w:r>
    </w:p>
    <w:p>
      <w:pPr>
        <w:pStyle w:val="BlankClose"/>
      </w:pPr>
    </w:p>
    <w:p>
      <w:pPr>
        <w:pStyle w:val="nzSubsection"/>
      </w:pPr>
      <w:r>
        <w:tab/>
        <w:t>(2)</w:t>
      </w:r>
      <w:r>
        <w:tab/>
        <w:t>In section 47(1) delete “subsection (4),” and insert:</w:t>
      </w:r>
    </w:p>
    <w:p>
      <w:pPr>
        <w:pStyle w:val="BlankOpen"/>
        <w:keepNext w:val="0"/>
      </w:pPr>
    </w:p>
    <w:p>
      <w:pPr>
        <w:pStyle w:val="nzSubsection"/>
      </w:pPr>
      <w:r>
        <w:tab/>
      </w:r>
      <w:r>
        <w:tab/>
        <w:t>subsections (2A) and (4),</w:t>
      </w:r>
    </w:p>
    <w:p>
      <w:pPr>
        <w:pStyle w:val="BlankClose"/>
      </w:pPr>
    </w:p>
    <w:p>
      <w:pPr>
        <w:pStyle w:val="nzSubsection"/>
      </w:pPr>
      <w:r>
        <w:tab/>
        <w:t>(3)</w:t>
      </w:r>
      <w:r>
        <w:tab/>
        <w:t>After section 47(2) insert:</w:t>
      </w:r>
    </w:p>
    <w:p>
      <w:pPr>
        <w:pStyle w:val="BlankOpen"/>
      </w:pPr>
    </w:p>
    <w:p>
      <w:pPr>
        <w:pStyle w:val="nzSubsection"/>
      </w:pPr>
      <w:r>
        <w:tab/>
        <w:t>(2A)</w:t>
      </w:r>
      <w:r>
        <w:tab/>
        <w:t>It is a term of every residential tenancy agreement that —</w:t>
      </w:r>
    </w:p>
    <w:p>
      <w:pPr>
        <w:pStyle w:val="nz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nzIndenti"/>
      </w:pPr>
      <w:r>
        <w:tab/>
        <w:t>(i)</w:t>
      </w:r>
      <w:r>
        <w:tab/>
        <w:t xml:space="preserve">furniture; </w:t>
      </w:r>
    </w:p>
    <w:p>
      <w:pPr>
        <w:pStyle w:val="nzIndenti"/>
      </w:pPr>
      <w:r>
        <w:tab/>
        <w:t>(ii)</w:t>
      </w:r>
      <w:r>
        <w:tab/>
        <w:t>a thing to affix the furniture to the wall;</w:t>
      </w:r>
    </w:p>
    <w:p>
      <w:pPr>
        <w:pStyle w:val="nzIndenta"/>
      </w:pPr>
      <w:r>
        <w:tab/>
      </w:r>
      <w:r>
        <w:tab/>
        <w:t>and</w:t>
      </w:r>
    </w:p>
    <w:p>
      <w:pPr>
        <w:pStyle w:val="nzIndenta"/>
      </w:pPr>
      <w:r>
        <w:tab/>
        <w:t>(b)</w:t>
      </w:r>
      <w:r>
        <w:tab/>
        <w:t xml:space="preserve">the lessor may only refuse consent — </w:t>
      </w:r>
    </w:p>
    <w:p>
      <w:pPr>
        <w:pStyle w:val="nzIndenti"/>
      </w:pPr>
      <w:r>
        <w:tab/>
        <w:t>(i)</w:t>
      </w:r>
      <w:r>
        <w:tab/>
        <w:t>if affixing the item to the wall would disturb material containing asbestos; or</w:t>
      </w:r>
    </w:p>
    <w:p>
      <w:pPr>
        <w:pStyle w:val="nzIndenti"/>
      </w:pPr>
      <w:r>
        <w:tab/>
        <w:t>(ii)</w:t>
      </w:r>
      <w:r>
        <w:tab/>
        <w:t xml:space="preserve">if the premises are entered in the Register of Heritage Places compiled under the </w:t>
      </w:r>
      <w:r>
        <w:rPr>
          <w:i/>
        </w:rPr>
        <w:t>Heritage of Western Australia Act 1990</w:t>
      </w:r>
      <w:r>
        <w:t xml:space="preserve"> section 46; or</w:t>
      </w:r>
    </w:p>
    <w:p>
      <w:pPr>
        <w:pStyle w:val="nz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nzIndenti"/>
      </w:pPr>
      <w:r>
        <w:tab/>
        <w:t>(iv)</w:t>
      </w:r>
      <w:r>
        <w:tab/>
        <w:t>for a prescribed reason;</w:t>
      </w:r>
    </w:p>
    <w:p>
      <w:pPr>
        <w:pStyle w:val="nzIndenta"/>
      </w:pPr>
      <w:r>
        <w:tab/>
      </w:r>
      <w:r>
        <w:tab/>
        <w:t>and</w:t>
      </w:r>
    </w:p>
    <w:p>
      <w:pPr>
        <w:pStyle w:val="nzIndenta"/>
      </w:pPr>
      <w:r>
        <w:tab/>
        <w:t>(c)</w:t>
      </w:r>
      <w:r>
        <w:tab/>
        <w:t xml:space="preserve">unless the lessor agrees otherwise in writing, the tenant must remove the item from the wall when the tenant vacates the premises and either — </w:t>
      </w:r>
    </w:p>
    <w:p>
      <w:pPr>
        <w:pStyle w:val="nzIndenti"/>
      </w:pPr>
      <w:r>
        <w:tab/>
        <w:t>(i)</w:t>
      </w:r>
      <w:r>
        <w:tab/>
        <w:t>restore the wall to its original condition; or</w:t>
      </w:r>
    </w:p>
    <w:p>
      <w:pPr>
        <w:pStyle w:val="nzIndenti"/>
      </w:pPr>
      <w:r>
        <w:tab/>
        <w:t>(ii)</w:t>
      </w:r>
      <w:r>
        <w:tab/>
        <w:t>compensate the lessor for any reasonable expenses incurred by the lessor in doing that restoration;</w:t>
      </w:r>
    </w:p>
    <w:p>
      <w:pPr>
        <w:pStyle w:val="nzIndenta"/>
      </w:pPr>
      <w:r>
        <w:tab/>
      </w:r>
      <w:r>
        <w:tab/>
        <w:t>and</w:t>
      </w:r>
    </w:p>
    <w:p>
      <w:pPr>
        <w:pStyle w:val="nzIndenta"/>
      </w:pPr>
      <w:r>
        <w:tab/>
        <w:t>(d)</w:t>
      </w:r>
      <w:r>
        <w:tab/>
        <w:t>the cost of affixing the item to the wall, removing it and restoring the wall to its original condition must be borne by the tenant; and</w:t>
      </w:r>
    </w:p>
    <w:p>
      <w:pPr>
        <w:pStyle w:val="nzIndenta"/>
      </w:pPr>
      <w:r>
        <w:tab/>
        <w:t>(e)</w:t>
      </w:r>
      <w:r>
        <w:tab/>
        <w:t xml:space="preserve">if the tenant causes damage to the premises when affixing or removing the item or restoring the wall to its original condition — </w:t>
      </w:r>
    </w:p>
    <w:p>
      <w:pPr>
        <w:pStyle w:val="nzIndenti"/>
      </w:pPr>
      <w:r>
        <w:tab/>
        <w:t>(i)</w:t>
      </w:r>
      <w:r>
        <w:tab/>
        <w:t>the tenant must notify the lessor in writing that damage has been caused to the premises; and</w:t>
      </w:r>
    </w:p>
    <w:p>
      <w:pPr>
        <w:pStyle w:val="nzIndenti"/>
      </w:pPr>
      <w:r>
        <w:tab/>
        <w:t>(ii)</w:t>
      </w:r>
      <w:r>
        <w:tab/>
        <w:t>the lessor may require the tenant to repair the damage and restore the premises to their original condition or compensate the lessor for the reasonable expenses incurred in doing the repair and restoration.</w:t>
      </w:r>
    </w:p>
    <w:p>
      <w:pPr>
        <w:pStyle w:val="nzSubsection"/>
      </w:pPr>
      <w:r>
        <w:tab/>
        <w:t>(2B)</w:t>
      </w:r>
      <w:r>
        <w:tab/>
        <w:t xml:space="preserve">The lessor is taken to have consented to affixing the furniture or thing to the wall of the premises under subsection (2A)(a) if, and only if — </w:t>
      </w:r>
    </w:p>
    <w:p>
      <w:pPr>
        <w:pStyle w:val="nzIndenta"/>
      </w:pPr>
      <w:r>
        <w:tab/>
        <w:t>(a)</w:t>
      </w:r>
      <w:r>
        <w:tab/>
        <w:t>the tenant has given the lessor a request, in a form approved by the Commissioner, seeking the lessor’s consent to affix the item to the wall; and</w:t>
      </w:r>
    </w:p>
    <w:p>
      <w:pPr>
        <w:pStyle w:val="nzIndenta"/>
      </w:pPr>
      <w:r>
        <w:tab/>
        <w:t>(b)</w:t>
      </w:r>
      <w:r>
        <w:tab/>
        <w:t>the lessor has not refused consent under subsection (2A)(b) within 14 days after the day on which the lessor receives the request.</w:t>
      </w:r>
    </w:p>
    <w:p>
      <w:pPr>
        <w:pStyle w:val="BlankClose"/>
      </w:pPr>
    </w:p>
    <w:p>
      <w:pPr>
        <w:pStyle w:val="nzHeading5"/>
      </w:pPr>
      <w:r>
        <w:rPr>
          <w:rStyle w:val="CharSectno"/>
        </w:rPr>
        <w:t>68</w:t>
      </w:r>
      <w:r>
        <w:t>.</w:t>
      </w:r>
      <w:r>
        <w:tab/>
        <w:t>Section 49A amended</w:t>
      </w:r>
    </w:p>
    <w:p>
      <w:pPr>
        <w:pStyle w:val="nzSubsection"/>
      </w:pPr>
      <w:r>
        <w:tab/>
        <w:t>(1)</w:t>
      </w:r>
      <w:r>
        <w:tab/>
        <w:t>In section 49A(1) insert in alphabetical order:</w:t>
      </w:r>
    </w:p>
    <w:p>
      <w:pPr>
        <w:pStyle w:val="BlankOpen"/>
      </w:pPr>
    </w:p>
    <w:p>
      <w:pPr>
        <w:pStyle w:val="nzDefstart"/>
      </w:pPr>
      <w:r>
        <w:tab/>
      </w:r>
      <w:r>
        <w:rPr>
          <w:rStyle w:val="CharDefText"/>
        </w:rPr>
        <w:t>consumption</w:t>
      </w:r>
      <w:r>
        <w:t>, in relation to a public utility service, means consumption of the utility that is calculated by metered unit;</w:t>
      </w:r>
    </w:p>
    <w:p>
      <w:pPr>
        <w:pStyle w:val="nzDefstart"/>
      </w:pPr>
      <w:r>
        <w:tab/>
      </w:r>
      <w:r>
        <w:rPr>
          <w:rStyle w:val="CharDefText"/>
        </w:rPr>
        <w:t>strata company</w:t>
      </w:r>
      <w:r>
        <w:t xml:space="preserve"> has the meaning given in the </w:t>
      </w:r>
      <w:r>
        <w:rPr>
          <w:i/>
        </w:rPr>
        <w:t>Strata Titles Act 1985</w:t>
      </w:r>
      <w:r>
        <w:t xml:space="preserve"> section 3(1).</w:t>
      </w:r>
    </w:p>
    <w:p>
      <w:pPr>
        <w:pStyle w:val="BlankClose"/>
      </w:pPr>
    </w:p>
    <w:p>
      <w:pPr>
        <w:pStyle w:val="nzSubsection"/>
      </w:pPr>
      <w:r>
        <w:tab/>
        <w:t>(2)</w:t>
      </w:r>
      <w:r>
        <w:tab/>
        <w:t xml:space="preserve">In section 49A(1) in the definition of </w:t>
      </w:r>
      <w:r>
        <w:rPr>
          <w:rStyle w:val="CharDefText"/>
        </w:rPr>
        <w:t>public utility services</w:t>
      </w:r>
      <w:r>
        <w:t xml:space="preserve"> delete “3(1).” and insert:</w:t>
      </w:r>
    </w:p>
    <w:p>
      <w:pPr>
        <w:pStyle w:val="BlankOpen"/>
      </w:pPr>
    </w:p>
    <w:p>
      <w:pPr>
        <w:pStyle w:val="nzSubsection"/>
      </w:pPr>
      <w:r>
        <w:tab/>
      </w:r>
      <w:r>
        <w:tab/>
        <w:t>3(1);</w:t>
      </w:r>
    </w:p>
    <w:p>
      <w:pPr>
        <w:pStyle w:val="BlankClose"/>
      </w:pPr>
    </w:p>
    <w:p>
      <w:pPr>
        <w:pStyle w:val="nzSubsection"/>
      </w:pPr>
      <w:r>
        <w:tab/>
        <w:t>(3)</w:t>
      </w:r>
      <w:r>
        <w:tab/>
        <w:t>Delete section 49A(2) and insert:</w:t>
      </w:r>
    </w:p>
    <w:p>
      <w:pPr>
        <w:pStyle w:val="BlankOpen"/>
      </w:pPr>
    </w:p>
    <w:p>
      <w:pPr>
        <w:pStyle w:val="nzSubsection"/>
      </w:pPr>
      <w:r>
        <w:tab/>
        <w:t>(2)</w:t>
      </w:r>
      <w:r>
        <w:tab/>
        <w:t xml:space="preserve">It is a term of every residential tenancy agreement that subsections (3) to (5) are terms of the agreement if — </w:t>
      </w:r>
    </w:p>
    <w:p>
      <w:pPr>
        <w:pStyle w:val="nzIndenta"/>
      </w:pPr>
      <w:r>
        <w:tab/>
        <w:t>(a)</w:t>
      </w:r>
      <w:r>
        <w:tab/>
        <w:t xml:space="preserve">a public utility service is provided in relation to the premises the subject of the agreement; and </w:t>
      </w:r>
    </w:p>
    <w:p>
      <w:pPr>
        <w:pStyle w:val="nzIndenta"/>
      </w:pPr>
      <w:r>
        <w:tab/>
        <w:t>(b)</w:t>
      </w:r>
      <w:r>
        <w:tab/>
        <w:t>the public utility service is provided under a contract between the provider of the public utility service and the lessor or a strata company.</w:t>
      </w:r>
    </w:p>
    <w:p>
      <w:pPr>
        <w:pStyle w:val="nzSubsection"/>
      </w:pPr>
      <w:r>
        <w:tab/>
        <w:t>(3)</w:t>
      </w:r>
      <w:r>
        <w:tab/>
        <w:t xml:space="preserve">The tenant must pay a charge for the provision of the service only if — </w:t>
      </w:r>
    </w:p>
    <w:p>
      <w:pPr>
        <w:pStyle w:val="nzIndenta"/>
      </w:pPr>
      <w:r>
        <w:tab/>
        <w:t>(a)</w:t>
      </w:r>
      <w:r>
        <w:tab/>
        <w:t xml:space="preserve">the charge is for the tenant’s consumption of the utility at the premises; and </w:t>
      </w:r>
    </w:p>
    <w:p>
      <w:pPr>
        <w:pStyle w:val="nzIndenta"/>
      </w:pPr>
      <w:r>
        <w:tab/>
        <w:t>(b)</w:t>
      </w:r>
      <w:r>
        <w:tab/>
        <w:t xml:space="preserve">either — </w:t>
      </w:r>
    </w:p>
    <w:p>
      <w:pPr>
        <w:pStyle w:val="nzIndenti"/>
      </w:pPr>
      <w:r>
        <w:tab/>
        <w:t>(i)</w:t>
      </w:r>
      <w:r>
        <w:tab/>
        <w:t>the tenant’s consumption of the utility is separately metered; or</w:t>
      </w:r>
    </w:p>
    <w:p>
      <w:pPr>
        <w:pStyle w:val="nzIndenti"/>
      </w:pPr>
      <w:r>
        <w:tab/>
        <w:t>(ii)</w:t>
      </w:r>
      <w:r>
        <w:tab/>
        <w:t>although consumption at the premises is not separately metered, the charge is calculated in accordance with a method previously agreed to in writing by the lessor and the tenant;</w:t>
      </w:r>
    </w:p>
    <w:p>
      <w:pPr>
        <w:pStyle w:val="nzIndenta"/>
      </w:pPr>
      <w:r>
        <w:tab/>
      </w:r>
      <w:r>
        <w:tab/>
        <w:t>and</w:t>
      </w:r>
    </w:p>
    <w:p>
      <w:pPr>
        <w:pStyle w:val="nzIndenta"/>
      </w:pPr>
      <w:r>
        <w:tab/>
        <w:t>(c)</w:t>
      </w:r>
      <w:r>
        <w:tab/>
        <w:t xml:space="preserve">the lessor gives the tenant a written notice under subsection (4) within 30 days after the lessor receives an invoice for the public utility service. </w:t>
      </w:r>
    </w:p>
    <w:p>
      <w:pPr>
        <w:pStyle w:val="nzSubsection"/>
      </w:pPr>
      <w:r>
        <w:tab/>
        <w:t>(4)</w:t>
      </w:r>
      <w:r>
        <w:tab/>
        <w:t xml:space="preserve">The notice must be in writing and set out the full details of the account for the charge, including — </w:t>
      </w:r>
    </w:p>
    <w:p>
      <w:pPr>
        <w:pStyle w:val="nzIndenta"/>
      </w:pPr>
      <w:r>
        <w:tab/>
        <w:t>(a)</w:t>
      </w:r>
      <w:r>
        <w:tab/>
        <w:t>the total charge for the tenant’s consumption of the utility; and</w:t>
      </w:r>
    </w:p>
    <w:p>
      <w:pPr>
        <w:pStyle w:val="nzIndenta"/>
      </w:pPr>
      <w:r>
        <w:tab/>
        <w:t>(b)</w:t>
      </w:r>
      <w:r>
        <w:tab/>
        <w:t xml:space="preserve">if consumption at the premises is metered — </w:t>
      </w:r>
    </w:p>
    <w:p>
      <w:pPr>
        <w:pStyle w:val="nzIndenti"/>
      </w:pPr>
      <w:r>
        <w:tab/>
        <w:t>(i)</w:t>
      </w:r>
      <w:r>
        <w:tab/>
        <w:t xml:space="preserve">the meter readings; and </w:t>
      </w:r>
    </w:p>
    <w:p>
      <w:pPr>
        <w:pStyle w:val="nzIndenti"/>
      </w:pPr>
      <w:r>
        <w:tab/>
        <w:t>(ii)</w:t>
      </w:r>
      <w:r>
        <w:tab/>
        <w:t xml:space="preserve">the charge per metered unit; </w:t>
      </w:r>
    </w:p>
    <w:p>
      <w:pPr>
        <w:pStyle w:val="nzIndenta"/>
      </w:pPr>
      <w:r>
        <w:tab/>
      </w:r>
      <w:r>
        <w:tab/>
        <w:t xml:space="preserve">and </w:t>
      </w:r>
    </w:p>
    <w:p>
      <w:pPr>
        <w:pStyle w:val="nzIndenta"/>
      </w:pPr>
      <w:r>
        <w:tab/>
        <w:t>(c)</w:t>
      </w:r>
      <w:r>
        <w:tab/>
        <w:t>if consumption at the premises is not metered — the charge calculated by the method agreed to under subsection (3)(b)(ii); and</w:t>
      </w:r>
    </w:p>
    <w:p>
      <w:pPr>
        <w:pStyle w:val="nzIndenta"/>
      </w:pPr>
      <w:r>
        <w:tab/>
        <w:t>(d)</w:t>
      </w:r>
      <w:r>
        <w:tab/>
        <w:t>the amount of GST payable in respect of the provision of the service to the premises.</w:t>
      </w:r>
    </w:p>
    <w:p>
      <w:pPr>
        <w:pStyle w:val="nz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nzIndenta"/>
      </w:pPr>
      <w:r>
        <w:tab/>
        <w:t>(a)</w:t>
      </w:r>
      <w:r>
        <w:tab/>
        <w:t xml:space="preserve">is not required to give the written notice under subsection (4) within 30 days after the lessor receives the invoice; and </w:t>
      </w:r>
    </w:p>
    <w:p>
      <w:pPr>
        <w:pStyle w:val="nzIndenta"/>
      </w:pPr>
      <w:r>
        <w:tab/>
        <w:t>(b)</w:t>
      </w:r>
      <w:r>
        <w:tab/>
        <w:t>may give the notice to the tenant (or former tenant) as soon as practicable after the lessor receives the notice and locates the tenant.</w:t>
      </w:r>
    </w:p>
    <w:p>
      <w:pPr>
        <w:pStyle w:val="BlankClose"/>
      </w:pPr>
    </w:p>
    <w:p>
      <w:pPr>
        <w:pStyle w:val="nzHeading5"/>
      </w:pPr>
      <w:r>
        <w:rPr>
          <w:rStyle w:val="CharSectno"/>
        </w:rPr>
        <w:t>69</w:t>
      </w:r>
      <w:r>
        <w:t>.</w:t>
      </w:r>
      <w:r>
        <w:tab/>
        <w:t>Section 73 amended</w:t>
      </w:r>
    </w:p>
    <w:p>
      <w:pPr>
        <w:pStyle w:val="nzSubsection"/>
      </w:pPr>
      <w:r>
        <w:tab/>
      </w:r>
      <w:r>
        <w:tab/>
        <w:t>In section 73(1) delete “permit, serious damage to the premises or injury to the lessor or the property manager of the premises or any person in occupation of or permitted on adjacent premises.” and insert:</w:t>
      </w:r>
    </w:p>
    <w:p>
      <w:pPr>
        <w:pStyle w:val="BlankOpen"/>
      </w:pPr>
    </w:p>
    <w:p>
      <w:pPr>
        <w:pStyle w:val="nzSubsection"/>
        <w:rPr>
          <w:snapToGrid w:val="0"/>
        </w:rPr>
      </w:pPr>
      <w:r>
        <w:rPr>
          <w:snapToGrid w:val="0"/>
        </w:rPr>
        <w:tab/>
      </w:r>
      <w:r>
        <w:rPr>
          <w:snapToGrid w:val="0"/>
        </w:rPr>
        <w:tab/>
        <w:t xml:space="preserve">permit — </w:t>
      </w:r>
    </w:p>
    <w:p>
      <w:pPr>
        <w:pStyle w:val="nz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nzIndenta"/>
        <w:rPr>
          <w:snapToGrid w:val="0"/>
        </w:rPr>
      </w:pPr>
      <w:r>
        <w:rPr>
          <w:snapToGrid w:val="0"/>
        </w:rPr>
        <w:tab/>
        <w:t>(b)</w:t>
      </w:r>
      <w:r>
        <w:rPr>
          <w:snapToGrid w:val="0"/>
        </w:rPr>
        <w:tab/>
        <w:t xml:space="preserve">injury to — </w:t>
      </w:r>
    </w:p>
    <w:p>
      <w:pPr>
        <w:pStyle w:val="nzIndenti"/>
      </w:pPr>
      <w:r>
        <w:tab/>
        <w:t>(i)</w:t>
      </w:r>
      <w:r>
        <w:tab/>
      </w:r>
      <w:r>
        <w:rPr>
          <w:snapToGrid w:val="0"/>
        </w:rPr>
        <w:t>the</w:t>
      </w:r>
      <w:r>
        <w:t xml:space="preserve"> lessor; or </w:t>
      </w:r>
    </w:p>
    <w:p>
      <w:pPr>
        <w:pStyle w:val="nzIndenti"/>
        <w:rPr>
          <w:snapToGrid w:val="0"/>
        </w:rPr>
      </w:pPr>
      <w:r>
        <w:tab/>
        <w:t>(ii)</w:t>
      </w:r>
      <w:r>
        <w:tab/>
        <w:t>the property manager of the premises;</w:t>
      </w:r>
      <w:r>
        <w:rPr>
          <w:snapToGrid w:val="0"/>
        </w:rPr>
        <w:t xml:space="preserve"> or </w:t>
      </w:r>
    </w:p>
    <w:p>
      <w:pPr>
        <w:pStyle w:val="nzIndenti"/>
        <w:rPr>
          <w:snapToGrid w:val="0"/>
        </w:rPr>
      </w:pPr>
      <w:r>
        <w:rPr>
          <w:snapToGrid w:val="0"/>
        </w:rPr>
        <w:tab/>
        <w:t>(iii)</w:t>
      </w:r>
      <w:r>
        <w:rPr>
          <w:snapToGrid w:val="0"/>
        </w:rPr>
        <w:tab/>
        <w:t>any person in occupation of or permitted on adjacent premises.</w:t>
      </w:r>
    </w:p>
    <w:p>
      <w:pPr>
        <w:pStyle w:val="BlankClose"/>
      </w:pPr>
    </w:p>
    <w:p>
      <w:pPr>
        <w:pStyle w:val="nzHeading5"/>
      </w:pPr>
      <w:r>
        <w:rPr>
          <w:rStyle w:val="CharSectno"/>
        </w:rPr>
        <w:t>70</w:t>
      </w:r>
      <w:r>
        <w:t>.</w:t>
      </w:r>
      <w:r>
        <w:tab/>
        <w:t>Section 82B amended</w:t>
      </w:r>
    </w:p>
    <w:p>
      <w:pPr>
        <w:pStyle w:val="nzSubsection"/>
      </w:pPr>
      <w:r>
        <w:tab/>
        <w:t>(1)</w:t>
      </w:r>
      <w:r>
        <w:tab/>
        <w:t>In section 82B delete “This” and insert:</w:t>
      </w:r>
    </w:p>
    <w:p>
      <w:pPr>
        <w:pStyle w:val="BlankOpen"/>
      </w:pPr>
    </w:p>
    <w:p>
      <w:pPr>
        <w:pStyle w:val="nzSubsection"/>
      </w:pPr>
      <w:r>
        <w:tab/>
        <w:t>(1)</w:t>
      </w:r>
      <w:r>
        <w:tab/>
        <w:t>This</w:t>
      </w:r>
    </w:p>
    <w:p>
      <w:pPr>
        <w:pStyle w:val="BlankClose"/>
      </w:pPr>
    </w:p>
    <w:p>
      <w:pPr>
        <w:pStyle w:val="nzSubsection"/>
      </w:pPr>
      <w:r>
        <w:tab/>
        <w:t>(2)</w:t>
      </w:r>
      <w:r>
        <w:tab/>
        <w:t>After section 82B(1) insert:</w:t>
      </w:r>
    </w:p>
    <w:p>
      <w:pPr>
        <w:pStyle w:val="BlankOpen"/>
      </w:pPr>
    </w:p>
    <w:p>
      <w:pPr>
        <w:pStyle w:val="nz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nzIndenta"/>
      </w:pPr>
      <w:r>
        <w:tab/>
        <w:t>(a)</w:t>
      </w:r>
      <w:r>
        <w:tab/>
        <w:t>about a person who resides in the State; or</w:t>
      </w:r>
    </w:p>
    <w:p>
      <w:pPr>
        <w:pStyle w:val="nzIndenta"/>
      </w:pPr>
      <w:r>
        <w:tab/>
        <w:t>(b)</w:t>
      </w:r>
      <w:r>
        <w:tab/>
        <w:t>relating to, or arising from, the occupation of residential premises under a residential tenancy agreement within the State.</w:t>
      </w:r>
    </w:p>
    <w:p>
      <w:pPr>
        <w:pStyle w:val="BlankClose"/>
      </w:pPr>
    </w:p>
    <w:p>
      <w:pPr>
        <w:pStyle w:val="nzHeading5"/>
      </w:pPr>
      <w:r>
        <w:rPr>
          <w:rStyle w:val="CharSectno"/>
        </w:rPr>
        <w:t>71</w:t>
      </w:r>
      <w:r>
        <w:t>.</w:t>
      </w:r>
      <w:r>
        <w:tab/>
        <w:t>Part 8 inserted</w:t>
      </w:r>
    </w:p>
    <w:p>
      <w:pPr>
        <w:pStyle w:val="nzSubsection"/>
      </w:pPr>
      <w:r>
        <w:tab/>
      </w:r>
      <w:r>
        <w:tab/>
        <w:t>After section 97 insert:</w:t>
      </w:r>
    </w:p>
    <w:p>
      <w:pPr>
        <w:pStyle w:val="BlankOpen"/>
      </w:pPr>
    </w:p>
    <w:p>
      <w:pPr>
        <w:pStyle w:val="nzHeading2"/>
      </w:pPr>
      <w:r>
        <w:t xml:space="preserve">Part 8 — Transitional provision relating to the </w:t>
      </w:r>
      <w:r>
        <w:rPr>
          <w:i/>
        </w:rPr>
        <w:t>Consumer Protection Legislation Amendment Act 2019</w:t>
      </w:r>
    </w:p>
    <w:p>
      <w:pPr>
        <w:pStyle w:val="nzHeading5"/>
      </w:pPr>
      <w:r>
        <w:t>98.</w:t>
      </w:r>
      <w:r>
        <w:tab/>
        <w:t>Application of s. 49A to residential tenancy agreements and utility charges</w:t>
      </w:r>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nzDefstart"/>
      </w:pPr>
      <w:r>
        <w:tab/>
      </w:r>
      <w:r>
        <w:rPr>
          <w:rStyle w:val="CharDefText"/>
        </w:rPr>
        <w:t>public utility services</w:t>
      </w:r>
      <w:r>
        <w:t xml:space="preserve"> has the meaning given in the </w:t>
      </w:r>
      <w:r>
        <w:rPr>
          <w:i/>
        </w:rPr>
        <w:t>Land Administration Act 1997</w:t>
      </w:r>
      <w:r>
        <w:t xml:space="preserve"> section 3(1).</w:t>
      </w:r>
    </w:p>
    <w:p>
      <w:pPr>
        <w:pStyle w:val="nzSubsection"/>
      </w:pPr>
      <w:r>
        <w:tab/>
        <w:t>(2)</w:t>
      </w:r>
      <w:r>
        <w:tab/>
        <w:t>Subject to subsections (3) and (4), section 49A, as in force on and after commencement day, applies to a residential tenancy agreement (to the extent relevant) even though it was entered into before commencement day.</w:t>
      </w:r>
    </w:p>
    <w:p>
      <w:pPr>
        <w:pStyle w:val="nz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nz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17" w:name="_Toc5719445"/>
      <w:bookmarkStart w:id="418" w:name="_Toc22915959"/>
      <w:bookmarkStart w:id="419" w:name="_Toc22916159"/>
      <w:r>
        <w:rPr>
          <w:sz w:val="28"/>
        </w:rPr>
        <w:t>Defined terms</w:t>
      </w:r>
      <w:bookmarkEnd w:id="417"/>
      <w:bookmarkEnd w:id="418"/>
      <w:bookmarkEnd w:id="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5" w:name="Schedule"/>
    <w:bookmarkEnd w:id="4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0" w:name="DefinedTerms"/>
    <w:bookmarkEnd w:id="4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08364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C12F-08A0-4953-8CF0-5620977D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43336</Words>
  <Characters>204551</Characters>
  <Application>Microsoft Office Word</Application>
  <DocSecurity>0</DocSecurity>
  <Lines>5528</Lines>
  <Paragraphs>2951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1987 - 06-g0-00</dc:title>
  <dc:subject/>
  <dc:creator/>
  <cp:keywords/>
  <dc:description/>
  <cp:lastModifiedBy>svcMRProcess</cp:lastModifiedBy>
  <cp:revision>4</cp:revision>
  <cp:lastPrinted>2019-04-15T08:42:00Z</cp:lastPrinted>
  <dcterms:created xsi:type="dcterms:W3CDTF">2019-10-25T09:18:00Z</dcterms:created>
  <dcterms:modified xsi:type="dcterms:W3CDTF">2019-10-25T09:18:00Z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24 Oct 2019</vt:lpwstr>
  </property>
  <property fmtid="{D5CDD505-2E9C-101B-9397-08002B2CF9AE}" pid="8" name="Suffix">
    <vt:lpwstr>06-g0-00</vt:lpwstr>
  </property>
  <property fmtid="{D5CDD505-2E9C-101B-9397-08002B2CF9AE}" pid="9" name="CommencementDate">
    <vt:lpwstr>20191024</vt:lpwstr>
  </property>
</Properties>
</file>