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Bdr>
          <w:bottom w:val="single" w:sz="4" w:space="1" w:color="auto"/>
        </w:pBdr>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_Toc23326450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_Toc23326451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_Toc23326452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_Toc23326453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_Toc23326454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_Toc23326455 \h </w:instrText>
      </w:r>
      <w:r>
        <w:fldChar w:fldCharType="separate"/>
      </w:r>
      <w:r>
        <w:t>3</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_Toc23326456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_Toc23326457 \h </w:instrText>
      </w:r>
      <w:r>
        <w:fldChar w:fldCharType="separate"/>
      </w:r>
      <w:r>
        <w:t>4</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_Toc23326458 \h </w:instrText>
      </w:r>
      <w:r>
        <w:fldChar w:fldCharType="separate"/>
      </w:r>
      <w:r>
        <w:t>4</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_Toc23326459 \h </w:instrText>
      </w:r>
      <w:r>
        <w:fldChar w:fldCharType="separate"/>
      </w:r>
      <w:r>
        <w:t>4</w:t>
      </w:r>
      <w:r>
        <w:fldChar w:fldCharType="end"/>
      </w:r>
    </w:p>
    <w:p>
      <w:pPr>
        <w:pStyle w:val="TOC8"/>
        <w:rPr>
          <w:rFonts w:asciiTheme="minorHAnsi" w:eastAsiaTheme="minorEastAsia" w:hAnsiTheme="minorHAnsi" w:cstheme="minorBidi"/>
          <w:szCs w:val="22"/>
        </w:rPr>
      </w:pPr>
      <w:r>
        <w:t>7C.</w:t>
      </w:r>
      <w:r>
        <w:tab/>
        <w:t>Scale of fees — acupuncturists</w:t>
      </w:r>
      <w:r>
        <w:tab/>
      </w:r>
      <w:r>
        <w:fldChar w:fldCharType="begin"/>
      </w:r>
      <w:r>
        <w:instrText xml:space="preserve"> PAGEREF _Toc23326460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_Toc23326461 \h </w:instrText>
      </w:r>
      <w:r>
        <w:fldChar w:fldCharType="separate"/>
      </w:r>
      <w:r>
        <w:t>5</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_Toc23326462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_Toc23326463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fees: medical specialists and other medical practitioners</w:t>
      </w:r>
    </w:p>
    <w:p>
      <w:pPr>
        <w:pStyle w:val="TOC4"/>
        <w:tabs>
          <w:tab w:val="right" w:leader="dot" w:pos="7077"/>
        </w:tabs>
        <w:rPr>
          <w:rFonts w:asciiTheme="minorHAnsi" w:eastAsiaTheme="minorEastAsia" w:hAnsiTheme="minorHAnsi" w:cstheme="minorBidi"/>
          <w:b w:val="0"/>
          <w:szCs w:val="22"/>
        </w:rPr>
      </w:pPr>
      <w:r>
        <w:t>Part 1 — Medical specialists and other medical practitioners</w:t>
      </w:r>
    </w:p>
    <w:p>
      <w:pPr>
        <w:pStyle w:val="TOC6"/>
        <w:tabs>
          <w:tab w:val="right" w:leader="dot" w:pos="7077"/>
        </w:tabs>
        <w:rPr>
          <w:rFonts w:asciiTheme="minorHAnsi" w:eastAsiaTheme="minorEastAsia" w:hAnsiTheme="minorHAnsi" w:cstheme="minorBidi"/>
          <w:b w:val="0"/>
          <w:sz w:val="22"/>
          <w:szCs w:val="22"/>
        </w:rPr>
      </w:pPr>
      <w:r>
        <w:t>Division 1 — Procedures</w:t>
      </w:r>
    </w:p>
    <w:p>
      <w:pPr>
        <w:pStyle w:val="TOC6"/>
        <w:tabs>
          <w:tab w:val="right" w:leader="dot" w:pos="7077"/>
        </w:tabs>
        <w:rPr>
          <w:rFonts w:asciiTheme="minorHAnsi" w:eastAsiaTheme="minorEastAsia" w:hAnsiTheme="minorHAnsi" w:cstheme="minorBidi"/>
          <w:b w:val="0"/>
          <w:sz w:val="22"/>
          <w:szCs w:val="22"/>
        </w:rPr>
      </w:pPr>
      <w:r>
        <w:t>Division 2 — Therapeutic and diagnostic services</w:t>
      </w:r>
    </w:p>
    <w:p>
      <w:pPr>
        <w:pStyle w:val="TOC4"/>
        <w:tabs>
          <w:tab w:val="right" w:leader="dot" w:pos="7077"/>
        </w:tabs>
        <w:rPr>
          <w:rFonts w:asciiTheme="minorHAnsi" w:eastAsiaTheme="minorEastAsia" w:hAnsiTheme="minorHAnsi" w:cstheme="minorBidi"/>
          <w:b w:val="0"/>
          <w:szCs w:val="22"/>
        </w:rPr>
      </w:pPr>
      <w:r>
        <w:t>Part 2 — Medical procedures</w:t>
      </w:r>
    </w:p>
    <w:p>
      <w:pPr>
        <w:pStyle w:val="TOC4"/>
        <w:tabs>
          <w:tab w:val="right" w:leader="dot" w:pos="7077"/>
        </w:tabs>
        <w:rPr>
          <w:rFonts w:asciiTheme="minorHAnsi" w:eastAsiaTheme="minorEastAsia" w:hAnsiTheme="minorHAnsi" w:cstheme="minorBidi"/>
          <w:b w:val="0"/>
          <w:szCs w:val="22"/>
        </w:rPr>
      </w:pPr>
      <w:r>
        <w:t>Part 3 — Diagnostic Imaging Services</w:t>
      </w:r>
    </w:p>
    <w:p>
      <w:pPr>
        <w:pStyle w:val="TOC2"/>
        <w:tabs>
          <w:tab w:val="right" w:leader="dot" w:pos="7077"/>
        </w:tabs>
        <w:rPr>
          <w:rFonts w:asciiTheme="minorHAnsi" w:eastAsiaTheme="minorEastAsia" w:hAnsiTheme="minorHAnsi" w:cstheme="minorBidi"/>
          <w:b w:val="0"/>
          <w:sz w:val="22"/>
          <w:szCs w:val="22"/>
        </w:rPr>
      </w:pPr>
      <w:r>
        <w:t>Schedule 2 — Scale of fees: physiotherapists</w:t>
      </w:r>
    </w:p>
    <w:p>
      <w:pPr>
        <w:pStyle w:val="TOC4"/>
        <w:tabs>
          <w:tab w:val="right" w:leader="dot" w:pos="7077"/>
        </w:tabs>
        <w:rPr>
          <w:rFonts w:asciiTheme="minorHAnsi" w:eastAsiaTheme="minorEastAsia" w:hAnsiTheme="minorHAnsi" w:cstheme="minorBidi"/>
          <w:b w:val="0"/>
          <w:szCs w:val="22"/>
        </w:rPr>
      </w:pPr>
      <w:r>
        <w:t>Part 1 — General</w:t>
      </w:r>
    </w:p>
    <w:p>
      <w:pPr>
        <w:pStyle w:val="TOC4"/>
        <w:tabs>
          <w:tab w:val="right" w:leader="dot" w:pos="7077"/>
        </w:tabs>
        <w:rPr>
          <w:rFonts w:asciiTheme="minorHAnsi" w:eastAsiaTheme="minorEastAsia" w:hAnsiTheme="minorHAnsi" w:cstheme="minorBidi"/>
          <w:b w:val="0"/>
          <w:szCs w:val="22"/>
        </w:rPr>
      </w:pPr>
      <w:r>
        <w:t>Part 2 — Exercise</w:t>
      </w:r>
      <w:r>
        <w:noBreakHyphen/>
        <w:t>based programmes</w:t>
      </w:r>
    </w:p>
    <w:p>
      <w:pPr>
        <w:pStyle w:val="TOC2"/>
        <w:tabs>
          <w:tab w:val="right" w:leader="dot" w:pos="7077"/>
        </w:tabs>
        <w:rPr>
          <w:rFonts w:asciiTheme="minorHAnsi" w:eastAsiaTheme="minorEastAsia" w:hAnsiTheme="minorHAnsi" w:cstheme="minorBidi"/>
          <w:b w:val="0"/>
          <w:sz w:val="22"/>
          <w:szCs w:val="22"/>
        </w:rPr>
      </w:pPr>
      <w:r>
        <w:t>Schedule 3 — Scale of fees: chiropractors</w:t>
      </w:r>
    </w:p>
    <w:p>
      <w:pPr>
        <w:pStyle w:val="TOC2"/>
        <w:tabs>
          <w:tab w:val="right" w:leader="dot" w:pos="7077"/>
        </w:tabs>
        <w:rPr>
          <w:rFonts w:asciiTheme="minorHAnsi" w:eastAsiaTheme="minorEastAsia" w:hAnsiTheme="minorHAnsi" w:cstheme="minorBidi"/>
          <w:b w:val="0"/>
          <w:sz w:val="22"/>
          <w:szCs w:val="22"/>
        </w:rPr>
      </w:pPr>
      <w:r>
        <w:t>Schedule 4 — Scale of fees: occupational therapists</w:t>
      </w:r>
    </w:p>
    <w:p>
      <w:pPr>
        <w:pStyle w:val="TOC2"/>
        <w:tabs>
          <w:tab w:val="right" w:leader="dot" w:pos="7077"/>
        </w:tabs>
        <w:rPr>
          <w:rFonts w:asciiTheme="minorHAnsi" w:eastAsiaTheme="minorEastAsia" w:hAnsiTheme="minorHAnsi" w:cstheme="minorBidi"/>
          <w:b w:val="0"/>
          <w:sz w:val="22"/>
          <w:szCs w:val="22"/>
        </w:rPr>
      </w:pPr>
      <w:r>
        <w:t>Schedule 5 — Scale of fees: speech pathologists</w:t>
      </w:r>
    </w:p>
    <w:p>
      <w:pPr>
        <w:pStyle w:val="TOC2"/>
        <w:tabs>
          <w:tab w:val="right" w:leader="dot" w:pos="7077"/>
        </w:tabs>
        <w:rPr>
          <w:rFonts w:asciiTheme="minorHAnsi" w:eastAsiaTheme="minorEastAsia" w:hAnsiTheme="minorHAnsi" w:cstheme="minorBidi"/>
          <w:b w:val="0"/>
          <w:sz w:val="22"/>
          <w:szCs w:val="22"/>
        </w:rPr>
      </w:pPr>
      <w:r>
        <w:t>Schedule 5A — Scale of fees: exercise physiologists</w:t>
      </w:r>
    </w:p>
    <w:p>
      <w:pPr>
        <w:pStyle w:val="TOC4"/>
        <w:tabs>
          <w:tab w:val="right" w:leader="dot" w:pos="7077"/>
        </w:tabs>
        <w:rPr>
          <w:rFonts w:asciiTheme="minorHAnsi" w:eastAsiaTheme="minorEastAsia" w:hAnsiTheme="minorHAnsi" w:cstheme="minorBidi"/>
          <w:b w:val="0"/>
          <w:szCs w:val="22"/>
        </w:rPr>
      </w:pPr>
      <w:r>
        <w:t>Exercise</w:t>
      </w:r>
      <w:r>
        <w:noBreakHyphen/>
        <w:t>based programmes</w:t>
      </w:r>
    </w:p>
    <w:p>
      <w:pPr>
        <w:pStyle w:val="TOC2"/>
        <w:tabs>
          <w:tab w:val="right" w:leader="dot" w:pos="7077"/>
        </w:tabs>
        <w:rPr>
          <w:rFonts w:asciiTheme="minorHAnsi" w:eastAsiaTheme="minorEastAsia" w:hAnsiTheme="minorHAnsi" w:cstheme="minorBidi"/>
          <w:b w:val="0"/>
          <w:sz w:val="22"/>
          <w:szCs w:val="22"/>
        </w:rPr>
      </w:pPr>
      <w:r>
        <w:t>Schedule 6 — Scale of maximum fees: approved medical specialists</w:t>
      </w:r>
    </w:p>
    <w:p>
      <w:pPr>
        <w:pStyle w:val="TOC4"/>
        <w:tabs>
          <w:tab w:val="right" w:leader="dot" w:pos="7077"/>
        </w:tabs>
        <w:rPr>
          <w:rFonts w:asciiTheme="minorHAnsi" w:eastAsiaTheme="minorEastAsia" w:hAnsiTheme="minorHAnsi" w:cstheme="minorBidi"/>
          <w:b w:val="0"/>
          <w:szCs w:val="22"/>
        </w:rPr>
      </w:pPr>
      <w:r>
        <w:t>Part 1 — Assessments</w:t>
      </w:r>
    </w:p>
    <w:p>
      <w:pPr>
        <w:pStyle w:val="TOC4"/>
        <w:tabs>
          <w:tab w:val="right" w:leader="dot" w:pos="7077"/>
        </w:tabs>
        <w:rPr>
          <w:rFonts w:asciiTheme="minorHAnsi" w:eastAsiaTheme="minorEastAsia" w:hAnsiTheme="minorHAnsi" w:cstheme="minorBidi"/>
          <w:b w:val="0"/>
          <w:szCs w:val="22"/>
        </w:rPr>
      </w:pPr>
      <w:r>
        <w:t>Part 2 — Attempted assessments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_Toc23326482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3" w:name="_Toc23326450"/>
      <w:r>
        <w:rPr>
          <w:rStyle w:val="CharSectno"/>
        </w:rPr>
        <w:t>1</w:t>
      </w:r>
      <w:r>
        <w:rPr>
          <w:snapToGrid w:val="0"/>
        </w:rPr>
        <w:t>.</w:t>
      </w:r>
      <w:r>
        <w:rPr>
          <w:snapToGrid w:val="0"/>
        </w:rPr>
        <w:tab/>
        <w:t>Citation</w:t>
      </w:r>
      <w:bookmarkEnd w:id="3"/>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4" w:name="_Toc23326451"/>
      <w:r>
        <w:rPr>
          <w:rStyle w:val="CharSectno"/>
        </w:rPr>
        <w:t>2</w:t>
      </w:r>
      <w:r>
        <w:rPr>
          <w:snapToGrid w:val="0"/>
        </w:rPr>
        <w:t>.</w:t>
      </w:r>
      <w:r>
        <w:rPr>
          <w:snapToGrid w:val="0"/>
        </w:rPr>
        <w:tab/>
        <w:t>Scales of fees — medical specialists and other medical practitioners</w:t>
      </w:r>
      <w:bookmarkEnd w:id="4"/>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 2019.</w:t>
      </w:r>
    </w:p>
    <w:p>
      <w:pPr>
        <w:pStyle w:val="Footnotesection"/>
      </w:pPr>
      <w:r>
        <w:tab/>
        <w:t>[Regulation 2 amended: Gazette 28 Dec 2001 p. 6691; 23 Sep 2003 p. 4174; 19 Mar 2004 p. 863; 11 Nov 2005 p. 5569 and 5570; 22 Dec 2006 p. 5757-8; 7 Dec 2007 p. 6034; 6 Oct 2017 p. 5203</w:t>
      </w:r>
      <w:r>
        <w:noBreakHyphen/>
        <w:t>4; 19 Oct 2018 p. 4161; 22 Oct 2019 p. 3734.]</w:t>
      </w:r>
    </w:p>
    <w:p>
      <w:pPr>
        <w:pStyle w:val="Heading5"/>
        <w:rPr>
          <w:snapToGrid w:val="0"/>
        </w:rPr>
      </w:pPr>
      <w:bookmarkStart w:id="5" w:name="_Toc23326452"/>
      <w:r>
        <w:rPr>
          <w:rStyle w:val="CharSectno"/>
        </w:rPr>
        <w:t>3</w:t>
      </w:r>
      <w:r>
        <w:rPr>
          <w:snapToGrid w:val="0"/>
        </w:rPr>
        <w:t>.</w:t>
      </w:r>
      <w:r>
        <w:rPr>
          <w:snapToGrid w:val="0"/>
        </w:rPr>
        <w:tab/>
        <w:t>Scale of fees — physiotherapists</w:t>
      </w:r>
      <w:bookmarkEnd w:id="5"/>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6" w:name="_Toc23326453"/>
      <w:r>
        <w:rPr>
          <w:rStyle w:val="CharSectno"/>
        </w:rPr>
        <w:t>4</w:t>
      </w:r>
      <w:r>
        <w:rPr>
          <w:snapToGrid w:val="0"/>
        </w:rPr>
        <w:t>.</w:t>
      </w:r>
      <w:r>
        <w:rPr>
          <w:snapToGrid w:val="0"/>
        </w:rPr>
        <w:tab/>
        <w:t>Scale of fees — chiropractors</w:t>
      </w:r>
      <w:bookmarkEnd w:id="6"/>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7" w:name="_Toc23326454"/>
      <w:r>
        <w:rPr>
          <w:rStyle w:val="CharSectno"/>
        </w:rPr>
        <w:t>5</w:t>
      </w:r>
      <w:r>
        <w:rPr>
          <w:snapToGrid w:val="0"/>
        </w:rPr>
        <w:t>.</w:t>
      </w:r>
      <w:r>
        <w:rPr>
          <w:snapToGrid w:val="0"/>
        </w:rPr>
        <w:tab/>
        <w:t>Scale of fees — occupational therapists</w:t>
      </w:r>
      <w:bookmarkEnd w:id="7"/>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8" w:name="_Toc23326455"/>
      <w:r>
        <w:rPr>
          <w:rStyle w:val="CharSectno"/>
        </w:rPr>
        <w:t>6</w:t>
      </w:r>
      <w:r>
        <w:t>.</w:t>
      </w:r>
      <w:r>
        <w:tab/>
        <w:t>Scale of fees — clinical psychologists</w:t>
      </w:r>
      <w:bookmarkEnd w:id="8"/>
    </w:p>
    <w:p>
      <w:pPr>
        <w:pStyle w:val="Subsection"/>
      </w:pPr>
      <w:r>
        <w:tab/>
        <w:t>(1)</w:t>
      </w:r>
      <w:r>
        <w:tab/>
        <w:t>Under section 292(2)(a)(vi) of the Act, the hourly rate of $253.70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 22 Oct 2019 p. 3734.]</w:t>
      </w:r>
    </w:p>
    <w:p>
      <w:pPr>
        <w:pStyle w:val="Heading5"/>
      </w:pPr>
      <w:bookmarkStart w:id="9" w:name="_Toc23326456"/>
      <w:r>
        <w:rPr>
          <w:rStyle w:val="CharSectno"/>
        </w:rPr>
        <w:t>6A</w:t>
      </w:r>
      <w:r>
        <w:t>.</w:t>
      </w:r>
      <w:r>
        <w:tab/>
        <w:t>Scale of fees — counselling psychology</w:t>
      </w:r>
      <w:bookmarkEnd w:id="9"/>
    </w:p>
    <w:p>
      <w:pPr>
        <w:pStyle w:val="Subsection"/>
      </w:pPr>
      <w:r>
        <w:tab/>
      </w:r>
      <w:r>
        <w:tab/>
        <w:t>Under section 292(2)(a)(viii) of the Act, the hourly rate of $253.70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 22 Oct 2019 p. 3734.]</w:t>
      </w:r>
    </w:p>
    <w:p>
      <w:pPr>
        <w:pStyle w:val="Heading5"/>
        <w:rPr>
          <w:snapToGrid w:val="0"/>
        </w:rPr>
      </w:pPr>
      <w:bookmarkStart w:id="10" w:name="_Toc23326457"/>
      <w:r>
        <w:rPr>
          <w:rStyle w:val="CharSectno"/>
        </w:rPr>
        <w:t>7</w:t>
      </w:r>
      <w:r>
        <w:rPr>
          <w:snapToGrid w:val="0"/>
        </w:rPr>
        <w:t>.</w:t>
      </w:r>
      <w:r>
        <w:rPr>
          <w:snapToGrid w:val="0"/>
        </w:rPr>
        <w:tab/>
        <w:t>Scale of fees — speech pathologists</w:t>
      </w:r>
      <w:bookmarkEnd w:id="10"/>
    </w:p>
    <w:p>
      <w:pPr>
        <w:pStyle w:val="Subsection"/>
        <w:keepLines/>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11" w:name="_Toc23326458"/>
      <w:r>
        <w:rPr>
          <w:rStyle w:val="CharSectno"/>
        </w:rPr>
        <w:t>7A</w:t>
      </w:r>
      <w:r>
        <w:t>.</w:t>
      </w:r>
      <w:r>
        <w:tab/>
        <w:t>Scale of fees — osteopaths</w:t>
      </w:r>
      <w:bookmarkEnd w:id="11"/>
    </w:p>
    <w:p>
      <w:pPr>
        <w:pStyle w:val="Subsection"/>
      </w:pPr>
      <w:r>
        <w:tab/>
      </w:r>
      <w:r>
        <w:tab/>
        <w:t xml:space="preserve">Under section 292(2)(a)(viii) of the Act, the amount of $80.25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 22 Oct 2019 p. 3734.]</w:t>
      </w:r>
    </w:p>
    <w:p>
      <w:pPr>
        <w:pStyle w:val="Heading5"/>
      </w:pPr>
      <w:bookmarkStart w:id="12" w:name="_Toc23326459"/>
      <w:r>
        <w:rPr>
          <w:rStyle w:val="CharSectno"/>
        </w:rPr>
        <w:t>7B</w:t>
      </w:r>
      <w:r>
        <w:t>.</w:t>
      </w:r>
      <w:r>
        <w:tab/>
        <w:t>Scale of fees — exercise physiologists</w:t>
      </w:r>
      <w:bookmarkEnd w:id="12"/>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13" w:name="_Toc23326460"/>
      <w:r>
        <w:rPr>
          <w:rStyle w:val="CharSectno"/>
        </w:rPr>
        <w:t>7C</w:t>
      </w:r>
      <w:r>
        <w:t>.</w:t>
      </w:r>
      <w:r>
        <w:tab/>
        <w:t>Scale of fees — acupuncturists</w:t>
      </w:r>
      <w:bookmarkEnd w:id="13"/>
    </w:p>
    <w:p>
      <w:pPr>
        <w:pStyle w:val="Subsection"/>
        <w:keepNext/>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$78.30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Gazette 20 Mar 2015 p. 912; amended: Gazette 16 Oct 2015 p. 4076; 21 Oct 2016 p. 4822; 6 Oct 2017 p. 5204; 19 Oct 2018 p. 4162; 22 Oct 2019 p. 3734.]</w:t>
      </w:r>
    </w:p>
    <w:p>
      <w:pPr>
        <w:pStyle w:val="Heading5"/>
        <w:rPr>
          <w:snapToGrid w:val="0"/>
        </w:rPr>
      </w:pPr>
      <w:bookmarkStart w:id="14" w:name="_Toc23326461"/>
      <w:r>
        <w:rPr>
          <w:rStyle w:val="CharSectno"/>
        </w:rPr>
        <w:t>8</w:t>
      </w:r>
      <w:r>
        <w:rPr>
          <w:snapToGrid w:val="0"/>
        </w:rPr>
        <w:t>.</w:t>
      </w:r>
      <w:r>
        <w:rPr>
          <w:snapToGrid w:val="0"/>
        </w:rPr>
        <w:tab/>
        <w:t>Scale of fees — vocational rehabilitation providers</w:t>
      </w:r>
      <w:bookmarkEnd w:id="14"/>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$189.30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 22 Oct 2019 p. 3734.]</w:t>
      </w:r>
    </w:p>
    <w:p>
      <w:pPr>
        <w:pStyle w:val="Heading5"/>
      </w:pPr>
      <w:bookmarkStart w:id="15" w:name="_Toc23326462"/>
      <w:r>
        <w:rPr>
          <w:rStyle w:val="CharSectno"/>
        </w:rPr>
        <w:t>9</w:t>
      </w:r>
      <w:r>
        <w:t>.</w:t>
      </w:r>
      <w:r>
        <w:tab/>
        <w:t>Scale of maximum fees — approved medical specialists</w:t>
      </w:r>
      <w:bookmarkEnd w:id="1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16" w:name="_Toc23326463"/>
      <w:r>
        <w:rPr>
          <w:rStyle w:val="CharSectno"/>
        </w:rPr>
        <w:t>10</w:t>
      </w:r>
      <w:r>
        <w:t>.</w:t>
      </w:r>
      <w:r>
        <w:tab/>
        <w:t>Effect of GST</w:t>
      </w:r>
      <w:bookmarkEnd w:id="16"/>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7" w:name="_Toc22638147"/>
      <w:bookmarkStart w:id="18" w:name="_Toc22641907"/>
      <w:bookmarkStart w:id="19" w:name="_Toc23242889"/>
      <w:bookmarkStart w:id="20" w:name="_Toc23326464"/>
      <w:r>
        <w:rPr>
          <w:rStyle w:val="CharSchNo"/>
        </w:rPr>
        <w:t>Schedule 1</w:t>
      </w:r>
      <w:r>
        <w:t> — </w:t>
      </w:r>
      <w:r>
        <w:rPr>
          <w:rStyle w:val="CharSchText"/>
        </w:rPr>
        <w:t>Scale of fees: medical specialists and other medical practitioners</w:t>
      </w:r>
      <w:bookmarkEnd w:id="17"/>
      <w:bookmarkEnd w:id="18"/>
      <w:bookmarkEnd w:id="19"/>
      <w:bookmarkEnd w:id="20"/>
    </w:p>
    <w:p>
      <w:pPr>
        <w:pStyle w:val="yShoulderClause"/>
      </w:pPr>
      <w:r>
        <w:t>[r. 2]</w:t>
      </w:r>
    </w:p>
    <w:p>
      <w:pPr>
        <w:pStyle w:val="yFootnoteheading"/>
      </w:pPr>
      <w:r>
        <w:tab/>
        <w:t>[Heading inserted: Gazette 16 Oct 2015 p. 4077.]</w:t>
      </w:r>
    </w:p>
    <w:p>
      <w:pPr>
        <w:pStyle w:val="yHeading3"/>
      </w:pPr>
      <w:bookmarkStart w:id="21" w:name="_Toc22638148"/>
      <w:bookmarkStart w:id="22" w:name="_Toc22641908"/>
      <w:bookmarkStart w:id="23" w:name="_Toc23242890"/>
      <w:bookmarkStart w:id="24" w:name="_Toc23326465"/>
      <w:r>
        <w:rPr>
          <w:rStyle w:val="CharSDivNo"/>
        </w:rPr>
        <w:t>Part 1</w:t>
      </w:r>
      <w:r>
        <w:t> — </w:t>
      </w:r>
      <w:r>
        <w:rPr>
          <w:rStyle w:val="CharSDivText"/>
        </w:rPr>
        <w:t>Medical specialists and other medical practitioners</w:t>
      </w:r>
      <w:bookmarkEnd w:id="21"/>
      <w:bookmarkEnd w:id="22"/>
      <w:bookmarkEnd w:id="23"/>
      <w:bookmarkEnd w:id="24"/>
    </w:p>
    <w:p>
      <w:pPr>
        <w:pStyle w:val="yFootnoteheading"/>
      </w:pPr>
      <w:r>
        <w:tab/>
        <w:t>[Heading inserted: Gazette 16 Oct 2015 p. 4077.]</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tcPr>
          <w:p>
            <w:pPr>
              <w:pStyle w:val="yTHeadingNAm"/>
              <w:ind w:left="708" w:hanging="816"/>
              <w:jc w:val="left"/>
            </w:pPr>
            <w:r>
              <w:t>Type of service/by whom</w:t>
            </w:r>
          </w:p>
        </w:tc>
        <w:tc>
          <w:tcPr>
            <w:tcW w:w="1134" w:type="dxa"/>
          </w:tcPr>
          <w:p>
            <w:pPr>
              <w:pStyle w:val="yMiscellaneousHeading"/>
              <w:keepNext w:val="0"/>
              <w:spacing w:after="60"/>
              <w:rPr>
                <w:b/>
              </w:rPr>
            </w:pPr>
            <w:r>
              <w:rPr>
                <w:b/>
              </w:rPr>
              <w:t>Fee</w:t>
            </w:r>
          </w:p>
          <w:p>
            <w:pPr>
              <w:pStyle w:val="yMiscellaneousHeading"/>
              <w:keepNext w:val="0"/>
              <w:spacing w:after="60"/>
              <w:rPr>
                <w:b/>
              </w:rPr>
            </w:pPr>
          </w:p>
        </w:tc>
      </w:tr>
    </w:tbl>
    <w:p>
      <w:pPr>
        <w:pStyle w:val="yMiscellaneousHeading"/>
        <w:keepNext w:val="0"/>
        <w:spacing w:before="0" w:after="6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pPr>
          </w:p>
        </w:tc>
      </w:tr>
      <w:tr>
        <w:tc>
          <w:tcPr>
            <w:tcW w:w="5245" w:type="dxa"/>
          </w:tcPr>
          <w:p>
            <w:pPr>
              <w:pStyle w:val="yTableNAm"/>
            </w:pPr>
            <w:r>
              <w:tab/>
              <w:t>Minor or Specific Service (Level A or B)</w:t>
            </w:r>
          </w:p>
        </w:tc>
        <w:tc>
          <w:tcPr>
            <w:tcW w:w="1134" w:type="dxa"/>
          </w:tcPr>
          <w:p>
            <w:pPr>
              <w:pStyle w:val="yTableNAm"/>
              <w:jc w:val="right"/>
            </w:pPr>
            <w:r>
              <w:rPr>
                <w:szCs w:val="22"/>
              </w:rPr>
              <w:t>$78.90</w:t>
            </w:r>
          </w:p>
        </w:tc>
      </w:tr>
      <w:tr>
        <w:tc>
          <w:tcPr>
            <w:tcW w:w="5245" w:type="dxa"/>
          </w:tcPr>
          <w:p>
            <w:pPr>
              <w:pStyle w:val="yTableNAm"/>
            </w:pPr>
            <w:r>
              <w:tab/>
              <w:t>Extended Service (Level C)</w:t>
            </w:r>
          </w:p>
        </w:tc>
        <w:tc>
          <w:tcPr>
            <w:tcW w:w="1134" w:type="dxa"/>
          </w:tcPr>
          <w:p>
            <w:pPr>
              <w:pStyle w:val="yTableNAm"/>
              <w:jc w:val="right"/>
              <w:rPr>
                <w:szCs w:val="22"/>
              </w:rPr>
            </w:pPr>
            <w:r>
              <w:rPr>
                <w:szCs w:val="22"/>
              </w:rPr>
              <w:t>$144.10</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$221.35</w:t>
            </w:r>
          </w:p>
        </w:tc>
      </w:tr>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rPr>
                <w:szCs w:val="22"/>
              </w:rPr>
            </w:pPr>
            <w:r>
              <w:rPr>
                <w:szCs w:val="22"/>
              </w:rPr>
              <w:t>$47.05</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$61.30</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$118.35</w:t>
            </w:r>
          </w:p>
        </w:tc>
      </w:tr>
      <w:tr>
        <w:tc>
          <w:tcPr>
            <w:tcW w:w="5245" w:type="dxa"/>
          </w:tcPr>
          <w:p>
            <w:pPr>
              <w:pStyle w:val="yTableNAm"/>
            </w:pPr>
            <w:r>
              <w:tab/>
              <w:t>more than 30 minutes to 45 minutes</w:t>
            </w:r>
          </w:p>
        </w:tc>
        <w:tc>
          <w:tcPr>
            <w:tcW w:w="1134" w:type="dxa"/>
          </w:tcPr>
          <w:p>
            <w:pPr>
              <w:pStyle w:val="yTableNAm"/>
              <w:jc w:val="right"/>
              <w:rPr>
                <w:szCs w:val="22"/>
              </w:rPr>
            </w:pPr>
            <w:r>
              <w:rPr>
                <w:szCs w:val="22"/>
              </w:rPr>
              <w:t>$179.05</w:t>
            </w:r>
          </w:p>
        </w:tc>
      </w:tr>
      <w:tr>
        <w:tc>
          <w:tcPr>
            <w:tcW w:w="5245" w:type="dxa"/>
          </w:tcPr>
          <w:p>
            <w:pPr>
              <w:pStyle w:val="yTableNAm"/>
            </w:pPr>
            <w:r>
              <w:tab/>
              <w:t>more than 45 minutes to 60 minutes</w:t>
            </w:r>
          </w:p>
        </w:tc>
        <w:tc>
          <w:tcPr>
            <w:tcW w:w="1134" w:type="dxa"/>
          </w:tcPr>
          <w:p>
            <w:pPr>
              <w:pStyle w:val="yTableNAm"/>
              <w:jc w:val="right"/>
              <w:rPr>
                <w:szCs w:val="22"/>
              </w:rPr>
            </w:pPr>
            <w:r>
              <w:rPr>
                <w:szCs w:val="22"/>
              </w:rPr>
              <w:t>$242.60</w:t>
            </w:r>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br w:type="page"/>
            </w:r>
            <w:r>
              <w:rPr>
                <w:b/>
              </w:rPr>
              <w:t>Content based</w:t>
            </w:r>
          </w:p>
        </w:tc>
        <w:tc>
          <w:tcPr>
            <w:tcW w:w="1134" w:type="dxa"/>
            <w:vAlign w:val="center"/>
          </w:tcPr>
          <w:p>
            <w:pPr>
              <w:pStyle w:val="yTableNAm"/>
              <w:keepNext/>
              <w:rPr>
                <w:szCs w:val="22"/>
              </w:rPr>
            </w:pPr>
          </w:p>
        </w:tc>
      </w:tr>
      <w:tr>
        <w:tc>
          <w:tcPr>
            <w:tcW w:w="5245" w:type="dxa"/>
          </w:tcPr>
          <w:p>
            <w:pPr>
              <w:pStyle w:val="yTableNAm"/>
            </w:pPr>
            <w:r>
              <w:tab/>
              <w:t>Minor Service (Level A)</w:t>
            </w:r>
          </w:p>
        </w:tc>
        <w:tc>
          <w:tcPr>
            <w:tcW w:w="1134" w:type="dxa"/>
          </w:tcPr>
          <w:p>
            <w:pPr>
              <w:pStyle w:val="yTableNAm"/>
              <w:jc w:val="right"/>
              <w:rPr>
                <w:szCs w:val="22"/>
              </w:rPr>
            </w:pPr>
            <w:r>
              <w:rPr>
                <w:szCs w:val="22"/>
              </w:rPr>
              <w:t>$59.20</w:t>
            </w:r>
          </w:p>
        </w:tc>
      </w:tr>
      <w:tr>
        <w:tc>
          <w:tcPr>
            <w:tcW w:w="5245" w:type="dxa"/>
          </w:tcPr>
          <w:p>
            <w:pPr>
              <w:pStyle w:val="yTableNAm"/>
            </w:pPr>
            <w:r>
              <w:tab/>
              <w:t>Specific Service (Level B)</w:t>
            </w:r>
          </w:p>
        </w:tc>
        <w:tc>
          <w:tcPr>
            <w:tcW w:w="1134" w:type="dxa"/>
          </w:tcPr>
          <w:p>
            <w:pPr>
              <w:pStyle w:val="yTableNAm"/>
              <w:jc w:val="right"/>
              <w:rPr>
                <w:szCs w:val="22"/>
              </w:rPr>
            </w:pPr>
            <w:r>
              <w:rPr>
                <w:szCs w:val="22"/>
              </w:rPr>
              <w:t>$118.35</w:t>
            </w:r>
          </w:p>
        </w:tc>
      </w:tr>
      <w:tr>
        <w:tc>
          <w:tcPr>
            <w:tcW w:w="5245" w:type="dxa"/>
          </w:tcPr>
          <w:p>
            <w:pPr>
              <w:pStyle w:val="yTableNAm"/>
            </w:pPr>
            <w:r>
              <w:tab/>
              <w:t>Extended Service (Level C)</w:t>
            </w:r>
          </w:p>
        </w:tc>
        <w:tc>
          <w:tcPr>
            <w:tcW w:w="1134" w:type="dxa"/>
          </w:tcPr>
          <w:p>
            <w:pPr>
              <w:pStyle w:val="yTableNAm"/>
              <w:jc w:val="right"/>
              <w:rPr>
                <w:szCs w:val="22"/>
              </w:rPr>
            </w:pPr>
            <w:r>
              <w:rPr>
                <w:szCs w:val="22"/>
              </w:rPr>
              <w:t>$215.45</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$333.60</w:t>
            </w:r>
          </w:p>
        </w:tc>
      </w:tr>
      <w:tr>
        <w:tc>
          <w:tcPr>
            <w:tcW w:w="5245" w:type="dxa"/>
          </w:tcPr>
          <w:p>
            <w:pPr>
              <w:pStyle w:val="yTableNAm"/>
              <w:rPr>
                <w:b/>
              </w:rPr>
            </w:pPr>
            <w:r>
              <w:rPr>
                <w:b/>
              </w:rPr>
              <w:t>Time based</w:t>
            </w:r>
          </w:p>
        </w:tc>
        <w:tc>
          <w:tcPr>
            <w:tcW w:w="1134" w:type="dxa"/>
            <w:vAlign w:val="center"/>
          </w:tcPr>
          <w:p>
            <w:pPr>
              <w:pStyle w:val="yTableNAm"/>
              <w:jc w:val="right"/>
              <w:rPr>
                <w:szCs w:val="22"/>
              </w:rPr>
            </w:pPr>
          </w:p>
        </w:tc>
      </w:tr>
      <w:tr>
        <w:tc>
          <w:tcPr>
            <w:tcW w:w="5245" w:type="dxa"/>
          </w:tcPr>
          <w:p>
            <w:pPr>
              <w:pStyle w:val="yTableNAm"/>
            </w:pPr>
            <w:r>
              <w:tab/>
              <w:t>up to 5 minutes</w:t>
            </w:r>
          </w:p>
        </w:tc>
        <w:tc>
          <w:tcPr>
            <w:tcW w:w="1134" w:type="dxa"/>
          </w:tcPr>
          <w:p>
            <w:pPr>
              <w:pStyle w:val="yTableNAm"/>
              <w:jc w:val="right"/>
              <w:rPr>
                <w:szCs w:val="22"/>
              </w:rPr>
            </w:pPr>
            <w:r>
              <w:rPr>
                <w:szCs w:val="22"/>
              </w:rPr>
              <w:t>$93.75</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$101.70</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$157.55</w:t>
            </w:r>
          </w:p>
        </w:tc>
      </w:tr>
      <w:tr>
        <w:tc>
          <w:tcPr>
            <w:tcW w:w="5245" w:type="dxa"/>
          </w:tcPr>
          <w:p>
            <w:pPr>
              <w:pStyle w:val="yTableNAm"/>
            </w:pPr>
            <w:r>
              <w:tab/>
              <w:t>more than 30 minutes</w:t>
            </w:r>
          </w:p>
        </w:tc>
        <w:tc>
          <w:tcPr>
            <w:tcW w:w="1134" w:type="dxa"/>
          </w:tcPr>
          <w:p>
            <w:pPr>
              <w:pStyle w:val="yTableNAm"/>
              <w:jc w:val="right"/>
              <w:rPr>
                <w:szCs w:val="22"/>
              </w:rPr>
            </w:pPr>
            <w:r>
              <w:rPr>
                <w:szCs w:val="22"/>
              </w:rPr>
              <w:t>$215.45</w:t>
            </w:r>
          </w:p>
        </w:tc>
      </w:tr>
    </w:tbl>
    <w:p>
      <w:pPr>
        <w:pStyle w:val="yMiscellaneousHeading"/>
        <w:keepNext w:val="0"/>
        <w:jc w:val="left"/>
      </w:pPr>
      <w:r>
        <w:t>VISITS</w:t>
      </w:r>
    </w:p>
    <w:p>
      <w:pPr>
        <w:pStyle w:val="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in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$98.70</w:t>
            </w:r>
          </w:p>
        </w:tc>
      </w:tr>
      <w:tr>
        <w:tc>
          <w:tcPr>
            <w:tcW w:w="5245" w:type="dxa"/>
          </w:tcPr>
          <w:p>
            <w:pPr>
              <w:pStyle w:val="yTableNAm"/>
            </w:pPr>
            <w:r>
              <w:tab/>
              <w:t>Specific Service (Level B)</w:t>
            </w:r>
          </w:p>
        </w:tc>
        <w:tc>
          <w:tcPr>
            <w:tcW w:w="1134" w:type="dxa"/>
          </w:tcPr>
          <w:p>
            <w:pPr>
              <w:pStyle w:val="yTableNAm"/>
              <w:jc w:val="right"/>
            </w:pPr>
            <w:r>
              <w:rPr>
                <w:szCs w:val="22"/>
              </w:rPr>
              <w:t>$134.90</w:t>
            </w:r>
          </w:p>
        </w:tc>
      </w:tr>
      <w:tr>
        <w:tc>
          <w:tcPr>
            <w:tcW w:w="5245" w:type="dxa"/>
          </w:tcPr>
          <w:p>
            <w:pPr>
              <w:pStyle w:val="yTableNAm"/>
            </w:pPr>
            <w:r>
              <w:tab/>
              <w:t>Extended Service (Level C)</w:t>
            </w:r>
          </w:p>
        </w:tc>
        <w:tc>
          <w:tcPr>
            <w:tcW w:w="1134" w:type="dxa"/>
          </w:tcPr>
          <w:p>
            <w:pPr>
              <w:pStyle w:val="yTableNAm"/>
              <w:jc w:val="right"/>
            </w:pPr>
            <w:r>
              <w:rPr>
                <w:szCs w:val="22"/>
              </w:rPr>
              <w:t>$200.15</w:t>
            </w:r>
          </w:p>
        </w:tc>
      </w:tr>
      <w:tr>
        <w:tc>
          <w:tcPr>
            <w:tcW w:w="5245" w:type="dxa"/>
          </w:tcPr>
          <w:p>
            <w:pPr>
              <w:pStyle w:val="yTableNAm"/>
            </w:pPr>
            <w:r>
              <w:tab/>
              <w:t>Comprehensive Service (Level D)</w:t>
            </w:r>
          </w:p>
        </w:tc>
        <w:tc>
          <w:tcPr>
            <w:tcW w:w="1134" w:type="dxa"/>
          </w:tcPr>
          <w:p>
            <w:pPr>
              <w:pStyle w:val="yTableNAm"/>
              <w:jc w:val="right"/>
            </w:pPr>
            <w:r>
              <w:rPr>
                <w:szCs w:val="22"/>
              </w:rPr>
              <w:t>$278.95</w:t>
            </w:r>
          </w:p>
        </w:tc>
      </w:tr>
      <w:tr>
        <w:tc>
          <w:tcPr>
            <w:tcW w:w="5245" w:type="dxa"/>
          </w:tcPr>
          <w:p>
            <w:pPr>
              <w:pStyle w:val="yTableNAm"/>
            </w:pPr>
            <w:r>
              <w:t>out of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$118.35</w:t>
            </w:r>
          </w:p>
        </w:tc>
      </w:tr>
      <w:tr>
        <w:tc>
          <w:tcPr>
            <w:tcW w:w="5245" w:type="dxa"/>
          </w:tcPr>
          <w:p>
            <w:pPr>
              <w:pStyle w:val="yTableNAm"/>
            </w:pPr>
            <w:r>
              <w:tab/>
              <w:t>Specific Service (Level B)</w:t>
            </w:r>
          </w:p>
        </w:tc>
        <w:tc>
          <w:tcPr>
            <w:tcW w:w="1134" w:type="dxa"/>
          </w:tcPr>
          <w:p>
            <w:pPr>
              <w:pStyle w:val="yTableNAm"/>
              <w:jc w:val="right"/>
            </w:pPr>
            <w:r>
              <w:rPr>
                <w:szCs w:val="22"/>
              </w:rPr>
              <w:t>176.00</w:t>
            </w:r>
          </w:p>
        </w:tc>
      </w:tr>
      <w:tr>
        <w:tc>
          <w:tcPr>
            <w:tcW w:w="5245" w:type="dxa"/>
          </w:tcPr>
          <w:p>
            <w:pPr>
              <w:pStyle w:val="yTableNAm"/>
            </w:pPr>
            <w:r>
              <w:tab/>
              <w:t>Extended Service (Level C)</w:t>
            </w:r>
          </w:p>
        </w:tc>
        <w:tc>
          <w:tcPr>
            <w:tcW w:w="1134" w:type="dxa"/>
          </w:tcPr>
          <w:p>
            <w:pPr>
              <w:pStyle w:val="yTableNAm"/>
              <w:jc w:val="right"/>
            </w:pPr>
            <w:r>
              <w:rPr>
                <w:szCs w:val="22"/>
              </w:rPr>
              <w:t>$269.95</w:t>
            </w:r>
          </w:p>
        </w:tc>
      </w:tr>
      <w:tr>
        <w:tc>
          <w:tcPr>
            <w:tcW w:w="5245" w:type="dxa"/>
          </w:tcPr>
          <w:p>
            <w:pPr>
              <w:pStyle w:val="yTableNAm"/>
            </w:pPr>
            <w:r>
              <w:tab/>
              <w:t>Comprehensive Service (Level D)</w:t>
            </w:r>
          </w:p>
        </w:tc>
        <w:tc>
          <w:tcPr>
            <w:tcW w:w="1134" w:type="dxa"/>
          </w:tcPr>
          <w:p>
            <w:pPr>
              <w:pStyle w:val="yTableNAm"/>
              <w:jc w:val="right"/>
            </w:pPr>
            <w:r>
              <w:rPr>
                <w:szCs w:val="22"/>
              </w:rPr>
              <w:t>$394.30</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rPr>
                <w:szCs w:val="22"/>
              </w:rPr>
              <w:t>$26.25</w:t>
            </w:r>
          </w:p>
        </w:tc>
      </w:tr>
      <w:tr>
        <w:tc>
          <w:tcPr>
            <w:tcW w:w="5245" w:type="dxa"/>
          </w:tcPr>
          <w:p>
            <w:pPr>
              <w:pStyle w:val="yTableNAm"/>
            </w:pPr>
            <w:r>
              <w:tab/>
              <w:t>more than 5 minutes to 15 minutes</w:t>
            </w:r>
          </w:p>
        </w:tc>
        <w:tc>
          <w:tcPr>
            <w:tcW w:w="1134" w:type="dxa"/>
          </w:tcPr>
          <w:p>
            <w:pPr>
              <w:pStyle w:val="yTableNAm"/>
              <w:jc w:val="right"/>
            </w:pPr>
            <w:r>
              <w:rPr>
                <w:szCs w:val="22"/>
              </w:rPr>
              <w:t>$33.00</w:t>
            </w:r>
          </w:p>
        </w:tc>
      </w:tr>
      <w:tr>
        <w:tc>
          <w:tcPr>
            <w:tcW w:w="5245" w:type="dxa"/>
          </w:tcPr>
          <w:p>
            <w:pPr>
              <w:pStyle w:val="yTableNAm"/>
            </w:pPr>
            <w:r>
              <w:tab/>
              <w:t>more than 15 minutes to 30 minutes</w:t>
            </w:r>
          </w:p>
        </w:tc>
        <w:tc>
          <w:tcPr>
            <w:tcW w:w="1134" w:type="dxa"/>
          </w:tcPr>
          <w:p>
            <w:pPr>
              <w:pStyle w:val="yTableNAm"/>
              <w:jc w:val="right"/>
            </w:pPr>
            <w:r>
              <w:rPr>
                <w:szCs w:val="22"/>
              </w:rPr>
              <w:t>$69.00</w:t>
            </w:r>
          </w:p>
        </w:tc>
      </w:tr>
      <w:tr>
        <w:tc>
          <w:tcPr>
            <w:tcW w:w="5245" w:type="dxa"/>
          </w:tcPr>
          <w:p>
            <w:pPr>
              <w:pStyle w:val="yTableNAm"/>
            </w:pPr>
            <w:r>
              <w:tab/>
              <w:t>more than 30 minutes</w:t>
            </w:r>
          </w:p>
        </w:tc>
        <w:tc>
          <w:tcPr>
            <w:tcW w:w="1134" w:type="dxa"/>
          </w:tcPr>
          <w:p>
            <w:pPr>
              <w:pStyle w:val="yTableNAm"/>
              <w:jc w:val="right"/>
            </w:pPr>
            <w:r>
              <w:rPr>
                <w:szCs w:val="22"/>
              </w:rPr>
              <w:t>$103.40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$296.65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$5.35</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$299.50</w:t>
            </w:r>
          </w:p>
        </w:tc>
      </w:tr>
      <w:tr>
        <w:tc>
          <w:tcPr>
            <w:tcW w:w="5245" w:type="dxa"/>
          </w:tcPr>
          <w:p>
            <w:pPr>
              <w:pStyle w:val="yTableNAm"/>
            </w:pPr>
            <w:r>
              <w:t>subsequent attendances</w:t>
            </w:r>
          </w:p>
        </w:tc>
        <w:tc>
          <w:tcPr>
            <w:tcW w:w="1134" w:type="dxa"/>
          </w:tcPr>
          <w:p>
            <w:pPr>
              <w:pStyle w:val="yTableNAm"/>
              <w:jc w:val="right"/>
            </w:pPr>
            <w:r>
              <w:rPr>
                <w:szCs w:val="22"/>
              </w:rPr>
              <w:t>$149.75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$358.50</w:t>
            </w:r>
          </w:p>
        </w:tc>
      </w:tr>
      <w:tr>
        <w:tc>
          <w:tcPr>
            <w:tcW w:w="5245" w:type="dxa"/>
          </w:tcPr>
          <w:p>
            <w:pPr>
              <w:pStyle w:val="yTableNAm"/>
            </w:pPr>
            <w:r>
              <w:t>subsequent attendances</w:t>
            </w:r>
          </w:p>
        </w:tc>
        <w:tc>
          <w:tcPr>
            <w:tcW w:w="1134" w:type="dxa"/>
          </w:tcPr>
          <w:p>
            <w:pPr>
              <w:pStyle w:val="yTableNAm"/>
              <w:jc w:val="right"/>
            </w:pPr>
            <w:r>
              <w:rPr>
                <w:szCs w:val="22"/>
              </w:rPr>
              <w:t>$206.80</w:t>
            </w:r>
          </w:p>
        </w:tc>
      </w:tr>
    </w:tbl>
    <w:p>
      <w:pPr>
        <w:pStyle w:val="yMiscellaneousHeading"/>
        <w:keepNext w:val="0"/>
        <w:jc w:val="left"/>
        <w:rPr>
          <w:b/>
          <w:i/>
        </w:rPr>
      </w:pPr>
      <w:r>
        <w:rPr>
          <w:b/>
          <w:i/>
        </w:rPr>
        <w:t>REHABILITATION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$299.50</w:t>
            </w:r>
          </w:p>
        </w:tc>
      </w:tr>
      <w:tr>
        <w:tc>
          <w:tcPr>
            <w:tcW w:w="5245" w:type="dxa"/>
          </w:tcPr>
          <w:p>
            <w:pPr>
              <w:pStyle w:val="yTableNAm"/>
            </w:pPr>
            <w:r>
              <w:t>subsequent attendances</w:t>
            </w:r>
          </w:p>
        </w:tc>
        <w:tc>
          <w:tcPr>
            <w:tcW w:w="1134" w:type="dxa"/>
          </w:tcPr>
          <w:p>
            <w:pPr>
              <w:pStyle w:val="yTableNAm"/>
              <w:jc w:val="right"/>
            </w:pPr>
            <w:r>
              <w:rPr>
                <w:szCs w:val="22"/>
              </w:rPr>
              <w:t>$149.75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$358.50</w:t>
            </w:r>
          </w:p>
        </w:tc>
      </w:tr>
      <w:tr>
        <w:tc>
          <w:tcPr>
            <w:tcW w:w="5245" w:type="dxa"/>
          </w:tcPr>
          <w:p>
            <w:pPr>
              <w:pStyle w:val="yTableNAm"/>
            </w:pPr>
            <w:r>
              <w:t>subsequent attendances</w:t>
            </w:r>
          </w:p>
        </w:tc>
        <w:tc>
          <w:tcPr>
            <w:tcW w:w="1134" w:type="dxa"/>
          </w:tcPr>
          <w:p>
            <w:pPr>
              <w:pStyle w:val="yTableNAm"/>
              <w:jc w:val="right"/>
            </w:pPr>
            <w:r>
              <w:rPr>
                <w:szCs w:val="22"/>
              </w:rPr>
              <w:t>$206.80</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$304.35</w:t>
            </w:r>
          </w:p>
        </w:tc>
      </w:tr>
      <w:tr>
        <w:tc>
          <w:tcPr>
            <w:tcW w:w="5245" w:type="dxa"/>
          </w:tcPr>
          <w:p>
            <w:pPr>
              <w:pStyle w:val="yTableNAm"/>
            </w:pPr>
            <w:r>
              <w:t>subsequent attendances</w:t>
            </w:r>
          </w:p>
        </w:tc>
        <w:tc>
          <w:tcPr>
            <w:tcW w:w="1134" w:type="dxa"/>
          </w:tcPr>
          <w:p>
            <w:pPr>
              <w:pStyle w:val="yTableNAm"/>
              <w:jc w:val="right"/>
            </w:pPr>
            <w:r>
              <w:rPr>
                <w:szCs w:val="22"/>
              </w:rPr>
              <w:t>$149.75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$358.50</w:t>
            </w:r>
          </w:p>
        </w:tc>
      </w:tr>
      <w:tr>
        <w:tc>
          <w:tcPr>
            <w:tcW w:w="5245" w:type="dxa"/>
          </w:tcPr>
          <w:p>
            <w:pPr>
              <w:pStyle w:val="yTableNAm"/>
            </w:pPr>
            <w:r>
              <w:t>subsequent attendances</w:t>
            </w:r>
          </w:p>
        </w:tc>
        <w:tc>
          <w:tcPr>
            <w:tcW w:w="1134" w:type="dxa"/>
          </w:tcPr>
          <w:p>
            <w:pPr>
              <w:pStyle w:val="yTableNAm"/>
              <w:jc w:val="right"/>
            </w:pPr>
            <w:r>
              <w:rPr>
                <w:szCs w:val="22"/>
              </w:rPr>
              <w:t>$206.80</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$39.35</w:t>
            </w:r>
          </w:p>
        </w:tc>
      </w:tr>
      <w:tr>
        <w:tc>
          <w:tcPr>
            <w:tcW w:w="5245" w:type="dxa"/>
          </w:tcPr>
          <w:p>
            <w:pPr>
              <w:pStyle w:val="yTableNAm"/>
            </w:pPr>
            <w:r>
              <w:tab/>
              <w:t>more than 5 minutes to 15 minutes</w:t>
            </w:r>
          </w:p>
        </w:tc>
        <w:tc>
          <w:tcPr>
            <w:tcW w:w="1134" w:type="dxa"/>
          </w:tcPr>
          <w:p>
            <w:pPr>
              <w:pStyle w:val="yTableNAm"/>
              <w:jc w:val="right"/>
            </w:pPr>
            <w:r>
              <w:rPr>
                <w:szCs w:val="22"/>
              </w:rPr>
              <w:t>$48.40</w:t>
            </w:r>
          </w:p>
        </w:tc>
      </w:tr>
      <w:tr>
        <w:tc>
          <w:tcPr>
            <w:tcW w:w="5245" w:type="dxa"/>
          </w:tcPr>
          <w:p>
            <w:pPr>
              <w:pStyle w:val="yTableNAm"/>
            </w:pPr>
            <w:r>
              <w:tab/>
              <w:t>more than 15 minutes to 30 minutes</w:t>
            </w:r>
          </w:p>
        </w:tc>
        <w:tc>
          <w:tcPr>
            <w:tcW w:w="1134" w:type="dxa"/>
          </w:tcPr>
          <w:p>
            <w:pPr>
              <w:pStyle w:val="yTableNAm"/>
              <w:jc w:val="right"/>
            </w:pPr>
            <w:r>
              <w:rPr>
                <w:szCs w:val="22"/>
              </w:rPr>
              <w:t>$101.25</w:t>
            </w:r>
          </w:p>
        </w:tc>
      </w:tr>
      <w:tr>
        <w:tc>
          <w:tcPr>
            <w:tcW w:w="5245" w:type="dxa"/>
          </w:tcPr>
          <w:p>
            <w:pPr>
              <w:pStyle w:val="yTableNAm"/>
            </w:pPr>
            <w:r>
              <w:tab/>
              <w:t>more than 30 minutes</w:t>
            </w:r>
          </w:p>
        </w:tc>
        <w:tc>
          <w:tcPr>
            <w:tcW w:w="1134" w:type="dxa"/>
          </w:tcPr>
          <w:p>
            <w:pPr>
              <w:pStyle w:val="yTableNAm"/>
              <w:jc w:val="right"/>
            </w:pPr>
            <w:r>
              <w:rPr>
                <w:szCs w:val="22"/>
              </w:rPr>
              <w:t>$152.90</w:t>
            </w:r>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$439.80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$5.35</w:t>
            </w:r>
          </w:p>
        </w:tc>
      </w:tr>
    </w:tbl>
    <w:p>
      <w:pPr>
        <w:pStyle w:val="yMiscellaneousHeading"/>
        <w:keepNext w:val="0"/>
        <w:jc w:val="left"/>
        <w:rPr>
          <w:b/>
          <w:i/>
        </w:rPr>
      </w:pPr>
      <w:r>
        <w:rPr>
          <w:b/>
          <w:i/>
        </w:rPr>
        <w:t>CONSULTANT PSYCHIATRISTS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15 minutes</w:t>
            </w:r>
          </w:p>
        </w:tc>
        <w:tc>
          <w:tcPr>
            <w:tcW w:w="1134" w:type="dxa"/>
          </w:tcPr>
          <w:p>
            <w:pPr>
              <w:pStyle w:val="yTableNAm"/>
              <w:jc w:val="right"/>
            </w:pPr>
            <w:r>
              <w:rPr>
                <w:szCs w:val="22"/>
              </w:rPr>
              <w:t>$87.85</w:t>
            </w:r>
          </w:p>
        </w:tc>
      </w:tr>
      <w:tr>
        <w:tc>
          <w:tcPr>
            <w:tcW w:w="5245" w:type="dxa"/>
          </w:tcPr>
          <w:p>
            <w:pPr>
              <w:pStyle w:val="yTableNAm"/>
            </w:pPr>
            <w:r>
              <w:tab/>
              <w:t>more than 15 minutes to 30 minutes</w:t>
            </w:r>
          </w:p>
        </w:tc>
        <w:tc>
          <w:tcPr>
            <w:tcW w:w="1134" w:type="dxa"/>
          </w:tcPr>
          <w:p>
            <w:pPr>
              <w:pStyle w:val="yTableNAm"/>
              <w:jc w:val="right"/>
            </w:pPr>
            <w:r>
              <w:rPr>
                <w:szCs w:val="22"/>
              </w:rPr>
              <w:t>$175.20</w:t>
            </w:r>
          </w:p>
        </w:tc>
      </w:tr>
      <w:tr>
        <w:tc>
          <w:tcPr>
            <w:tcW w:w="5245" w:type="dxa"/>
          </w:tcPr>
          <w:p>
            <w:pPr>
              <w:pStyle w:val="yTableNAm"/>
            </w:pPr>
            <w:r>
              <w:tab/>
              <w:t>more than 30 minutes to 45 minutes</w:t>
            </w:r>
          </w:p>
        </w:tc>
        <w:tc>
          <w:tcPr>
            <w:tcW w:w="1134" w:type="dxa"/>
          </w:tcPr>
          <w:p>
            <w:pPr>
              <w:pStyle w:val="yTableNAm"/>
              <w:jc w:val="right"/>
            </w:pPr>
            <w:r>
              <w:rPr>
                <w:szCs w:val="22"/>
              </w:rPr>
              <w:t>$262.45</w:t>
            </w:r>
          </w:p>
        </w:tc>
      </w:tr>
      <w:tr>
        <w:tc>
          <w:tcPr>
            <w:tcW w:w="5245" w:type="dxa"/>
          </w:tcPr>
          <w:p>
            <w:pPr>
              <w:pStyle w:val="yTableNAm"/>
            </w:pPr>
            <w:r>
              <w:tab/>
              <w:t>more than 45 minutes to 60 minutes</w:t>
            </w:r>
          </w:p>
        </w:tc>
        <w:tc>
          <w:tcPr>
            <w:tcW w:w="1134" w:type="dxa"/>
          </w:tcPr>
          <w:p>
            <w:pPr>
              <w:pStyle w:val="yTableNAm"/>
              <w:jc w:val="right"/>
            </w:pPr>
            <w:r>
              <w:rPr>
                <w:szCs w:val="22"/>
              </w:rPr>
              <w:t>$351.15</w:t>
            </w:r>
          </w:p>
        </w:tc>
      </w:tr>
      <w:tr>
        <w:tc>
          <w:tcPr>
            <w:tcW w:w="5245" w:type="dxa"/>
          </w:tcPr>
          <w:p>
            <w:pPr>
              <w:pStyle w:val="yTableNAm"/>
            </w:pPr>
            <w:r>
              <w:tab/>
              <w:t>more than 60 minutes to 75 minutes</w:t>
            </w:r>
          </w:p>
        </w:tc>
        <w:tc>
          <w:tcPr>
            <w:tcW w:w="1134" w:type="dxa"/>
          </w:tcPr>
          <w:p>
            <w:pPr>
              <w:pStyle w:val="yTableNAm"/>
              <w:jc w:val="right"/>
            </w:pPr>
            <w:r>
              <w:rPr>
                <w:szCs w:val="22"/>
              </w:rPr>
              <w:t>$397.35</w:t>
            </w:r>
          </w:p>
        </w:tc>
      </w:tr>
      <w:tr>
        <w:tc>
          <w:tcPr>
            <w:tcW w:w="5245" w:type="dxa"/>
          </w:tcPr>
          <w:p>
            <w:pPr>
              <w:pStyle w:val="yTableNAm"/>
            </w:pPr>
            <w:r>
              <w:tab/>
              <w:t>more than 75 minutes</w:t>
            </w:r>
          </w:p>
        </w:tc>
        <w:tc>
          <w:tcPr>
            <w:tcW w:w="1134" w:type="dxa"/>
          </w:tcPr>
          <w:p>
            <w:pPr>
              <w:pStyle w:val="yTableNAm"/>
              <w:jc w:val="right"/>
            </w:pPr>
            <w:r>
              <w:rPr>
                <w:szCs w:val="22"/>
              </w:rPr>
              <w:t>$443.50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pPr>
            <w:r>
              <w:t>Professional attendance at a place other than consulting rooms or a hospital and issue of certificate (if required) et al</w:t>
            </w:r>
          </w:p>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15 minutes</w:t>
            </w:r>
          </w:p>
        </w:tc>
        <w:tc>
          <w:tcPr>
            <w:tcW w:w="1134" w:type="dxa"/>
          </w:tcPr>
          <w:p>
            <w:pPr>
              <w:pStyle w:val="yTableNAm"/>
              <w:jc w:val="right"/>
            </w:pPr>
            <w:r>
              <w:rPr>
                <w:szCs w:val="22"/>
              </w:rPr>
              <w:t>$144.20</w:t>
            </w:r>
          </w:p>
        </w:tc>
      </w:tr>
      <w:tr>
        <w:trPr>
          <w:cantSplit/>
        </w:trPr>
        <w:tc>
          <w:tcPr>
            <w:tcW w:w="5245" w:type="dxa"/>
          </w:tcPr>
          <w:p>
            <w:pPr>
              <w:pStyle w:val="yTableNAm"/>
            </w:pPr>
            <w:r>
              <w:tab/>
              <w:t>more than 15 minutes to 30 minutes</w:t>
            </w:r>
          </w:p>
        </w:tc>
        <w:tc>
          <w:tcPr>
            <w:tcW w:w="1134" w:type="dxa"/>
          </w:tcPr>
          <w:p>
            <w:pPr>
              <w:pStyle w:val="yTableNAm"/>
              <w:jc w:val="right"/>
            </w:pPr>
            <w:r>
              <w:rPr>
                <w:szCs w:val="22"/>
              </w:rPr>
              <w:t>$232.85</w:t>
            </w:r>
          </w:p>
        </w:tc>
      </w:tr>
      <w:tr>
        <w:trPr>
          <w:cantSplit/>
        </w:trPr>
        <w:tc>
          <w:tcPr>
            <w:tcW w:w="5245" w:type="dxa"/>
          </w:tcPr>
          <w:p>
            <w:pPr>
              <w:pStyle w:val="yTableNAm"/>
            </w:pPr>
            <w:r>
              <w:tab/>
              <w:t>more than 30 minutes to 45 minutes</w:t>
            </w:r>
          </w:p>
        </w:tc>
        <w:tc>
          <w:tcPr>
            <w:tcW w:w="1134" w:type="dxa"/>
          </w:tcPr>
          <w:p>
            <w:pPr>
              <w:pStyle w:val="yTableNAm"/>
              <w:jc w:val="right"/>
            </w:pPr>
            <w:r>
              <w:rPr>
                <w:szCs w:val="22"/>
              </w:rPr>
              <w:t>$317.75</w:t>
            </w:r>
          </w:p>
        </w:tc>
      </w:tr>
      <w:tr>
        <w:trPr>
          <w:cantSplit/>
        </w:trPr>
        <w:tc>
          <w:tcPr>
            <w:tcW w:w="5245" w:type="dxa"/>
          </w:tcPr>
          <w:p>
            <w:pPr>
              <w:pStyle w:val="yTableNAm"/>
            </w:pPr>
            <w:r>
              <w:tab/>
              <w:t>more than 45 minutes to 75 minutes</w:t>
            </w:r>
          </w:p>
        </w:tc>
        <w:tc>
          <w:tcPr>
            <w:tcW w:w="1134" w:type="dxa"/>
          </w:tcPr>
          <w:p>
            <w:pPr>
              <w:pStyle w:val="yTableNAm"/>
              <w:jc w:val="right"/>
            </w:pPr>
            <w:r>
              <w:rPr>
                <w:szCs w:val="22"/>
              </w:rPr>
              <w:t>$406.50</w:t>
            </w:r>
          </w:p>
        </w:tc>
      </w:tr>
      <w:tr>
        <w:trPr>
          <w:cantSplit/>
        </w:trPr>
        <w:tc>
          <w:tcPr>
            <w:tcW w:w="5245" w:type="dxa"/>
          </w:tcPr>
          <w:p>
            <w:pPr>
              <w:pStyle w:val="yTableNAm"/>
            </w:pPr>
            <w:r>
              <w:tab/>
              <w:t>more than 75 minutes</w:t>
            </w:r>
          </w:p>
        </w:tc>
        <w:tc>
          <w:tcPr>
            <w:tcW w:w="1134" w:type="dxa"/>
          </w:tcPr>
          <w:p>
            <w:pPr>
              <w:pStyle w:val="yTableNAm"/>
              <w:jc w:val="right"/>
            </w:pPr>
            <w:r>
              <w:rPr>
                <w:szCs w:val="22"/>
              </w:rPr>
              <w:t>$489.90</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keepNext/>
              <w:rPr>
                <w:b/>
              </w:rPr>
            </w:pPr>
            <w:r>
              <w:rPr>
                <w:b/>
              </w:rPr>
              <w:t>Time based</w:t>
            </w:r>
          </w:p>
        </w:tc>
        <w:tc>
          <w:tcPr>
            <w:tcW w:w="1134" w:type="dxa"/>
            <w:vAlign w:val="center"/>
          </w:tcPr>
          <w:p>
            <w:pPr>
              <w:pStyle w:val="yTableNAm"/>
              <w:keepNext/>
              <w:jc w:val="right"/>
            </w:pPr>
          </w:p>
        </w:tc>
      </w:tr>
      <w:tr>
        <w:trPr>
          <w:cantSplit/>
        </w:trPr>
        <w:tc>
          <w:tcPr>
            <w:tcW w:w="5245" w:type="dxa"/>
          </w:tcPr>
          <w:p>
            <w:pPr>
              <w:pStyle w:val="yTableNAm"/>
            </w:pPr>
            <w:r>
              <w:tab/>
              <w:t>up to 45 minutes</w:t>
            </w:r>
          </w:p>
        </w:tc>
        <w:tc>
          <w:tcPr>
            <w:tcW w:w="1134" w:type="dxa"/>
          </w:tcPr>
          <w:p>
            <w:pPr>
              <w:pStyle w:val="yTableNAm"/>
              <w:jc w:val="right"/>
              <w:rPr>
                <w:b/>
              </w:rPr>
            </w:pPr>
            <w:r>
              <w:rPr>
                <w:szCs w:val="22"/>
              </w:rPr>
              <w:t>$116.60</w:t>
            </w:r>
          </w:p>
        </w:tc>
      </w:tr>
      <w:tr>
        <w:trPr>
          <w:cantSplit/>
        </w:trPr>
        <w:tc>
          <w:tcPr>
            <w:tcW w:w="5245" w:type="dxa"/>
          </w:tcPr>
          <w:p>
            <w:pPr>
              <w:pStyle w:val="yTableNAm"/>
            </w:pPr>
            <w:r>
              <w:tab/>
              <w:t>more than 45 minutes</w:t>
            </w:r>
          </w:p>
        </w:tc>
        <w:tc>
          <w:tcPr>
            <w:tcW w:w="1134" w:type="dxa"/>
          </w:tcPr>
          <w:p>
            <w:pPr>
              <w:pStyle w:val="yTableNAm"/>
              <w:jc w:val="right"/>
            </w:pPr>
            <w:r>
              <w:rPr>
                <w:szCs w:val="22"/>
              </w:rPr>
              <w:t>$254.35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tcPr>
          <w:p>
            <w:pPr>
              <w:pStyle w:val="yTableNAm"/>
              <w:jc w:val="right"/>
            </w:pPr>
            <w:r>
              <w:rPr>
                <w:szCs w:val="22"/>
              </w:rPr>
              <w:t>$439.80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tcPr>
          <w:p>
            <w:pPr>
              <w:pStyle w:val="yTableNAm"/>
              <w:jc w:val="right"/>
              <w:rPr>
                <w:b/>
              </w:rPr>
            </w:pPr>
            <w:r>
              <w:rPr>
                <w:szCs w:val="22"/>
              </w:rPr>
              <w:t>$5.35</w:t>
            </w:r>
          </w:p>
        </w:tc>
      </w:tr>
    </w:tbl>
    <w:p>
      <w:pPr>
        <w:pStyle w:val="yMiscellaneousHeading"/>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$170.25</w:t>
            </w:r>
          </w:p>
        </w:tc>
      </w:tr>
      <w:tr>
        <w:tc>
          <w:tcPr>
            <w:tcW w:w="5245" w:type="dxa"/>
          </w:tcPr>
          <w:p>
            <w:pPr>
              <w:pStyle w:val="yTableNAm"/>
            </w:pPr>
            <w:r>
              <w:t>subsequent attendances</w:t>
            </w:r>
          </w:p>
        </w:tc>
        <w:tc>
          <w:tcPr>
            <w:tcW w:w="1134" w:type="dxa"/>
          </w:tcPr>
          <w:p>
            <w:pPr>
              <w:pStyle w:val="yTableNAm"/>
              <w:jc w:val="right"/>
            </w:pPr>
            <w:r>
              <w:rPr>
                <w:szCs w:val="22"/>
              </w:rPr>
              <w:t>$88.80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$229.35</w:t>
            </w:r>
          </w:p>
        </w:tc>
      </w:tr>
      <w:tr>
        <w:tc>
          <w:tcPr>
            <w:tcW w:w="5245" w:type="dxa"/>
          </w:tcPr>
          <w:p>
            <w:pPr>
              <w:pStyle w:val="yTableNAm"/>
            </w:pPr>
            <w:r>
              <w:t>subsequent attendances</w:t>
            </w:r>
          </w:p>
        </w:tc>
        <w:tc>
          <w:tcPr>
            <w:tcW w:w="1134" w:type="dxa"/>
          </w:tcPr>
          <w:p>
            <w:pPr>
              <w:pStyle w:val="yTableNAm"/>
              <w:jc w:val="right"/>
            </w:pPr>
            <w:r>
              <w:rPr>
                <w:szCs w:val="22"/>
              </w:rPr>
              <w:t>$146.30</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$170.25</w:t>
            </w:r>
          </w:p>
        </w:tc>
      </w:tr>
      <w:tr>
        <w:tc>
          <w:tcPr>
            <w:tcW w:w="5245" w:type="dxa"/>
          </w:tcPr>
          <w:p>
            <w:pPr>
              <w:pStyle w:val="yTableNAm"/>
            </w:pPr>
            <w:r>
              <w:t>subsequent attendances</w:t>
            </w:r>
          </w:p>
        </w:tc>
        <w:tc>
          <w:tcPr>
            <w:tcW w:w="1134" w:type="dxa"/>
          </w:tcPr>
          <w:p>
            <w:pPr>
              <w:pStyle w:val="yTableNAm"/>
              <w:jc w:val="right"/>
            </w:pPr>
            <w:r>
              <w:rPr>
                <w:szCs w:val="22"/>
              </w:rPr>
              <w:t>$88.80</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$229.05</w:t>
            </w:r>
          </w:p>
        </w:tc>
      </w:tr>
      <w:tr>
        <w:tc>
          <w:tcPr>
            <w:tcW w:w="5245" w:type="dxa"/>
          </w:tcPr>
          <w:p>
            <w:pPr>
              <w:pStyle w:val="yTableNAm"/>
            </w:pPr>
            <w:r>
              <w:t>subsequent attendances</w:t>
            </w:r>
          </w:p>
        </w:tc>
        <w:tc>
          <w:tcPr>
            <w:tcW w:w="1134" w:type="dxa"/>
          </w:tcPr>
          <w:p>
            <w:pPr>
              <w:pStyle w:val="yTableNAm"/>
              <w:jc w:val="right"/>
            </w:pPr>
            <w:r>
              <w:rPr>
                <w:szCs w:val="22"/>
              </w:rPr>
              <w:t>$146.00</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$39.35</w:t>
            </w:r>
          </w:p>
        </w:tc>
      </w:tr>
      <w:tr>
        <w:tc>
          <w:tcPr>
            <w:tcW w:w="5245" w:type="dxa"/>
          </w:tcPr>
          <w:p>
            <w:pPr>
              <w:pStyle w:val="yTableNAm"/>
            </w:pPr>
            <w:r>
              <w:tab/>
              <w:t>more than 5 minutes to 15 minutes</w:t>
            </w:r>
          </w:p>
        </w:tc>
        <w:tc>
          <w:tcPr>
            <w:tcW w:w="1134" w:type="dxa"/>
          </w:tcPr>
          <w:p>
            <w:pPr>
              <w:pStyle w:val="yTableNAm"/>
              <w:jc w:val="right"/>
            </w:pPr>
            <w:r>
              <w:rPr>
                <w:szCs w:val="22"/>
              </w:rPr>
              <w:t>$48.40</w:t>
            </w:r>
          </w:p>
        </w:tc>
      </w:tr>
      <w:tr>
        <w:tc>
          <w:tcPr>
            <w:tcW w:w="5245" w:type="dxa"/>
          </w:tcPr>
          <w:p>
            <w:pPr>
              <w:pStyle w:val="yTableNAm"/>
            </w:pPr>
            <w:r>
              <w:tab/>
              <w:t>more than 15 minutes to 30 minutes</w:t>
            </w:r>
          </w:p>
        </w:tc>
        <w:tc>
          <w:tcPr>
            <w:tcW w:w="1134" w:type="dxa"/>
          </w:tcPr>
          <w:p>
            <w:pPr>
              <w:pStyle w:val="yTableNAm"/>
              <w:jc w:val="right"/>
            </w:pPr>
            <w:r>
              <w:rPr>
                <w:szCs w:val="22"/>
              </w:rPr>
              <w:t>$101.25</w:t>
            </w:r>
          </w:p>
        </w:tc>
      </w:tr>
      <w:tr>
        <w:tc>
          <w:tcPr>
            <w:tcW w:w="5245" w:type="dxa"/>
          </w:tcPr>
          <w:p>
            <w:pPr>
              <w:pStyle w:val="yTableNAm"/>
            </w:pPr>
            <w:r>
              <w:tab/>
              <w:t>more than 30 minutes</w:t>
            </w:r>
          </w:p>
        </w:tc>
        <w:tc>
          <w:tcPr>
            <w:tcW w:w="1134" w:type="dxa"/>
          </w:tcPr>
          <w:p>
            <w:pPr>
              <w:pStyle w:val="yTableNAm"/>
              <w:jc w:val="right"/>
            </w:pPr>
            <w:r>
              <w:rPr>
                <w:szCs w:val="22"/>
              </w:rPr>
              <w:t>$152.90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tcPr>
          <w:p>
            <w:pPr>
              <w:pStyle w:val="yTableNAm"/>
              <w:jc w:val="right"/>
            </w:pPr>
            <w:r>
              <w:rPr>
                <w:szCs w:val="22"/>
              </w:rPr>
              <w:t>$439.80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tcPr>
          <w:p>
            <w:pPr>
              <w:pStyle w:val="yTableNAm"/>
              <w:jc w:val="right"/>
            </w:pPr>
            <w:r>
              <w:rPr>
                <w:szCs w:val="22"/>
              </w:rPr>
              <w:t>$5.35</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tcPr>
          <w:p>
            <w:pPr>
              <w:pStyle w:val="yTableNAm"/>
              <w:jc w:val="right"/>
            </w:pPr>
            <w:r>
              <w:rPr>
                <w:szCs w:val="22"/>
              </w:rPr>
              <w:t>$88.55</w:t>
            </w:r>
          </w:p>
        </w:tc>
      </w:tr>
    </w:tbl>
    <w:p>
      <w:pPr>
        <w:pStyle w:val="yMiscellaneousBody"/>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NAm"/>
              <w:rPr>
                <w:b/>
              </w:rPr>
            </w:pPr>
            <w:r>
              <w:rPr>
                <w:b/>
              </w:rPr>
              <w:t>CONSULTATIONS AND ATTENDANCES</w:t>
            </w:r>
          </w:p>
        </w:tc>
        <w:tc>
          <w:tcPr>
            <w:tcW w:w="1134" w:type="dxa"/>
            <w:tcBorders>
              <w:top w:val="single" w:sz="4" w:space="0" w:color="auto"/>
              <w:bottom w:val="single" w:sz="4" w:space="0" w:color="auto"/>
            </w:tcBorders>
            <w:vAlign w:val="bottom"/>
          </w:tcPr>
          <w:p>
            <w:pPr>
              <w:pStyle w:val="yTableNAm"/>
              <w:rPr>
                <w:b/>
              </w:rPr>
            </w:pPr>
            <w:r>
              <w:rPr>
                <w:b/>
              </w:rPr>
              <w:t>Units</w:t>
            </w:r>
          </w:p>
          <w:p>
            <w:pPr>
              <w:pStyle w:val="yTableNAm"/>
              <w:rPr>
                <w:b/>
              </w:rPr>
            </w:pPr>
          </w:p>
        </w:tc>
      </w:tr>
      <w:tr>
        <w:tc>
          <w:tcPr>
            <w:tcW w:w="5245" w:type="dxa"/>
          </w:tcPr>
          <w:p>
            <w:pPr>
              <w:pStyle w:val="yTableNAm"/>
            </w:pPr>
            <w:r>
              <w:t>Anaesthetist Consultation</w:t>
            </w:r>
          </w:p>
        </w:tc>
        <w:tc>
          <w:tcPr>
            <w:tcW w:w="1134" w:type="dxa"/>
            <w:vAlign w:val="bottom"/>
          </w:tcPr>
          <w:p>
            <w:pPr>
              <w:pStyle w:val="yTableNAm"/>
              <w:jc w:val="center"/>
            </w:pPr>
          </w:p>
        </w:tc>
      </w:tr>
      <w:tr>
        <w:tc>
          <w:tcPr>
            <w:tcW w:w="5245" w:type="dxa"/>
          </w:tcPr>
          <w:p>
            <w:pPr>
              <w:pStyle w:val="yTableNAm"/>
              <w:tabs>
                <w:tab w:val="clear" w:pos="567"/>
              </w:tabs>
              <w:ind w:left="425" w:hanging="425"/>
            </w:pPr>
            <w:r>
              <w:t> — an attendance of 15 minutes or less duration</w:t>
            </w:r>
          </w:p>
        </w:tc>
        <w:tc>
          <w:tcPr>
            <w:tcW w:w="1134" w:type="dxa"/>
            <w:vAlign w:val="bottom"/>
          </w:tcPr>
          <w:p>
            <w:pPr>
              <w:pStyle w:val="yTableNAm"/>
              <w:jc w:val="center"/>
            </w:pPr>
            <w:r>
              <w:t>2</w:t>
            </w:r>
          </w:p>
        </w:tc>
      </w:tr>
      <w:tr>
        <w:tc>
          <w:tcPr>
            <w:tcW w:w="5245" w:type="dxa"/>
          </w:tcPr>
          <w:p>
            <w:pPr>
              <w:pStyle w:val="yTableNAm"/>
              <w:keepNext/>
              <w:tabs>
                <w:tab w:val="clear" w:pos="567"/>
              </w:tabs>
              <w:ind w:left="355" w:hanging="355"/>
            </w:pPr>
            <w:r>
              <w:t> — an attendance of more than 15 minutes but not more than 30 minutes duration</w:t>
            </w:r>
          </w:p>
        </w:tc>
        <w:tc>
          <w:tcPr>
            <w:tcW w:w="1134" w:type="dxa"/>
            <w:vAlign w:val="bottom"/>
          </w:tcPr>
          <w:p>
            <w:pPr>
              <w:pStyle w:val="yTableNAm"/>
              <w:keepNext/>
              <w:jc w:val="center"/>
            </w:pPr>
            <w:r>
              <w:t>4</w:t>
            </w:r>
          </w:p>
        </w:tc>
      </w:tr>
      <w:tr>
        <w:trPr>
          <w:cantSplit/>
        </w:trPr>
        <w:tc>
          <w:tcPr>
            <w:tcW w:w="5245" w:type="dxa"/>
          </w:tcPr>
          <w:p>
            <w:pPr>
              <w:pStyle w:val="yTableNAm"/>
              <w:tabs>
                <w:tab w:val="clear" w:pos="567"/>
              </w:tabs>
              <w:ind w:left="369" w:hanging="369"/>
            </w:pPr>
            <w:r>
              <w:t> — an attendance of more than 30 minutes but not more than 45 minutes duration</w:t>
            </w:r>
          </w:p>
        </w:tc>
        <w:tc>
          <w:tcPr>
            <w:tcW w:w="1134" w:type="dxa"/>
            <w:vAlign w:val="bottom"/>
          </w:tcPr>
          <w:p>
            <w:pPr>
              <w:pStyle w:val="yTableNAm"/>
              <w:jc w:val="center"/>
            </w:pPr>
            <w:r>
              <w:t>6</w:t>
            </w:r>
          </w:p>
        </w:tc>
      </w:tr>
      <w:tr>
        <w:tc>
          <w:tcPr>
            <w:tcW w:w="5245" w:type="dxa"/>
          </w:tcPr>
          <w:p>
            <w:pPr>
              <w:pStyle w:val="yTableNAm"/>
              <w:tabs>
                <w:tab w:val="clear" w:pos="567"/>
              </w:tabs>
              <w:ind w:left="425" w:hanging="425"/>
            </w:pPr>
            <w:r>
              <w:t> — an attendance of more than 45 minutes duration</w:t>
            </w:r>
          </w:p>
        </w:tc>
        <w:tc>
          <w:tcPr>
            <w:tcW w:w="1134" w:type="dxa"/>
            <w:vAlign w:val="bottom"/>
          </w:tcPr>
          <w:p>
            <w:pPr>
              <w:pStyle w:val="yTableNAm"/>
              <w:jc w:val="center"/>
            </w:pPr>
            <w:r>
              <w:t>8</w:t>
            </w:r>
          </w:p>
        </w:tc>
      </w:tr>
      <w:tr>
        <w:tc>
          <w:tcPr>
            <w:tcW w:w="5245" w:type="dxa"/>
          </w:tcPr>
          <w:p>
            <w:pPr>
              <w:pStyle w:val="yTableNAm"/>
            </w:pPr>
            <w:r>
              <w:t>Post anaesthesia patient care following a day procedure</w:t>
            </w:r>
          </w:p>
        </w:tc>
        <w:tc>
          <w:tcPr>
            <w:tcW w:w="1134" w:type="dxa"/>
            <w:vAlign w:val="bottom"/>
          </w:tcPr>
          <w:p>
            <w:pPr>
              <w:pStyle w:val="yTableNAm"/>
              <w:jc w:val="center"/>
            </w:pPr>
            <w:r>
              <w:t>2</w:t>
            </w:r>
          </w:p>
        </w:tc>
      </w:tr>
      <w:tr>
        <w:tc>
          <w:tcPr>
            <w:tcW w:w="5245" w:type="dxa"/>
          </w:tcPr>
          <w:p>
            <w:pPr>
              <w:pStyle w:val="yTableNAm"/>
            </w:pPr>
          </w:p>
        </w:tc>
        <w:tc>
          <w:tcPr>
            <w:tcW w:w="1134" w:type="dxa"/>
            <w:vAlign w:val="bottom"/>
          </w:tcPr>
          <w:p>
            <w:pPr>
              <w:pStyle w:val="yTableNAm"/>
              <w:jc w:val="center"/>
            </w:pPr>
          </w:p>
        </w:tc>
      </w:tr>
      <w:tr>
        <w:tc>
          <w:tcPr>
            <w:tcW w:w="5245" w:type="dxa"/>
          </w:tcPr>
          <w:p>
            <w:pPr>
              <w:pStyle w:val="yTableNAm"/>
              <w:keepNext/>
            </w:pPr>
            <w:r>
              <w:t>EMERGENCY ATTENDANCES</w:t>
            </w:r>
          </w:p>
        </w:tc>
        <w:tc>
          <w:tcPr>
            <w:tcW w:w="1134" w:type="dxa"/>
            <w:vAlign w:val="bottom"/>
          </w:tcPr>
          <w:p>
            <w:pPr>
              <w:pStyle w:val="yTableNAm"/>
              <w:jc w:val="center"/>
            </w:pPr>
          </w:p>
        </w:tc>
      </w:tr>
      <w:tr>
        <w:tc>
          <w:tcPr>
            <w:tcW w:w="5245" w:type="dxa"/>
          </w:tcPr>
          <w:p>
            <w:pPr>
              <w:pStyle w:val="yTableNAm"/>
              <w:keepNext/>
            </w:pPr>
            <w:r>
              <w:t>After hours — where immediate attendance is required after 6 p.m. and before 8 a.m. on any weekday, or at any time on a Saturday, Sunday or a public holiday</w:t>
            </w:r>
          </w:p>
        </w:tc>
        <w:tc>
          <w:tcPr>
            <w:tcW w:w="1134" w:type="dxa"/>
            <w:vAlign w:val="bottom"/>
          </w:tcPr>
          <w:p>
            <w:pPr>
              <w:pStyle w:val="yTableNAm"/>
              <w:jc w:val="center"/>
            </w:pPr>
            <w:r>
              <w:t>6</w:t>
            </w:r>
          </w:p>
        </w:tc>
      </w:tr>
      <w:tr>
        <w:tc>
          <w:tcPr>
            <w:tcW w:w="5245" w:type="dxa"/>
          </w:tcPr>
          <w:p>
            <w:pPr>
              <w:pStyle w:val="yTableNAm"/>
              <w:keepNext/>
              <w:tabs>
                <w:tab w:val="clear" w:pos="567"/>
              </w:tabs>
              <w:rPr>
                <w:b/>
              </w:rPr>
            </w:pPr>
            <w:r>
              <w:rPr>
                <w:b/>
              </w:rPr>
              <w:t>Note: No after hours loading applies to the above item</w:t>
            </w:r>
          </w:p>
        </w:tc>
        <w:tc>
          <w:tcPr>
            <w:tcW w:w="1134" w:type="dxa"/>
            <w:vAlign w:val="bottom"/>
          </w:tcPr>
          <w:p>
            <w:pPr>
              <w:pStyle w:val="yTableNAm"/>
              <w:jc w:val="center"/>
            </w:pPr>
          </w:p>
        </w:tc>
      </w:tr>
      <w:tr>
        <w:tc>
          <w:tcPr>
            <w:tcW w:w="5245" w:type="dxa"/>
          </w:tcPr>
          <w:p>
            <w:pPr>
              <w:pStyle w:val="yTableNAm"/>
            </w:pPr>
            <w:r>
              <w:t>Attendance on a patient in imminent danger of death requiring continuous life saving emergency treatment to the exclusion of all other patients</w:t>
            </w:r>
          </w:p>
        </w:tc>
        <w:tc>
          <w:tcPr>
            <w:tcW w:w="1134" w:type="dxa"/>
            <w:vAlign w:val="bottom"/>
          </w:tcPr>
          <w:p>
            <w:pPr>
              <w:pStyle w:val="yTableNAm"/>
              <w:jc w:val="center"/>
            </w:pPr>
            <w:r>
              <w:t>6</w:t>
            </w:r>
          </w:p>
        </w:tc>
      </w:tr>
      <w:tr>
        <w:tc>
          <w:tcPr>
            <w:tcW w:w="5245" w:type="dxa"/>
            <w:tcBorders>
              <w:bottom w:val="single" w:sz="4" w:space="0" w:color="auto"/>
            </w:tcBorders>
          </w:tcPr>
          <w:p>
            <w:pPr>
              <w:pStyle w:val="yTableNAm"/>
            </w:pPr>
            <w:r>
              <w:t>Call back from home, office or other distant location for the provision of emergency services</w:t>
            </w:r>
          </w:p>
        </w:tc>
        <w:tc>
          <w:tcPr>
            <w:tcW w:w="1134" w:type="dxa"/>
            <w:tcBorders>
              <w:bottom w:val="single" w:sz="4" w:space="0" w:color="auto"/>
            </w:tcBorders>
            <w:vAlign w:val="bottom"/>
          </w:tcPr>
          <w:p>
            <w:pPr>
              <w:pStyle w:val="yTableNAm"/>
              <w:jc w:val="center"/>
            </w:pPr>
            <w:r>
              <w:t>4</w:t>
            </w:r>
          </w:p>
        </w:tc>
      </w:tr>
    </w:tbl>
    <w:p>
      <w:pPr>
        <w:pStyle w:val="yMiscellaneousHeading"/>
        <w:ind w:left="567"/>
        <w:jc w:val="left"/>
      </w:pPr>
      <w:r>
        <w:t>PROCEDURES AND SERVICES</w:t>
      </w:r>
    </w:p>
    <w:p>
      <w:pPr>
        <w:pStyle w:val="yMiscellaneousBody"/>
        <w:ind w:left="567"/>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ind w:left="567"/>
      </w:pPr>
      <w:r>
        <w:t>In Division 1, the fee for a procedure is calculated by adding the base units for the procedure, the time units, and any modifying units and multiplying the result by the $ value per unit allocated by this Schedule.</w:t>
      </w:r>
    </w:p>
    <w:p>
      <w:pPr>
        <w:pStyle w:val="yMiscellaneousBody"/>
        <w:ind w:left="567"/>
      </w:pPr>
      <w:r>
        <w:tab/>
        <w:t>(BUs + TUs + MUs) x $ value per unit = Fee</w:t>
      </w:r>
    </w:p>
    <w:p>
      <w:pPr>
        <w:pStyle w:val="yMiscellaneousBody"/>
        <w:ind w:left="567"/>
      </w:pPr>
      <w:r>
        <w:t>In Division 2, the fee for a therapeutic or diagnostic service only includes modifying units (MUs), and time units (TUs) if the item notes that service as including either or both.</w:t>
      </w:r>
    </w:p>
    <w:p>
      <w:pPr>
        <w:pStyle w:val="yMiscellaneousHeading"/>
        <w:keepNext w:val="0"/>
        <w:ind w:left="567"/>
        <w:jc w:val="left"/>
      </w:pPr>
      <w:r>
        <w:t>Base units</w:t>
      </w:r>
    </w:p>
    <w:p>
      <w:pPr>
        <w:pStyle w:val="yMiscellaneousHeading"/>
        <w:keepNext w:val="0"/>
        <w:ind w:left="567"/>
        <w:jc w:val="left"/>
      </w:pPr>
      <w:r>
        <w:t>The appropriate number of base units for each procedure has been established and is set out in this Schedule.</w:t>
      </w:r>
    </w:p>
    <w:p>
      <w:pPr>
        <w:pStyle w:val="yMiscellaneousHeading"/>
        <w:keepNext w:val="0"/>
        <w:ind w:left="567"/>
        <w:jc w:val="left"/>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ind w:left="567"/>
        <w:jc w:val="left"/>
      </w:pPr>
      <w:r>
        <w:t>Time units</w:t>
      </w:r>
    </w:p>
    <w:p>
      <w:pPr>
        <w:pStyle w:val="yMiscellaneousHeading"/>
        <w:keepNext w:val="0"/>
        <w:ind w:left="567"/>
        <w:jc w:val="left"/>
      </w:pPr>
      <w:r>
        <w:t>For the first 2 hours, each 15 minutes (or part thereof) of anaesthetic time constitutes one time unit. After 2 hours, time units are calculated at one per 10 minutes (or part thereof).</w:t>
      </w:r>
    </w:p>
    <w:p>
      <w:pPr>
        <w:pStyle w:val="yMiscellaneousHeading"/>
        <w:keepNext w:val="0"/>
        <w:ind w:left="567"/>
        <w:jc w:val="left"/>
      </w:pPr>
      <w:r>
        <w:t>Modifying units</w:t>
      </w:r>
    </w:p>
    <w:p>
      <w:pPr>
        <w:pStyle w:val="yMiscellaneousBody"/>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ind w:left="567"/>
        <w:rPr>
          <w:sz w:val="18"/>
          <w:szCs w:val="18"/>
        </w:rPr>
      </w:pPr>
      <w:r>
        <w:rPr>
          <w:sz w:val="18"/>
          <w:szCs w:val="18"/>
        </w:rPr>
        <w:t>[Note: The modifying units are, in the main, derived from the modifying units set out in the AMA’s “List of Medical Services and Fees”.]</w:t>
      </w:r>
    </w:p>
    <w:p>
      <w:pPr>
        <w:pStyle w:val="yMiscellaneousBody"/>
        <w:ind w:left="567"/>
        <w:rPr>
          <w:sz w:val="18"/>
          <w:szCs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rPr>
                <w:b/>
              </w:rPr>
            </w:pPr>
            <w:r>
              <w:rPr>
                <w:b/>
              </w:rPr>
              <w:t>Description</w:t>
            </w:r>
          </w:p>
        </w:tc>
        <w:tc>
          <w:tcPr>
            <w:tcW w:w="1200" w:type="dxa"/>
            <w:tcBorders>
              <w:top w:val="single" w:sz="4" w:space="0" w:color="auto"/>
              <w:bottom w:val="single" w:sz="4" w:space="0" w:color="auto"/>
            </w:tcBorders>
            <w:vAlign w:val="bottom"/>
          </w:tcPr>
          <w:p>
            <w:pPr>
              <w:pStyle w:val="yTableNAm"/>
              <w:jc w:val="center"/>
              <w:rPr>
                <w:b/>
              </w:rPr>
            </w:pPr>
            <w:r>
              <w:rPr>
                <w:b/>
              </w:rPr>
              <w:t>Units</w:t>
            </w:r>
          </w:p>
        </w:tc>
      </w:tr>
      <w:tr>
        <w:tblPrEx>
          <w:tblCellMar>
            <w:left w:w="142" w:type="dxa"/>
            <w:right w:w="142" w:type="dxa"/>
          </w:tblCellMar>
        </w:tblPrEx>
        <w:trPr>
          <w:cantSplit/>
        </w:trPr>
        <w:tc>
          <w:tcPr>
            <w:tcW w:w="5880" w:type="dxa"/>
          </w:tcPr>
          <w:p>
            <w:pPr>
              <w:pStyle w:val="yTableNAm"/>
            </w:pPr>
            <w:r>
              <w:t>A normal healthy patient</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mild systemic disease</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severe systemic disease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A patient with a severe systemic disease that is a constant threat to life</w:t>
            </w:r>
          </w:p>
        </w:tc>
        <w:tc>
          <w:tcPr>
            <w:tcW w:w="1200" w:type="dxa"/>
            <w:vAlign w:val="bottom"/>
          </w:tcPr>
          <w:p>
            <w:pPr>
              <w:pStyle w:val="yTableNAm"/>
              <w:jc w:val="center"/>
            </w:pPr>
            <w:r>
              <w:t>4</w:t>
            </w:r>
          </w:p>
        </w:tc>
      </w:tr>
      <w:tr>
        <w:tblPrEx>
          <w:tblCellMar>
            <w:left w:w="142" w:type="dxa"/>
            <w:right w:w="142" w:type="dxa"/>
          </w:tblCellMar>
        </w:tblPrEx>
        <w:trPr>
          <w:cantSplit/>
        </w:trPr>
        <w:tc>
          <w:tcPr>
            <w:tcW w:w="5880" w:type="dxa"/>
          </w:tcPr>
          <w:p>
            <w:pPr>
              <w:pStyle w:val="yTableNAm"/>
            </w:pPr>
            <w:r>
              <w:t>A moribund patient who is not expected to survive for 24 hours with or without the operation</w:t>
            </w:r>
          </w:p>
        </w:tc>
        <w:tc>
          <w:tcPr>
            <w:tcW w:w="1200" w:type="dxa"/>
            <w:vAlign w:val="bottom"/>
          </w:tcPr>
          <w:p>
            <w:pPr>
              <w:pStyle w:val="yTableNAm"/>
              <w:jc w:val="center"/>
            </w:pPr>
            <w:r>
              <w:t>6</w:t>
            </w:r>
          </w:p>
        </w:tc>
      </w:tr>
      <w:tr>
        <w:tblPrEx>
          <w:tblCellMar>
            <w:left w:w="142" w:type="dxa"/>
            <w:right w:w="142" w:type="dxa"/>
          </w:tblCellMar>
        </w:tblPrEx>
        <w:trPr>
          <w:cantSplit/>
        </w:trPr>
        <w:tc>
          <w:tcPr>
            <w:tcW w:w="5880" w:type="dxa"/>
          </w:tcPr>
          <w:p>
            <w:pPr>
              <w:pStyle w:val="yTableNAm"/>
            </w:pPr>
            <w:r>
              <w:t>A patient who is morbidly obese (body mass index is more than 35)</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who is in the 3rd trimester of pregnancy</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declared brain</w:t>
            </w:r>
            <w:r>
              <w:noBreakHyphen/>
              <w:t>dead whose organs are being removed for donor purposes</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Where the patient is aged under one year or over 70 years of age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Emergency surgery (i.e. when undue delay in treatment of the patient would lead to a significant increase in a threat to life or body part)</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NAm"/>
            </w:pPr>
            <w:r>
              <w:t>Anaesthesia in the prone position (not applicable to lower intestinal endoscopic procedures)</w:t>
            </w:r>
          </w:p>
        </w:tc>
        <w:tc>
          <w:tcPr>
            <w:tcW w:w="1200" w:type="dxa"/>
            <w:tcBorders>
              <w:bottom w:val="single" w:sz="4" w:space="0" w:color="auto"/>
            </w:tcBorders>
            <w:vAlign w:val="bottom"/>
          </w:tcPr>
          <w:p>
            <w:pPr>
              <w:pStyle w:val="yTableNAm"/>
              <w:jc w:val="center"/>
            </w:pPr>
            <w:r>
              <w:t>3</w:t>
            </w:r>
          </w:p>
        </w:tc>
      </w:tr>
    </w:tbl>
    <w:p>
      <w:pPr>
        <w:pStyle w:val="yMiscellaneousBody"/>
        <w:keepNext/>
        <w:ind w:left="567"/>
      </w:pPr>
      <w:r>
        <w:t>Anaesthesia for after</w:t>
      </w:r>
      <w:r>
        <w:noBreakHyphen/>
        <w:t>hours emergencies</w:t>
      </w:r>
    </w:p>
    <w:p>
      <w:pPr>
        <w:pStyle w:val="yMiscellaneousBody"/>
        <w:ind w:left="567"/>
      </w:pPr>
      <w:r>
        <w:t>A 50% loading should apply to emergency after–hours anaesthesia.  It is calculated using the “total relative value”.  The 50% loading and the emergency surgery modifier should not be used together.</w:t>
      </w:r>
    </w:p>
    <w:p>
      <w:pPr>
        <w:pStyle w:val="yMiscellaneousBody"/>
        <w:ind w:left="567"/>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Heading4"/>
      </w:pPr>
      <w:bookmarkStart w:id="25" w:name="_Toc22638149"/>
      <w:bookmarkStart w:id="26" w:name="_Toc22641909"/>
      <w:bookmarkStart w:id="27" w:name="_Toc23242891"/>
      <w:bookmarkStart w:id="28" w:name="_Toc23326466"/>
      <w:r>
        <w:t>Division 1 — Procedures</w:t>
      </w:r>
      <w:bookmarkEnd w:id="25"/>
      <w:bookmarkEnd w:id="26"/>
      <w:bookmarkEnd w:id="27"/>
      <w:bookmarkEnd w:id="28"/>
    </w:p>
    <w:tbl>
      <w:tblPr>
        <w:tblW w:w="6513" w:type="dxa"/>
        <w:tblInd w:w="709" w:type="dxa"/>
        <w:tblLayout w:type="fixed"/>
        <w:tblCellMar>
          <w:left w:w="142" w:type="dxa"/>
          <w:right w:w="142" w:type="dxa"/>
        </w:tblCellMar>
        <w:tblLook w:val="0000" w:firstRow="0" w:lastRow="0" w:firstColumn="0" w:lastColumn="0" w:noHBand="0" w:noVBand="0"/>
      </w:tblPr>
      <w:tblGrid>
        <w:gridCol w:w="5550"/>
        <w:gridCol w:w="952"/>
        <w:gridCol w:w="11"/>
      </w:tblGrid>
      <w:tr>
        <w:trPr>
          <w:gridAfter w:val="1"/>
          <w:wAfter w:w="11" w:type="dxa"/>
          <w:cantSplit/>
          <w:tblHeader/>
        </w:trPr>
        <w:tc>
          <w:tcPr>
            <w:tcW w:w="5550" w:type="dxa"/>
            <w:tcBorders>
              <w:top w:val="single" w:sz="4" w:space="0" w:color="auto"/>
              <w:bottom w:val="single" w:sz="4" w:space="0" w:color="auto"/>
            </w:tcBorders>
          </w:tcPr>
          <w:p>
            <w:pPr>
              <w:pStyle w:val="yTable"/>
              <w:rPr>
                <w:b/>
                <w:bCs/>
              </w:rPr>
            </w:pPr>
            <w:r>
              <w:rPr>
                <w:b/>
                <w:bCs/>
              </w:rPr>
              <w:t>Description of procedure, etc.</w:t>
            </w:r>
          </w:p>
        </w:tc>
        <w:tc>
          <w:tcPr>
            <w:tcW w:w="952" w:type="dxa"/>
            <w:tcBorders>
              <w:top w:val="single" w:sz="4" w:space="0" w:color="auto"/>
              <w:bottom w:val="single" w:sz="4" w:space="0" w:color="auto"/>
            </w:tcBorders>
            <w:vAlign w:val="bottom"/>
          </w:tcPr>
          <w:p>
            <w:pPr>
              <w:pStyle w:val="yTable"/>
              <w:jc w:val="center"/>
              <w:rPr>
                <w:b/>
                <w:bCs/>
              </w:rPr>
            </w:pPr>
            <w:r>
              <w:rPr>
                <w:b/>
                <w:bCs/>
              </w:rPr>
              <w:t>Units</w:t>
            </w:r>
          </w:p>
        </w:tc>
      </w:tr>
      <w:tr>
        <w:trPr>
          <w:cantSplit/>
        </w:trPr>
        <w:tc>
          <w:tcPr>
            <w:tcW w:w="5550" w:type="dxa"/>
            <w:tcBorders>
              <w:top w:val="single" w:sz="4" w:space="0" w:color="auto"/>
            </w:tcBorders>
          </w:tcPr>
          <w:p>
            <w:pPr>
              <w:pStyle w:val="yTable"/>
              <w:rPr>
                <w:b/>
              </w:rPr>
            </w:pPr>
            <w:r>
              <w:rPr>
                <w:b/>
                <w:bCs/>
              </w:rPr>
              <w:t>Head</w:t>
            </w:r>
          </w:p>
        </w:tc>
        <w:tc>
          <w:tcPr>
            <w:tcW w:w="963" w:type="dxa"/>
            <w:gridSpan w:val="2"/>
            <w:tcBorders>
              <w:top w:val="single" w:sz="4" w:space="0" w:color="auto"/>
            </w:tcBorders>
            <w:vAlign w:val="bottom"/>
          </w:tcPr>
          <w:p>
            <w:pPr>
              <w:pStyle w:val="yTable"/>
              <w:ind w:left="567"/>
              <w:rPr>
                <w:b/>
              </w:rPr>
            </w:pPr>
          </w:p>
        </w:tc>
      </w:tr>
      <w:tr>
        <w:trPr>
          <w:cantSplit/>
        </w:trPr>
        <w:tc>
          <w:tcPr>
            <w:tcW w:w="5550" w:type="dxa"/>
          </w:tcPr>
          <w:p>
            <w:pPr>
              <w:pStyle w:val="yTableNAm"/>
            </w:pPr>
            <w:r>
              <w:t>Anaesthesia for all procedures on the skin and subcutaneous tissue, muscles, salivary glands and superficial blood vessels of the head,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425" w:hanging="425"/>
            </w:pPr>
            <w:r>
              <w:t> — plastic repair of cleft lip</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electroconvulsive therapy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external, middle or inner ear,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otoscopy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eye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lens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retinal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corneal transplant</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vitrectomy</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biopsy of conjunctiva</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ophthalmoscopy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nose and accessory sinuses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radical surgery</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 w:val="left" w:pos="284"/>
              </w:tabs>
            </w:pPr>
            <w:r>
              <w:t> — biopsy, soft tissue</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intraoral procedures, including biopsy,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69" w:hanging="369"/>
            </w:pPr>
            <w:r>
              <w:t> — repair of cleft palate</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s>
              <w:ind w:left="369" w:hanging="369"/>
            </w:pPr>
            <w:r>
              <w:t> — excision of retropharyngeal tumour</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69" w:hanging="369"/>
            </w:pPr>
            <w:r>
              <w:t> — radical intraoral surgery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procedures on facial bones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69" w:hanging="369"/>
            </w:pPr>
            <w:r>
              <w:t> — extensive surgery on facial bones (including prognathism and extensive facial bone reconstruction)</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intracranial procedures unless otherwise specified</w:t>
            </w:r>
          </w:p>
        </w:tc>
        <w:tc>
          <w:tcPr>
            <w:tcW w:w="963" w:type="dxa"/>
            <w:gridSpan w:val="2"/>
            <w:vAlign w:val="bottom"/>
          </w:tcPr>
          <w:p>
            <w:pPr>
              <w:pStyle w:val="yTableNAm"/>
              <w:ind w:left="567" w:hanging="541"/>
              <w:jc w:val="center"/>
            </w:pPr>
            <w:r>
              <w:t>15</w:t>
            </w:r>
          </w:p>
        </w:tc>
      </w:tr>
      <w:tr>
        <w:trPr>
          <w:cantSplit/>
        </w:trPr>
        <w:tc>
          <w:tcPr>
            <w:tcW w:w="5550" w:type="dxa"/>
          </w:tcPr>
          <w:p>
            <w:pPr>
              <w:pStyle w:val="yTableNAm"/>
              <w:tabs>
                <w:tab w:val="clear" w:pos="567"/>
                <w:tab w:val="left" w:pos="284"/>
              </w:tabs>
            </w:pPr>
            <w:r>
              <w:t> — subdural taps</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burr holes</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55" w:hanging="355"/>
            </w:pPr>
            <w:r>
              <w:t> — intracranial vascular procedures including those for aneurysms and arterio</w:t>
            </w:r>
            <w:r>
              <w:noBreakHyphen/>
              <w:t>venous abnormalities</w:t>
            </w:r>
          </w:p>
        </w:tc>
        <w:tc>
          <w:tcPr>
            <w:tcW w:w="963" w:type="dxa"/>
            <w:gridSpan w:val="2"/>
            <w:vAlign w:val="bottom"/>
          </w:tcPr>
          <w:p>
            <w:pPr>
              <w:pStyle w:val="yTableNAm"/>
              <w:ind w:left="567" w:hanging="541"/>
              <w:jc w:val="center"/>
            </w:pPr>
            <w:r>
              <w:t>20</w:t>
            </w:r>
          </w:p>
        </w:tc>
      </w:tr>
      <w:tr>
        <w:trPr>
          <w:cantSplit/>
        </w:trPr>
        <w:tc>
          <w:tcPr>
            <w:tcW w:w="5550" w:type="dxa"/>
          </w:tcPr>
          <w:p>
            <w:pPr>
              <w:pStyle w:val="yTableNAm"/>
              <w:tabs>
                <w:tab w:val="clear" w:pos="567"/>
                <w:tab w:val="left" w:pos="284"/>
              </w:tabs>
            </w:pPr>
            <w:r>
              <w:t> — spinal fluid shunt procedures</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pPr>
            <w:r>
              <w:t> — ablation of intracranial nerve</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all cranial bone procedures</w:t>
            </w:r>
          </w:p>
        </w:tc>
        <w:tc>
          <w:tcPr>
            <w:tcW w:w="963" w:type="dxa"/>
            <w:gridSpan w:val="2"/>
            <w:vAlign w:val="bottom"/>
          </w:tcPr>
          <w:p>
            <w:pPr>
              <w:pStyle w:val="yTableNAm"/>
              <w:ind w:left="567" w:hanging="541"/>
              <w:jc w:val="center"/>
            </w:pPr>
            <w:r>
              <w:t>12</w:t>
            </w:r>
          </w:p>
        </w:tc>
      </w:tr>
      <w:tr>
        <w:trPr>
          <w:cantSplit/>
        </w:trPr>
        <w:tc>
          <w:tcPr>
            <w:tcW w:w="5550" w:type="dxa"/>
          </w:tcPr>
          <w:p>
            <w:pPr>
              <w:pStyle w:val="yTableNAm"/>
              <w:rPr>
                <w:b/>
              </w:rPr>
            </w:pPr>
            <w:r>
              <w:rPr>
                <w:b/>
              </w:rPr>
              <w:t>Neck</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neck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incision and drainage of large haematoma, large abscess, cellulitis, or similar lesion causing life threatening airway obstruction</w:t>
            </w:r>
          </w:p>
        </w:tc>
        <w:tc>
          <w:tcPr>
            <w:tcW w:w="963" w:type="dxa"/>
            <w:gridSpan w:val="2"/>
            <w:vAlign w:val="bottom"/>
          </w:tcPr>
          <w:p>
            <w:pPr>
              <w:pStyle w:val="yTableNAm"/>
              <w:ind w:left="567" w:hanging="541"/>
              <w:jc w:val="center"/>
            </w:pPr>
            <w:r>
              <w:t>15</w:t>
            </w:r>
          </w:p>
        </w:tc>
      </w:tr>
      <w:tr>
        <w:trPr>
          <w:cantSplit/>
        </w:trPr>
        <w:tc>
          <w:tcPr>
            <w:tcW w:w="5550" w:type="dxa"/>
          </w:tcPr>
          <w:p>
            <w:pPr>
              <w:pStyle w:val="yTableNAm"/>
            </w:pPr>
            <w:r>
              <w:t xml:space="preserve">Anaesthesia for all procedures on oesophagus, thyroid, larynx, trachea and lymphatic system muscles, nerves or other deep tissues of the neck unless otherwise specified </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for laryngectomy, hemi</w:t>
            </w:r>
            <w:r>
              <w:noBreakHyphen/>
              <w:t>laryngectomy, laryngopharyngectomy, or pharyngectomy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laser surgery to the airway</w:t>
            </w:r>
          </w:p>
        </w:tc>
        <w:tc>
          <w:tcPr>
            <w:tcW w:w="963" w:type="dxa"/>
            <w:gridSpan w:val="2"/>
            <w:vAlign w:val="bottom"/>
          </w:tcPr>
          <w:p>
            <w:pPr>
              <w:pStyle w:val="yTableNAm"/>
              <w:ind w:left="567" w:hanging="541"/>
              <w:jc w:val="center"/>
            </w:pPr>
            <w:r>
              <w:t>8</w:t>
            </w:r>
          </w:p>
        </w:tc>
      </w:tr>
      <w:tr>
        <w:trPr>
          <w:cantSplit/>
        </w:trPr>
        <w:tc>
          <w:tcPr>
            <w:tcW w:w="5550" w:type="dxa"/>
          </w:tcPr>
          <w:p>
            <w:pPr>
              <w:pStyle w:val="yTableNAm"/>
            </w:pPr>
            <w:r>
              <w:t>Anaesthesia for all procedures on major vessels of neck unless otherwise specified</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simple ligation</w:t>
            </w:r>
          </w:p>
        </w:tc>
        <w:tc>
          <w:tcPr>
            <w:tcW w:w="963" w:type="dxa"/>
            <w:gridSpan w:val="2"/>
            <w:vAlign w:val="bottom"/>
          </w:tcPr>
          <w:p>
            <w:pPr>
              <w:pStyle w:val="yTableNAm"/>
              <w:ind w:left="567" w:hanging="541"/>
              <w:jc w:val="center"/>
            </w:pPr>
            <w:r>
              <w:t>5</w:t>
            </w:r>
          </w:p>
        </w:tc>
      </w:tr>
      <w:tr>
        <w:trPr>
          <w:cantSplit/>
        </w:trPr>
        <w:tc>
          <w:tcPr>
            <w:tcW w:w="5550" w:type="dxa"/>
          </w:tcPr>
          <w:p>
            <w:pPr>
              <w:pStyle w:val="yTableNAm"/>
              <w:rPr>
                <w:b/>
              </w:rPr>
            </w:pPr>
            <w:r>
              <w:rPr>
                <w:b/>
              </w:rPr>
              <w:t>Thorax (chest wall/shoulder girdle)</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chest unless otherwise specified</w:t>
            </w:r>
          </w:p>
        </w:tc>
        <w:tc>
          <w:tcPr>
            <w:tcW w:w="963" w:type="dxa"/>
            <w:gridSpan w:val="2"/>
            <w:vAlign w:val="bottom"/>
          </w:tcPr>
          <w:p>
            <w:pPr>
              <w:pStyle w:val="yTableNAm"/>
              <w:ind w:left="567" w:hanging="541"/>
              <w:jc w:val="center"/>
            </w:pPr>
            <w:r>
              <w:t>3</w:t>
            </w:r>
          </w:p>
        </w:tc>
      </w:tr>
      <w:tr>
        <w:trPr>
          <w:cantSplit/>
        </w:trPr>
        <w:tc>
          <w:tcPr>
            <w:tcW w:w="5550" w:type="dxa"/>
          </w:tcPr>
          <w:p>
            <w:pPr>
              <w:pStyle w:val="yTableNAm"/>
            </w:pPr>
            <w:r>
              <w:t>Anaesthesia for all procedures on the breast unless otherwise specified</w:t>
            </w:r>
          </w:p>
        </w:tc>
        <w:tc>
          <w:tcPr>
            <w:tcW w:w="963" w:type="dxa"/>
            <w:gridSpan w:val="2"/>
            <w:vAlign w:val="bottom"/>
          </w:tcPr>
          <w:p>
            <w:pPr>
              <w:pStyle w:val="yTableNAm"/>
              <w:ind w:left="567" w:hanging="541"/>
              <w:jc w:val="center"/>
            </w:pPr>
            <w:r>
              <w:t>4</w:t>
            </w:r>
          </w:p>
        </w:tc>
      </w:tr>
      <w:tr>
        <w:trPr>
          <w:cantSplit/>
        </w:trPr>
        <w:tc>
          <w:tcPr>
            <w:tcW w:w="5550" w:type="dxa"/>
          </w:tcPr>
          <w:p>
            <w:pPr>
              <w:pStyle w:val="yTableNAm"/>
              <w:tabs>
                <w:tab w:val="clear" w:pos="567"/>
              </w:tabs>
              <w:ind w:left="355" w:hanging="355"/>
            </w:pPr>
            <w:r>
              <w:t> — reconstructive procedures on the breast (e.g. reduction or augmentation, mammoplasty)</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55" w:hanging="355"/>
            </w:pPr>
            <w:r>
              <w:t> — removal of breast lump or for breast segmentectomy where axillary node dissection is performed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mastectomy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reconstructive procedures on the breast using myocutaneous flaps</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s>
              <w:ind w:left="355" w:hanging="355"/>
            </w:pPr>
            <w:r>
              <w:t> — radical or modified radical procedures on breast with internal mammary node dissection</w:t>
            </w:r>
          </w:p>
        </w:tc>
        <w:tc>
          <w:tcPr>
            <w:tcW w:w="963" w:type="dxa"/>
            <w:gridSpan w:val="2"/>
            <w:vAlign w:val="bottom"/>
          </w:tcPr>
          <w:p>
            <w:pPr>
              <w:pStyle w:val="yTableNAm"/>
              <w:ind w:left="567" w:hanging="541"/>
              <w:jc w:val="center"/>
            </w:pPr>
            <w:r>
              <w:t>13</w:t>
            </w:r>
          </w:p>
        </w:tc>
      </w:tr>
      <w:tr>
        <w:trPr>
          <w:cantSplit/>
        </w:trPr>
        <w:tc>
          <w:tcPr>
            <w:tcW w:w="5550" w:type="dxa"/>
          </w:tcPr>
          <w:p>
            <w:pPr>
              <w:pStyle w:val="yTableNAm"/>
              <w:tabs>
                <w:tab w:val="clear" w:pos="567"/>
                <w:tab w:val="left" w:pos="284"/>
              </w:tabs>
              <w:ind w:left="635" w:hanging="635"/>
            </w:pPr>
            <w:r>
              <w:t> — electrical conversion of arrhythmias</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percutaneous bone marrow biopsy of the sternum</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the clavicle, scapula or sternum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radical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partial rib resection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ind w:left="635" w:hanging="635"/>
            </w:pPr>
            <w:r>
              <w:t> — thoracoplasty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extensive procedures (e.g. pectus excavatum)</w:t>
            </w:r>
          </w:p>
        </w:tc>
        <w:tc>
          <w:tcPr>
            <w:tcW w:w="963" w:type="dxa"/>
            <w:gridSpan w:val="2"/>
            <w:vAlign w:val="bottom"/>
          </w:tcPr>
          <w:p>
            <w:pPr>
              <w:pStyle w:val="yTableNAm"/>
              <w:ind w:left="567" w:hanging="541"/>
              <w:jc w:val="center"/>
            </w:pPr>
            <w:r>
              <w:t>13</w:t>
            </w:r>
          </w:p>
        </w:tc>
      </w:tr>
      <w:tr>
        <w:trPr>
          <w:cantSplit/>
        </w:trPr>
        <w:tc>
          <w:tcPr>
            <w:tcW w:w="5550" w:type="dxa"/>
          </w:tcPr>
          <w:p>
            <w:pPr>
              <w:pStyle w:val="yTableNAm"/>
              <w:rPr>
                <w:b/>
              </w:rPr>
            </w:pPr>
            <w:r>
              <w:rPr>
                <w:b/>
              </w:rPr>
              <w:t>Intrathoracic</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open procedures on the oesophagus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closed chest procedures (including rigid oesophagoscopy or bronchoscopy)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needle biopsy of pleura</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pneumocentesis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thoracoscopy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mediastinoscopy</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thoracotomy procedures involving lungs, pleura, diaphragm, and mediastinum unless otherwise specified</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 w:val="left" w:pos="284"/>
              </w:tabs>
              <w:ind w:left="635" w:hanging="635"/>
            </w:pPr>
            <w:r>
              <w:t> — pulmonary decortication</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pulmonary resection with thoracoplasty</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intrathoracic repair of trauma to trachea and bronchi</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open procedures on the heart, pericardium, and great vessels of the chest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transplant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and lung transplant</w:t>
            </w:r>
          </w:p>
        </w:tc>
        <w:tc>
          <w:tcPr>
            <w:tcW w:w="963" w:type="dxa"/>
            <w:gridSpan w:val="2"/>
            <w:vAlign w:val="bottom"/>
          </w:tcPr>
          <w:p>
            <w:pPr>
              <w:pStyle w:val="yTableNAm"/>
              <w:jc w:val="center"/>
            </w:pPr>
            <w:r>
              <w:t>20</w:t>
            </w:r>
          </w:p>
        </w:tc>
      </w:tr>
      <w:tr>
        <w:trPr>
          <w:cantSplit/>
        </w:trPr>
        <w:tc>
          <w:tcPr>
            <w:tcW w:w="5550" w:type="dxa"/>
          </w:tcPr>
          <w:p>
            <w:pPr>
              <w:pStyle w:val="yTableNAm"/>
            </w:pPr>
            <w:r>
              <w:t>Cadaver harvesting of heart and/or lungs</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Spine and spinal cord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cervical spine and/or cord unless otherwise specified (for myelography and discography see items in ‘Other Procedures’)</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posterior cervical laminectomy in sitting position</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on the thoracic spine and/or cord unless otherwise specified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thoracolumbar sympathectomy</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in the lumbar region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lumbar sympathectomy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chemonucleolysis</w:t>
            </w:r>
          </w:p>
        </w:tc>
        <w:tc>
          <w:tcPr>
            <w:tcW w:w="963" w:type="dxa"/>
            <w:gridSpan w:val="2"/>
            <w:vAlign w:val="bottom"/>
          </w:tcPr>
          <w:p>
            <w:pPr>
              <w:pStyle w:val="yTableNAm"/>
              <w:jc w:val="center"/>
            </w:pPr>
            <w:r>
              <w:t>10</w:t>
            </w:r>
          </w:p>
        </w:tc>
      </w:tr>
      <w:tr>
        <w:trPr>
          <w:cantSplit/>
        </w:trPr>
        <w:tc>
          <w:tcPr>
            <w:tcW w:w="5550" w:type="dxa"/>
          </w:tcPr>
          <w:p>
            <w:pPr>
              <w:pStyle w:val="yTableNAm"/>
            </w:pPr>
            <w:r>
              <w:t>Anaesthesia for extensive spine and spinal cord procedures</w:t>
            </w:r>
          </w:p>
        </w:tc>
        <w:tc>
          <w:tcPr>
            <w:tcW w:w="963" w:type="dxa"/>
            <w:gridSpan w:val="2"/>
            <w:vAlign w:val="bottom"/>
          </w:tcPr>
          <w:p>
            <w:pPr>
              <w:pStyle w:val="yTableNAm"/>
              <w:jc w:val="center"/>
            </w:pPr>
            <w:r>
              <w:t>13</w:t>
            </w:r>
          </w:p>
        </w:tc>
      </w:tr>
      <w:tr>
        <w:trPr>
          <w:cantSplit/>
        </w:trPr>
        <w:tc>
          <w:tcPr>
            <w:tcW w:w="5550" w:type="dxa"/>
          </w:tcPr>
          <w:p>
            <w:pPr>
              <w:pStyle w:val="yTableNAm"/>
            </w:pPr>
            <w:r>
              <w:t>Anaesthesia for manipulation of spine</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spinal procedures</w:t>
            </w:r>
          </w:p>
        </w:tc>
        <w:tc>
          <w:tcPr>
            <w:tcW w:w="963" w:type="dxa"/>
            <w:gridSpan w:val="2"/>
            <w:vAlign w:val="bottom"/>
          </w:tcPr>
          <w:p>
            <w:pPr>
              <w:pStyle w:val="yTableNAm"/>
              <w:jc w:val="center"/>
            </w:pPr>
            <w:r>
              <w:t>5</w:t>
            </w:r>
          </w:p>
        </w:tc>
      </w:tr>
      <w:tr>
        <w:trPr>
          <w:cantSplit/>
        </w:trPr>
        <w:tc>
          <w:tcPr>
            <w:tcW w:w="5550" w:type="dxa"/>
          </w:tcPr>
          <w:p>
            <w:pPr>
              <w:pStyle w:val="yTableNAm"/>
              <w:rPr>
                <w:b/>
              </w:rPr>
            </w:pPr>
            <w:r>
              <w:rPr>
                <w:b/>
              </w:rPr>
              <w:t>Upper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upper abdominal wall</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 unless otherwise specified</w:t>
            </w:r>
          </w:p>
        </w:tc>
        <w:tc>
          <w:tcPr>
            <w:tcW w:w="963" w:type="dxa"/>
            <w:gridSpan w:val="2"/>
            <w:vAlign w:val="bottom"/>
          </w:tcPr>
          <w:p>
            <w:pPr>
              <w:pStyle w:val="yTableNAm"/>
              <w:jc w:val="center"/>
            </w:pPr>
            <w:r>
              <w:t>7</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w:t>
            </w:r>
          </w:p>
        </w:tc>
        <w:tc>
          <w:tcPr>
            <w:tcW w:w="963" w:type="dxa"/>
            <w:gridSpan w:val="2"/>
            <w:vAlign w:val="bottom"/>
          </w:tcPr>
          <w:p>
            <w:pPr>
              <w:pStyle w:val="yTableNAm"/>
              <w:jc w:val="center"/>
            </w:pPr>
            <w:r>
              <w:t>5</w:t>
            </w:r>
          </w:p>
        </w:tc>
      </w:tr>
      <w:tr>
        <w:trPr>
          <w:cantSplit/>
        </w:trPr>
        <w:tc>
          <w:tcPr>
            <w:tcW w:w="5550" w:type="dxa"/>
          </w:tcPr>
          <w:p>
            <w:pPr>
              <w:pStyle w:val="yTableNAm"/>
            </w:pPr>
            <w:r>
              <w:t>Anaesthesia for upper gastrointestinal endoscopic procedures in association with imaging techniques including fluoroscopy and ultrasound</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 in association with acute gastrointestinal haemorrhage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upper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repair of omphalocele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transabdominal repair of diaphragmatic hernia</w:t>
            </w:r>
          </w:p>
        </w:tc>
        <w:tc>
          <w:tcPr>
            <w:tcW w:w="963" w:type="dxa"/>
            <w:gridSpan w:val="2"/>
            <w:vAlign w:val="bottom"/>
          </w:tcPr>
          <w:p>
            <w:pPr>
              <w:pStyle w:val="yTableNAm"/>
              <w:jc w:val="center"/>
            </w:pPr>
            <w:r>
              <w:t>9</w:t>
            </w:r>
          </w:p>
        </w:tc>
      </w:tr>
      <w:tr>
        <w:trPr>
          <w:cantSplit/>
        </w:trPr>
        <w:tc>
          <w:tcPr>
            <w:tcW w:w="5550" w:type="dxa"/>
          </w:tcPr>
          <w:p>
            <w:pPr>
              <w:pStyle w:val="yTableNAm"/>
            </w:pPr>
            <w:r>
              <w:t>Anaesthesia for all procedures on major abdominal blood vessels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procedures within the peritoneal cavity in upper abdomen including cholecystectomy, gastrectomy, laparoscopic nephrectomy, bowel shunts and cadaver harvesting of organs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Anaesthesia for gastric reduction or gastroplasty for the treatment of morbid obesity</w:t>
            </w:r>
          </w:p>
        </w:tc>
        <w:tc>
          <w:tcPr>
            <w:tcW w:w="963" w:type="dxa"/>
            <w:gridSpan w:val="2"/>
            <w:vAlign w:val="bottom"/>
          </w:tcPr>
          <w:p>
            <w:pPr>
              <w:pStyle w:val="yTableNAm"/>
              <w:jc w:val="center"/>
            </w:pPr>
            <w:r>
              <w:t>10</w:t>
            </w:r>
          </w:p>
        </w:tc>
      </w:tr>
      <w:tr>
        <w:trPr>
          <w:cantSplit/>
        </w:trPr>
        <w:tc>
          <w:tcPr>
            <w:tcW w:w="5550" w:type="dxa"/>
          </w:tcPr>
          <w:p>
            <w:pPr>
              <w:pStyle w:val="yTableNAm"/>
            </w:pPr>
            <w:r>
              <w:t>Anaesthesia for partial hepatectomy (excluding liver biopsy)</w:t>
            </w:r>
          </w:p>
        </w:tc>
        <w:tc>
          <w:tcPr>
            <w:tcW w:w="963" w:type="dxa"/>
            <w:gridSpan w:val="2"/>
            <w:vAlign w:val="bottom"/>
          </w:tcPr>
          <w:p>
            <w:pPr>
              <w:pStyle w:val="yTableNAm"/>
              <w:jc w:val="center"/>
            </w:pPr>
            <w:r>
              <w:t>13</w:t>
            </w:r>
          </w:p>
        </w:tc>
      </w:tr>
      <w:tr>
        <w:trPr>
          <w:cantSplit/>
        </w:trPr>
        <w:tc>
          <w:tcPr>
            <w:tcW w:w="5550" w:type="dxa"/>
          </w:tcPr>
          <w:p>
            <w:pPr>
              <w:pStyle w:val="yTableNAm"/>
            </w:pPr>
            <w:r>
              <w:t>Anaesthesia for extended or trisegmental hepatectomy</w:t>
            </w:r>
          </w:p>
        </w:tc>
        <w:tc>
          <w:tcPr>
            <w:tcW w:w="963" w:type="dxa"/>
            <w:gridSpan w:val="2"/>
            <w:vAlign w:val="bottom"/>
          </w:tcPr>
          <w:p>
            <w:pPr>
              <w:pStyle w:val="yTableNAm"/>
              <w:jc w:val="center"/>
            </w:pPr>
            <w:r>
              <w:t>15</w:t>
            </w:r>
          </w:p>
        </w:tc>
      </w:tr>
      <w:tr>
        <w:trPr>
          <w:cantSplit/>
        </w:trPr>
        <w:tc>
          <w:tcPr>
            <w:tcW w:w="5550" w:type="dxa"/>
          </w:tcPr>
          <w:p>
            <w:pPr>
              <w:pStyle w:val="yTableNAm"/>
            </w:pPr>
            <w:r>
              <w:t>Anaesthesia for pancreatectomy, partial or total (e.g. Whipple procedure)</w:t>
            </w:r>
          </w:p>
        </w:tc>
        <w:tc>
          <w:tcPr>
            <w:tcW w:w="963" w:type="dxa"/>
            <w:gridSpan w:val="2"/>
            <w:vAlign w:val="bottom"/>
          </w:tcPr>
          <w:p>
            <w:pPr>
              <w:pStyle w:val="yTableNAm"/>
              <w:jc w:val="center"/>
            </w:pPr>
            <w:r>
              <w:t>12</w:t>
            </w:r>
          </w:p>
        </w:tc>
      </w:tr>
      <w:tr>
        <w:trPr>
          <w:cantSplit/>
        </w:trPr>
        <w:tc>
          <w:tcPr>
            <w:tcW w:w="5550" w:type="dxa"/>
          </w:tcPr>
          <w:p>
            <w:pPr>
              <w:pStyle w:val="yTableNAm"/>
            </w:pPr>
            <w:r>
              <w:t>Anaesthesia for liver transplant (recipient)</w:t>
            </w:r>
          </w:p>
        </w:tc>
        <w:tc>
          <w:tcPr>
            <w:tcW w:w="963" w:type="dxa"/>
            <w:gridSpan w:val="2"/>
            <w:vAlign w:val="bottom"/>
          </w:tcPr>
          <w:p>
            <w:pPr>
              <w:pStyle w:val="yTableNAm"/>
              <w:jc w:val="center"/>
            </w:pPr>
            <w:r>
              <w:t>30</w:t>
            </w:r>
          </w:p>
        </w:tc>
      </w:tr>
      <w:tr>
        <w:trPr>
          <w:cantSplit/>
        </w:trPr>
        <w:tc>
          <w:tcPr>
            <w:tcW w:w="5550" w:type="dxa"/>
          </w:tcPr>
          <w:p>
            <w:pPr>
              <w:pStyle w:val="yTableNAm"/>
            </w:pPr>
            <w:r>
              <w:t>Anaesthesia for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pPr>
            <w:r>
              <w:t>Anaesthesia for percutaneous procedures on an intra</w:t>
            </w:r>
            <w:r>
              <w:noBreakHyphen/>
              <w:t>abdominal organ in the upper abdomen</w:t>
            </w:r>
          </w:p>
        </w:tc>
        <w:tc>
          <w:tcPr>
            <w:tcW w:w="963" w:type="dxa"/>
            <w:gridSpan w:val="2"/>
            <w:vAlign w:val="bottom"/>
          </w:tcPr>
          <w:p>
            <w:pPr>
              <w:pStyle w:val="yTableNAm"/>
              <w:jc w:val="center"/>
            </w:pPr>
            <w:r>
              <w:t>6</w:t>
            </w:r>
          </w:p>
        </w:tc>
      </w:tr>
      <w:tr>
        <w:trPr>
          <w:cantSplit/>
        </w:trPr>
        <w:tc>
          <w:tcPr>
            <w:tcW w:w="5550" w:type="dxa"/>
          </w:tcPr>
          <w:p>
            <w:pPr>
              <w:pStyle w:val="yTableNAm"/>
            </w:pPr>
            <w:r>
              <w:t>Lower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lipectomy</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nerves, muscles, tendons and fascia of the lower abdominal wall (with the exception of abdominal lipectomy)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lower intestinal endoscopic procedures (modifier for prone position is not applicable)</w:t>
            </w:r>
          </w:p>
        </w:tc>
        <w:tc>
          <w:tcPr>
            <w:tcW w:w="963" w:type="dxa"/>
            <w:gridSpan w:val="2"/>
            <w:vAlign w:val="bottom"/>
          </w:tcPr>
          <w:p>
            <w:pPr>
              <w:pStyle w:val="yTableNAm"/>
              <w:jc w:val="center"/>
            </w:pPr>
            <w:r>
              <w:t>4</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lower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within the peritoneal cavity in the lower abdomen (including appendicetomy)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pPr>
            <w:r>
              <w:t>Anaesthesia for bowel resection, including laparascopic bowel resection,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amniocentesis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abdominoperineal resection, including pull through procedures, ultra low anterior resection and formation of bowel reservoir</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prostatectomy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hysterectomy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ovarian surgery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pelvic exenteration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Caesarean section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s>
              <w:ind w:left="355" w:hanging="355"/>
            </w:pPr>
            <w:r>
              <w:t> — Caesarean hysterectomy or hysterectomy within 24 hours of delivery</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extraperitoneal procedures in lower abdomen, including urinary tract,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renal procedures, including upper 1/3 or ureter</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total cystectomy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adrenalectomy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renal transplant (donor or recipient)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major lower abdominal vessels unless otherwise specified</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inferior vena cava ligation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percutaneous umbrella insertion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procedures on an intra</w:t>
            </w:r>
            <w:r>
              <w:noBreakHyphen/>
              <w:t>abdominal organ in the lower abdomen</w:t>
            </w:r>
          </w:p>
        </w:tc>
        <w:tc>
          <w:tcPr>
            <w:tcW w:w="963" w:type="dxa"/>
            <w:gridSpan w:val="2"/>
            <w:vAlign w:val="bottom"/>
          </w:tcPr>
          <w:p>
            <w:pPr>
              <w:pStyle w:val="yTableNAm"/>
              <w:jc w:val="center"/>
            </w:pPr>
            <w:r>
              <w:t>6</w:t>
            </w:r>
          </w:p>
        </w:tc>
      </w:tr>
      <w:tr>
        <w:trPr>
          <w:cantSplit/>
        </w:trPr>
        <w:tc>
          <w:tcPr>
            <w:tcW w:w="5550" w:type="dxa"/>
          </w:tcPr>
          <w:p>
            <w:pPr>
              <w:pStyle w:val="yTableNAm"/>
              <w:rPr>
                <w:b/>
              </w:rPr>
            </w:pPr>
            <w:r>
              <w:rPr>
                <w:b/>
              </w:rPr>
              <w:t>Perineum</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perineum (including biopsy of male genital system)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anorectal procedure (including endoscopy and/or biopsy)</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radical perineal procedure including radical perineal prostatectomy or radical vulvectomy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vulvectomy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transurethral procedures (including urethrocystoscopy)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transurethral resection of bladder tumour(s)</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transurethral resection of prostate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post</w:t>
            </w:r>
            <w:r>
              <w:noBreakHyphen/>
              <w:t>transurethral resection bleeding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male external genitalia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undescended testis, unilateral or bilateral</w:t>
            </w:r>
          </w:p>
        </w:tc>
        <w:tc>
          <w:tcPr>
            <w:tcW w:w="963" w:type="dxa"/>
            <w:gridSpan w:val="2"/>
            <w:vAlign w:val="bottom"/>
          </w:tcPr>
          <w:p>
            <w:pPr>
              <w:pStyle w:val="yTableNAm"/>
              <w:jc w:val="center"/>
            </w:pPr>
            <w:r>
              <w:t>4</w:t>
            </w:r>
          </w:p>
        </w:tc>
      </w:tr>
      <w:tr>
        <w:trPr>
          <w:cantSplit/>
        </w:trPr>
        <w:tc>
          <w:tcPr>
            <w:tcW w:w="5550" w:type="dxa"/>
          </w:tcPr>
          <w:p>
            <w:pPr>
              <w:pStyle w:val="yTableNAm"/>
            </w:pPr>
            <w:r>
              <w:t>Anaesthesia for procedures on the cord and/or testes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inguinal approach</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abdominal approach</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orchiopexy, unilateral or bilateral</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complete amputation of the penis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complete amputation of the penis with bilateral inguinal lymphadenectomy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s>
              <w:ind w:left="355" w:hanging="355"/>
            </w:pPr>
            <w:r>
              <w:t> — complete amputation of the penis with bilateral inguinal and iliac lymphadenectomy</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insertion of penile prosthesis (perianal approach)</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vaginal procedures (including biopsy of labia, vagina, cervix or endometrium)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colpotomy, colpectomy, colporrhaphy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transvaginal assisted reproductive services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vaginal hysterectomy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vaginal delivery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purse string ligation of cervix</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culdoscopy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hysteroscopy</w:t>
            </w:r>
          </w:p>
        </w:tc>
        <w:tc>
          <w:tcPr>
            <w:tcW w:w="963" w:type="dxa"/>
            <w:gridSpan w:val="2"/>
            <w:vAlign w:val="bottom"/>
          </w:tcPr>
          <w:p>
            <w:pPr>
              <w:pStyle w:val="yTableNAm"/>
              <w:jc w:val="center"/>
            </w:pPr>
            <w:r>
              <w:t>4</w:t>
            </w:r>
          </w:p>
        </w:tc>
      </w:tr>
      <w:tr>
        <w:trPr>
          <w:cantSplit/>
        </w:trPr>
        <w:tc>
          <w:tcPr>
            <w:tcW w:w="5550" w:type="dxa"/>
          </w:tcPr>
          <w:p>
            <w:pPr>
              <w:pStyle w:val="yTableNAm"/>
            </w:pPr>
            <w:r>
              <w:t>Anaesthesia for endometrial ablation or resection in association with hysteroscopy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correction of inverted uterus</w:t>
            </w:r>
          </w:p>
        </w:tc>
        <w:tc>
          <w:tcPr>
            <w:tcW w:w="963" w:type="dxa"/>
            <w:gridSpan w:val="2"/>
            <w:vAlign w:val="bottom"/>
          </w:tcPr>
          <w:p>
            <w:pPr>
              <w:pStyle w:val="yTableNAm"/>
              <w:jc w:val="center"/>
            </w:pPr>
            <w:r>
              <w:t>8</w:t>
            </w:r>
          </w:p>
        </w:tc>
      </w:tr>
      <w:tr>
        <w:trPr>
          <w:cantSplit/>
        </w:trPr>
        <w:tc>
          <w:tcPr>
            <w:tcW w:w="5550" w:type="dxa"/>
          </w:tcPr>
          <w:p>
            <w:pPr>
              <w:pStyle w:val="yTableNAm"/>
            </w:pPr>
            <w:r>
              <w:t>Anaesthesia for evacuation of retained products of conception, as a complication of confinement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for the manual removal of retained placenta or for repair of vaginal or perineal tear following delivery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vaginal procedures in the management of post partum haemorrhage</w:t>
            </w:r>
          </w:p>
        </w:tc>
        <w:tc>
          <w:tcPr>
            <w:tcW w:w="963" w:type="dxa"/>
            <w:gridSpan w:val="2"/>
            <w:vAlign w:val="bottom"/>
          </w:tcPr>
          <w:p>
            <w:pPr>
              <w:pStyle w:val="yTableNAm"/>
              <w:jc w:val="center"/>
            </w:pPr>
            <w:r>
              <w:t>7</w:t>
            </w:r>
          </w:p>
        </w:tc>
      </w:tr>
      <w:tr>
        <w:trPr>
          <w:cantSplit/>
        </w:trPr>
        <w:tc>
          <w:tcPr>
            <w:tcW w:w="5550" w:type="dxa"/>
          </w:tcPr>
          <w:p>
            <w:pPr>
              <w:pStyle w:val="yTableNAm"/>
              <w:rPr>
                <w:b/>
              </w:rPr>
            </w:pPr>
            <w:r>
              <w:rPr>
                <w:b/>
              </w:rPr>
              <w:t>Pelvis — except hip</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pelvic region, except external genitalia</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bone marrow biopsy of the anterior iliac crest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percutaneous bone marrow biopsy of the posterior iliac crest</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bone marrow harvesting from the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procedures on bony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body cast application or revision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interpelviabdominal (hind 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Anaesthesia for radical procedures for tumour of pelvis, except hind quarter amputation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closed procedures involving symphysis pubis or sacroiliac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involving symphysis pubis or sacroiliac joint</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Upper leg — except knee</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leg</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on the nerves, muscles, tendons, fascia, or bursae of the upper leg</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involving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arthroscopic procedures of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hip joint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hip disarticulation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total hip replacement or revision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bilateral total hip replacement</w:t>
            </w:r>
          </w:p>
        </w:tc>
        <w:tc>
          <w:tcPr>
            <w:tcW w:w="963" w:type="dxa"/>
            <w:gridSpan w:val="2"/>
            <w:vAlign w:val="bottom"/>
          </w:tcPr>
          <w:p>
            <w:pPr>
              <w:pStyle w:val="yTableNAm"/>
              <w:jc w:val="center"/>
            </w:pPr>
            <w:r>
              <w:t>14</w:t>
            </w:r>
          </w:p>
        </w:tc>
      </w:tr>
      <w:tr>
        <w:trPr>
          <w:cantSplit/>
        </w:trPr>
        <w:tc>
          <w:tcPr>
            <w:tcW w:w="5550" w:type="dxa"/>
          </w:tcPr>
          <w:p>
            <w:pPr>
              <w:pStyle w:val="yTableNAm"/>
            </w:pPr>
            <w:r>
              <w:t>Anaesthesia for all closed procedures involving upper 2/3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upper 2/3 of femur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amputation</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radical resection</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procedures involving veins of the upper leg including exploration</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involving arteries of the upper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femoral artery ligation</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femoral artery embolectomy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for microsurgical reimplantation of upper leg</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Knee and popliteal area</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knee and/or popliteal area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the knee and/or popliteal area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1/3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lower 1/3 of femur</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the knee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upper ends of the tibia and fibula, and/or patella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upper ends of the tibia and fibula, and/or patella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on the knee joint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knee replacement</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bilateral knee replacement</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disarticulation of knee</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cast applications, removal, or repair involving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veins of the knee and popliteal area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arteriovenous fistula</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arteries of the knee and popliteal area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Lower leg — below knee (includes ankle and foot)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lower leg, ankle, and foot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 of ankle joint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gastrocnemius recession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bones of the lower leg, ankle and foot, including amputation,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radical resection</w:t>
            </w:r>
          </w:p>
        </w:tc>
        <w:tc>
          <w:tcPr>
            <w:tcW w:w="963" w:type="dxa"/>
            <w:gridSpan w:val="2"/>
            <w:vAlign w:val="bottom"/>
          </w:tcPr>
          <w:p>
            <w:pPr>
              <w:pStyle w:val="yTableNAm"/>
              <w:jc w:val="center"/>
            </w:pPr>
            <w:r>
              <w:t>5</w:t>
            </w:r>
          </w:p>
        </w:tc>
      </w:tr>
      <w:tr>
        <w:trPr>
          <w:cantSplit/>
        </w:trPr>
        <w:tc>
          <w:tcPr>
            <w:tcW w:w="5550" w:type="dxa"/>
          </w:tcPr>
          <w:p>
            <w:pPr>
              <w:pStyle w:val="yTableNAm"/>
            </w:pPr>
            <w:r>
              <w:t> — osteotomy or osteoplasty of tibia and fibula</w:t>
            </w:r>
          </w:p>
        </w:tc>
        <w:tc>
          <w:tcPr>
            <w:tcW w:w="963" w:type="dxa"/>
            <w:gridSpan w:val="2"/>
            <w:vAlign w:val="bottom"/>
          </w:tcPr>
          <w:p>
            <w:pPr>
              <w:pStyle w:val="yTableNAm"/>
              <w:jc w:val="center"/>
            </w:pPr>
            <w:r>
              <w:t>5</w:t>
            </w:r>
          </w:p>
        </w:tc>
      </w:tr>
      <w:tr>
        <w:trPr>
          <w:cantSplit/>
        </w:trPr>
        <w:tc>
          <w:tcPr>
            <w:tcW w:w="5550" w:type="dxa"/>
          </w:tcPr>
          <w:p>
            <w:pPr>
              <w:pStyle w:val="yTableNAm"/>
            </w:pPr>
            <w:r>
              <w:t> — total ankle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lower leg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arteries of the lower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lower leg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venous thrombectomy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microsurgical reimplantation of the lower leg, ankle or foot</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the toe</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Shoulder and axilla (includes humeral head and neck, sternoclavicular joint, acromioclavicular joint and shoulder joint)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shoulder or axilla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shoulder and axilla, including axillary dissection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humeral head and neck, sternoclavicular joint, acromioclavicular joint or the shoulder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arthroscopic procedures of the shoulder joint</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humeral head and neck, sternoclavicular joint, acromioclavicular joint or the shoulder joint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resection</w:t>
            </w:r>
          </w:p>
        </w:tc>
        <w:tc>
          <w:tcPr>
            <w:tcW w:w="963" w:type="dxa"/>
            <w:gridSpan w:val="2"/>
            <w:vAlign w:val="bottom"/>
          </w:tcPr>
          <w:p>
            <w:pPr>
              <w:pStyle w:val="yTableNAm"/>
              <w:jc w:val="center"/>
            </w:pPr>
            <w:r>
              <w:t>6</w:t>
            </w:r>
          </w:p>
        </w:tc>
      </w:tr>
      <w:tr>
        <w:trPr>
          <w:cantSplit/>
        </w:trPr>
        <w:tc>
          <w:tcPr>
            <w:tcW w:w="5550" w:type="dxa"/>
          </w:tcPr>
          <w:p>
            <w:pPr>
              <w:pStyle w:val="yTableNAm"/>
            </w:pPr>
            <w:r>
              <w:t> — shoulder disarticulation</w:t>
            </w:r>
          </w:p>
        </w:tc>
        <w:tc>
          <w:tcPr>
            <w:tcW w:w="963" w:type="dxa"/>
            <w:gridSpan w:val="2"/>
            <w:vAlign w:val="bottom"/>
          </w:tcPr>
          <w:p>
            <w:pPr>
              <w:pStyle w:val="yTableNAm"/>
              <w:jc w:val="center"/>
            </w:pPr>
            <w:r>
              <w:t>9</w:t>
            </w:r>
          </w:p>
        </w:tc>
      </w:tr>
      <w:tr>
        <w:trPr>
          <w:cantSplit/>
        </w:trPr>
        <w:tc>
          <w:tcPr>
            <w:tcW w:w="5550" w:type="dxa"/>
          </w:tcPr>
          <w:p>
            <w:pPr>
              <w:pStyle w:val="yTableNAm"/>
            </w:pPr>
            <w:r>
              <w:t> — interthoracoscapular (forequarter)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 — total shoulder replacement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arteries of shoulder and axilla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brachial aneurysm</w:t>
            </w:r>
          </w:p>
        </w:tc>
        <w:tc>
          <w:tcPr>
            <w:tcW w:w="963" w:type="dxa"/>
            <w:gridSpan w:val="2"/>
            <w:vAlign w:val="bottom"/>
          </w:tcPr>
          <w:p>
            <w:pPr>
              <w:pStyle w:val="yTableNAm"/>
              <w:jc w:val="center"/>
            </w:pPr>
            <w:r>
              <w:t>10</w:t>
            </w:r>
          </w:p>
        </w:tc>
      </w:tr>
      <w:tr>
        <w:trPr>
          <w:cantSplit/>
        </w:trPr>
        <w:tc>
          <w:tcPr>
            <w:tcW w:w="5550" w:type="dxa"/>
          </w:tcPr>
          <w:p>
            <w:pPr>
              <w:pStyle w:val="yTableNAm"/>
            </w:pPr>
            <w:r>
              <w:t> — bypass graft</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femoral bypass graft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veins of shoulder and axilla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shoulder cast application, removal or repair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 — shoulder spica</w:t>
            </w:r>
          </w:p>
        </w:tc>
        <w:tc>
          <w:tcPr>
            <w:tcW w:w="963" w:type="dxa"/>
            <w:gridSpan w:val="2"/>
            <w:vAlign w:val="bottom"/>
          </w:tcPr>
          <w:p>
            <w:pPr>
              <w:pStyle w:val="yTableNAm"/>
              <w:jc w:val="center"/>
            </w:pPr>
            <w:r>
              <w:t>4</w:t>
            </w:r>
          </w:p>
        </w:tc>
      </w:tr>
      <w:tr>
        <w:trPr>
          <w:cantSplit/>
        </w:trPr>
        <w:tc>
          <w:tcPr>
            <w:tcW w:w="5550" w:type="dxa"/>
          </w:tcPr>
          <w:p>
            <w:pPr>
              <w:pStyle w:val="yTableNAm"/>
              <w:rPr>
                <w:b/>
              </w:rPr>
            </w:pPr>
            <w:r>
              <w:rPr>
                <w:b/>
              </w:rPr>
              <w:t>Upper arm and elbow</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arm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upper arm and elbow,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tenotomy, elbow to shoulder, open</w:t>
            </w:r>
          </w:p>
        </w:tc>
        <w:tc>
          <w:tcPr>
            <w:tcW w:w="963" w:type="dxa"/>
            <w:gridSpan w:val="2"/>
            <w:vAlign w:val="bottom"/>
          </w:tcPr>
          <w:p>
            <w:pPr>
              <w:pStyle w:val="yTableNAm"/>
              <w:jc w:val="center"/>
            </w:pPr>
            <w:r>
              <w:t>5</w:t>
            </w:r>
          </w:p>
        </w:tc>
      </w:tr>
      <w:tr>
        <w:trPr>
          <w:cantSplit/>
        </w:trPr>
        <w:tc>
          <w:tcPr>
            <w:tcW w:w="5550" w:type="dxa"/>
          </w:tcPr>
          <w:p>
            <w:pPr>
              <w:pStyle w:val="yTableNAm"/>
            </w:pPr>
            <w:r>
              <w:t> — tenoplasty, elbow to shoulder</w:t>
            </w:r>
          </w:p>
        </w:tc>
        <w:tc>
          <w:tcPr>
            <w:tcW w:w="963" w:type="dxa"/>
            <w:gridSpan w:val="2"/>
            <w:vAlign w:val="bottom"/>
          </w:tcPr>
          <w:p>
            <w:pPr>
              <w:pStyle w:val="yTableNAm"/>
              <w:jc w:val="center"/>
            </w:pPr>
            <w:r>
              <w:t>5</w:t>
            </w:r>
          </w:p>
        </w:tc>
      </w:tr>
      <w:tr>
        <w:trPr>
          <w:cantSplit/>
        </w:trPr>
        <w:tc>
          <w:tcPr>
            <w:tcW w:w="5550" w:type="dxa"/>
          </w:tcPr>
          <w:p>
            <w:pPr>
              <w:pStyle w:val="yTableNAm"/>
            </w:pPr>
            <w:r>
              <w:t> — tenodesis, rupture of long tendon of biceps</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humerus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elbow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humerus and elbow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procedures</w:t>
            </w:r>
          </w:p>
        </w:tc>
        <w:tc>
          <w:tcPr>
            <w:tcW w:w="963" w:type="dxa"/>
            <w:gridSpan w:val="2"/>
            <w:vAlign w:val="bottom"/>
          </w:tcPr>
          <w:p>
            <w:pPr>
              <w:pStyle w:val="yTableNAm"/>
              <w:jc w:val="center"/>
            </w:pPr>
            <w:r>
              <w:t>6</w:t>
            </w:r>
          </w:p>
        </w:tc>
      </w:tr>
      <w:tr>
        <w:trPr>
          <w:cantSplit/>
        </w:trPr>
        <w:tc>
          <w:tcPr>
            <w:tcW w:w="5550" w:type="dxa"/>
          </w:tcPr>
          <w:p>
            <w:pPr>
              <w:pStyle w:val="yTableNAm"/>
            </w:pPr>
            <w:r>
              <w:t> — total elbow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the arteries of the upper arm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upper arm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for microsurgical reimplantation of the upper arm</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Forearm, wrist and hand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forearm, wrist and hand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the forearm, wrist and hand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radius, ulna, wrist, or hand bones</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radius, ulna, wrist, or hand bones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total wrist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arthroscopic procedures of the wrist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on the arteries of the forearm, wrist, and hand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forearm, wrist, and hand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forearm, wrist, or hand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for microsurgical reimplantation of forearm, wrist or hand</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a finger</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Burns</w:t>
            </w:r>
          </w:p>
        </w:tc>
        <w:tc>
          <w:tcPr>
            <w:tcW w:w="963" w:type="dxa"/>
            <w:gridSpan w:val="2"/>
            <w:vAlign w:val="bottom"/>
          </w:tcPr>
          <w:p>
            <w:pPr>
              <w:pStyle w:val="yTableNAm"/>
              <w:jc w:val="center"/>
            </w:pPr>
          </w:p>
        </w:tc>
      </w:tr>
      <w:tr>
        <w:trPr>
          <w:cantSplit/>
        </w:trPr>
        <w:tc>
          <w:tcPr>
            <w:tcW w:w="5550" w:type="dxa"/>
          </w:tcPr>
          <w:p>
            <w:pPr>
              <w:pStyle w:val="yTableNAm"/>
            </w:pPr>
            <w:r>
              <w:t>Anaesthesia for excision of debridement of burns with or without skin grafting</w:t>
            </w:r>
          </w:p>
        </w:tc>
        <w:tc>
          <w:tcPr>
            <w:tcW w:w="963" w:type="dxa"/>
            <w:gridSpan w:val="2"/>
            <w:vAlign w:val="bottom"/>
          </w:tcPr>
          <w:p>
            <w:pPr>
              <w:pStyle w:val="yTableNAm"/>
              <w:jc w:val="center"/>
            </w:pPr>
          </w:p>
        </w:tc>
      </w:tr>
      <w:tr>
        <w:trPr>
          <w:cantSplit/>
        </w:trPr>
        <w:tc>
          <w:tcPr>
            <w:tcW w:w="5550" w:type="dxa"/>
          </w:tcPr>
          <w:p>
            <w:pPr>
              <w:pStyle w:val="yTableNAm"/>
              <w:tabs>
                <w:tab w:val="clear" w:pos="567"/>
              </w:tabs>
              <w:ind w:left="355" w:hanging="355"/>
            </w:pPr>
            <w:r>
              <w:t> — where the burnt area involves not more than 3% of total body surface</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where the burnt area involves more than 3% but less than 10% of total body surface</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where the burnt area involves 10% or more but less than 20% of total body surface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where the burnt area involves 20% or more but less than 30% of total body surface</w:t>
            </w:r>
          </w:p>
        </w:tc>
        <w:tc>
          <w:tcPr>
            <w:tcW w:w="963" w:type="dxa"/>
            <w:gridSpan w:val="2"/>
            <w:vAlign w:val="bottom"/>
          </w:tcPr>
          <w:p>
            <w:pPr>
              <w:pStyle w:val="yTableNAm"/>
              <w:jc w:val="center"/>
            </w:pPr>
            <w:r>
              <w:t>9</w:t>
            </w:r>
          </w:p>
        </w:tc>
      </w:tr>
      <w:tr>
        <w:trPr>
          <w:cantSplit/>
        </w:trPr>
        <w:tc>
          <w:tcPr>
            <w:tcW w:w="5550" w:type="dxa"/>
          </w:tcPr>
          <w:p>
            <w:pPr>
              <w:pStyle w:val="yTableNAm"/>
              <w:tabs>
                <w:tab w:val="clear" w:pos="567"/>
              </w:tabs>
              <w:ind w:left="355" w:hanging="355"/>
            </w:pPr>
            <w:r>
              <w:t> — where the burnt area involves 30% or more but less than 40% of total body surface</w:t>
            </w:r>
          </w:p>
        </w:tc>
        <w:tc>
          <w:tcPr>
            <w:tcW w:w="963" w:type="dxa"/>
            <w:gridSpan w:val="2"/>
            <w:vAlign w:val="bottom"/>
          </w:tcPr>
          <w:p>
            <w:pPr>
              <w:pStyle w:val="yTableNAm"/>
              <w:jc w:val="center"/>
            </w:pPr>
            <w:r>
              <w:t>11</w:t>
            </w:r>
          </w:p>
        </w:tc>
      </w:tr>
      <w:tr>
        <w:trPr>
          <w:cantSplit/>
        </w:trPr>
        <w:tc>
          <w:tcPr>
            <w:tcW w:w="5550" w:type="dxa"/>
          </w:tcPr>
          <w:p>
            <w:pPr>
              <w:pStyle w:val="yTableNAm"/>
              <w:tabs>
                <w:tab w:val="clear" w:pos="567"/>
              </w:tabs>
              <w:ind w:left="355" w:hanging="355"/>
            </w:pPr>
            <w:r>
              <w:t> — where the burnt area involves 40% or more but less than 50% of total body surface</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s>
              <w:ind w:left="355" w:hanging="355"/>
            </w:pPr>
            <w:r>
              <w:t> — where the burnt area involves 50% or more but less than 60% of total body surface</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s>
              <w:ind w:left="355" w:hanging="355"/>
            </w:pPr>
            <w:r>
              <w:t> — where the burnt area involves 60% or more but less than 70% of total body surface</w:t>
            </w:r>
          </w:p>
        </w:tc>
        <w:tc>
          <w:tcPr>
            <w:tcW w:w="963" w:type="dxa"/>
            <w:gridSpan w:val="2"/>
            <w:vAlign w:val="bottom"/>
          </w:tcPr>
          <w:p>
            <w:pPr>
              <w:pStyle w:val="yTableNAm"/>
              <w:jc w:val="center"/>
            </w:pPr>
            <w:r>
              <w:t>17</w:t>
            </w:r>
          </w:p>
        </w:tc>
      </w:tr>
      <w:tr>
        <w:trPr>
          <w:cantSplit/>
        </w:trPr>
        <w:tc>
          <w:tcPr>
            <w:tcW w:w="5550" w:type="dxa"/>
          </w:tcPr>
          <w:p>
            <w:pPr>
              <w:pStyle w:val="yTableNAm"/>
              <w:tabs>
                <w:tab w:val="clear" w:pos="567"/>
              </w:tabs>
              <w:ind w:left="355" w:hanging="355"/>
            </w:pPr>
            <w:r>
              <w:t> — where the burnt area involves 70% or more but less than 80% of total body surface</w:t>
            </w:r>
          </w:p>
        </w:tc>
        <w:tc>
          <w:tcPr>
            <w:tcW w:w="963" w:type="dxa"/>
            <w:gridSpan w:val="2"/>
            <w:vAlign w:val="bottom"/>
          </w:tcPr>
          <w:p>
            <w:pPr>
              <w:pStyle w:val="yTableNAm"/>
              <w:jc w:val="center"/>
            </w:pPr>
            <w:r>
              <w:t>19</w:t>
            </w:r>
          </w:p>
        </w:tc>
      </w:tr>
      <w:tr>
        <w:trPr>
          <w:cantSplit/>
        </w:trPr>
        <w:tc>
          <w:tcPr>
            <w:tcW w:w="5550" w:type="dxa"/>
          </w:tcPr>
          <w:p>
            <w:pPr>
              <w:pStyle w:val="yTableNAm"/>
              <w:tabs>
                <w:tab w:val="clear" w:pos="567"/>
              </w:tabs>
              <w:ind w:left="355" w:hanging="355"/>
            </w:pPr>
            <w:r>
              <w:t> — where the burnt area involves 80% or more of total body surface</w:t>
            </w:r>
          </w:p>
        </w:tc>
        <w:tc>
          <w:tcPr>
            <w:tcW w:w="963" w:type="dxa"/>
            <w:gridSpan w:val="2"/>
            <w:vAlign w:val="bottom"/>
          </w:tcPr>
          <w:p>
            <w:pPr>
              <w:pStyle w:val="yTableNAm"/>
              <w:jc w:val="center"/>
            </w:pPr>
            <w:r>
              <w:t>21</w:t>
            </w:r>
          </w:p>
        </w:tc>
      </w:tr>
      <w:tr>
        <w:trPr>
          <w:cantSplit/>
        </w:trPr>
        <w:tc>
          <w:tcPr>
            <w:tcW w:w="5550" w:type="dxa"/>
          </w:tcPr>
          <w:p>
            <w:pPr>
              <w:pStyle w:val="yTableNAm"/>
              <w:rPr>
                <w:b/>
              </w:rPr>
            </w:pPr>
            <w:r>
              <w:rPr>
                <w:b/>
              </w:rPr>
              <w:t>Other Procedures</w:t>
            </w:r>
          </w:p>
        </w:tc>
        <w:tc>
          <w:tcPr>
            <w:tcW w:w="963" w:type="dxa"/>
            <w:gridSpan w:val="2"/>
            <w:vAlign w:val="bottom"/>
          </w:tcPr>
          <w:p>
            <w:pPr>
              <w:pStyle w:val="yTableNAm"/>
              <w:jc w:val="center"/>
            </w:pPr>
          </w:p>
        </w:tc>
      </w:tr>
      <w:tr>
        <w:trPr>
          <w:cantSplit/>
        </w:trPr>
        <w:tc>
          <w:tcPr>
            <w:tcW w:w="5550" w:type="dxa"/>
          </w:tcPr>
          <w:p>
            <w:pPr>
              <w:pStyle w:val="yTableNAm"/>
            </w:pPr>
            <w:r>
              <w:t>Anaesthesia for injection procedure for myelography: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 — posterior fossa</w:t>
            </w:r>
          </w:p>
        </w:tc>
        <w:tc>
          <w:tcPr>
            <w:tcW w:w="963" w:type="dxa"/>
            <w:gridSpan w:val="2"/>
            <w:vAlign w:val="bottom"/>
          </w:tcPr>
          <w:p>
            <w:pPr>
              <w:pStyle w:val="yTableNAm"/>
              <w:jc w:val="center"/>
            </w:pPr>
            <w:r>
              <w:t>9</w:t>
            </w:r>
          </w:p>
        </w:tc>
      </w:tr>
      <w:tr>
        <w:trPr>
          <w:cantSplit/>
        </w:trPr>
        <w:tc>
          <w:tcPr>
            <w:tcW w:w="5550" w:type="dxa"/>
          </w:tcPr>
          <w:p>
            <w:pPr>
              <w:pStyle w:val="yTableNAm"/>
              <w:keepNext/>
            </w:pPr>
            <w:r>
              <w:t>Anaesthesia for injection procedure for discography: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arteriogram</w:t>
            </w:r>
          </w:p>
        </w:tc>
        <w:tc>
          <w:tcPr>
            <w:tcW w:w="963" w:type="dxa"/>
            <w:gridSpan w:val="2"/>
            <w:vAlign w:val="bottom"/>
          </w:tcPr>
          <w:p>
            <w:pPr>
              <w:pStyle w:val="yTableNAm"/>
              <w:jc w:val="center"/>
            </w:pPr>
            <w:r>
              <w:t>5</w:t>
            </w:r>
          </w:p>
        </w:tc>
      </w:tr>
      <w:tr>
        <w:trPr>
          <w:cantSplit/>
        </w:trPr>
        <w:tc>
          <w:tcPr>
            <w:tcW w:w="5550" w:type="dxa"/>
          </w:tcPr>
          <w:p>
            <w:pPr>
              <w:pStyle w:val="yTableNAm"/>
            </w:pPr>
            <w:r>
              <w:t>Anaesthesia for arteriograms:</w:t>
            </w:r>
          </w:p>
        </w:tc>
        <w:tc>
          <w:tcPr>
            <w:tcW w:w="963" w:type="dxa"/>
            <w:gridSpan w:val="2"/>
            <w:vAlign w:val="bottom"/>
          </w:tcPr>
          <w:p>
            <w:pPr>
              <w:pStyle w:val="yTableNAm"/>
              <w:jc w:val="center"/>
            </w:pPr>
          </w:p>
        </w:tc>
      </w:tr>
      <w:tr>
        <w:trPr>
          <w:cantSplit/>
        </w:trPr>
        <w:tc>
          <w:tcPr>
            <w:tcW w:w="5550" w:type="dxa"/>
          </w:tcPr>
          <w:p>
            <w:pPr>
              <w:pStyle w:val="yTableNAm"/>
            </w:pPr>
            <w:r>
              <w:t> — carotid, cerebral or vertebral</w:t>
            </w:r>
          </w:p>
        </w:tc>
        <w:tc>
          <w:tcPr>
            <w:tcW w:w="963" w:type="dxa"/>
            <w:gridSpan w:val="2"/>
            <w:vAlign w:val="bottom"/>
          </w:tcPr>
          <w:p>
            <w:pPr>
              <w:pStyle w:val="yTableNAm"/>
              <w:jc w:val="center"/>
            </w:pPr>
            <w:r>
              <w:t>5</w:t>
            </w:r>
          </w:p>
        </w:tc>
      </w:tr>
      <w:tr>
        <w:trPr>
          <w:cantSplit/>
        </w:trPr>
        <w:tc>
          <w:tcPr>
            <w:tcW w:w="5550" w:type="dxa"/>
          </w:tcPr>
          <w:p>
            <w:pPr>
              <w:pStyle w:val="yTableNAm"/>
            </w:pPr>
            <w:r>
              <w:t> — retrograde, brachial or femoral</w:t>
            </w:r>
          </w:p>
        </w:tc>
        <w:tc>
          <w:tcPr>
            <w:tcW w:w="963" w:type="dxa"/>
            <w:gridSpan w:val="2"/>
            <w:vAlign w:val="bottom"/>
          </w:tcPr>
          <w:p>
            <w:pPr>
              <w:pStyle w:val="yTableNAm"/>
              <w:jc w:val="center"/>
            </w:pPr>
            <w:r>
              <w:t>5</w:t>
            </w:r>
          </w:p>
        </w:tc>
      </w:tr>
      <w:tr>
        <w:trPr>
          <w:cantSplit/>
        </w:trPr>
        <w:tc>
          <w:tcPr>
            <w:tcW w:w="5550" w:type="dxa"/>
          </w:tcPr>
          <w:p>
            <w:pPr>
              <w:pStyle w:val="yTableNAm"/>
            </w:pPr>
            <w:r>
              <w:t>Anaesthesia for computerised axial tomography scanning, magnetic resonance scanning, ultrasound scanning or digital subtraction angiography scanning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radiology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retrograde cystography, retrograde urethrography or retrograde cystourethrography</w:t>
            </w:r>
          </w:p>
        </w:tc>
        <w:tc>
          <w:tcPr>
            <w:tcW w:w="963" w:type="dxa"/>
            <w:gridSpan w:val="2"/>
            <w:vAlign w:val="bottom"/>
          </w:tcPr>
          <w:p>
            <w:pPr>
              <w:pStyle w:val="yTableNAm"/>
              <w:jc w:val="center"/>
            </w:pPr>
            <w:r>
              <w:t>4</w:t>
            </w:r>
          </w:p>
        </w:tc>
      </w:tr>
      <w:tr>
        <w:trPr>
          <w:cantSplit/>
        </w:trPr>
        <w:tc>
          <w:tcPr>
            <w:tcW w:w="5550" w:type="dxa"/>
          </w:tcPr>
          <w:p>
            <w:pPr>
              <w:pStyle w:val="yTableNAm"/>
            </w:pPr>
            <w:r>
              <w:t>Anaesthesia for flouroscopy</w:t>
            </w:r>
          </w:p>
        </w:tc>
        <w:tc>
          <w:tcPr>
            <w:tcW w:w="963" w:type="dxa"/>
            <w:gridSpan w:val="2"/>
            <w:vAlign w:val="bottom"/>
          </w:tcPr>
          <w:p>
            <w:pPr>
              <w:pStyle w:val="yTableNAm"/>
              <w:jc w:val="center"/>
            </w:pPr>
            <w:r>
              <w:t>5</w:t>
            </w:r>
          </w:p>
        </w:tc>
      </w:tr>
      <w:tr>
        <w:trPr>
          <w:cantSplit/>
        </w:trPr>
        <w:tc>
          <w:tcPr>
            <w:tcW w:w="5550" w:type="dxa"/>
          </w:tcPr>
          <w:p>
            <w:pPr>
              <w:pStyle w:val="yTableNAm"/>
            </w:pPr>
            <w:r>
              <w:t>Anaesthesia for small bowel enema, barium or other opaque study of the small bowel</w:t>
            </w:r>
          </w:p>
        </w:tc>
        <w:tc>
          <w:tcPr>
            <w:tcW w:w="963" w:type="dxa"/>
            <w:gridSpan w:val="2"/>
            <w:vAlign w:val="bottom"/>
          </w:tcPr>
          <w:p>
            <w:pPr>
              <w:pStyle w:val="yTableNAm"/>
              <w:jc w:val="center"/>
            </w:pPr>
            <w:r>
              <w:t>5</w:t>
            </w:r>
          </w:p>
        </w:tc>
      </w:tr>
      <w:tr>
        <w:trPr>
          <w:cantSplit/>
        </w:trPr>
        <w:tc>
          <w:tcPr>
            <w:tcW w:w="5550" w:type="dxa"/>
          </w:tcPr>
          <w:p>
            <w:pPr>
              <w:pStyle w:val="yTableNAm"/>
            </w:pPr>
            <w:r>
              <w:t>Anaesthesia for bronchography</w:t>
            </w:r>
          </w:p>
        </w:tc>
        <w:tc>
          <w:tcPr>
            <w:tcW w:w="963" w:type="dxa"/>
            <w:gridSpan w:val="2"/>
            <w:vAlign w:val="bottom"/>
          </w:tcPr>
          <w:p>
            <w:pPr>
              <w:pStyle w:val="yTableNAm"/>
              <w:jc w:val="center"/>
            </w:pPr>
            <w:r>
              <w:t>6</w:t>
            </w:r>
          </w:p>
        </w:tc>
      </w:tr>
      <w:tr>
        <w:trPr>
          <w:cantSplit/>
        </w:trPr>
        <w:tc>
          <w:tcPr>
            <w:tcW w:w="5550" w:type="dxa"/>
          </w:tcPr>
          <w:p>
            <w:pPr>
              <w:pStyle w:val="yTableNAm"/>
            </w:pPr>
            <w:r>
              <w:t>Anaesthesia for phlebography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heart, 2 dimensional real time transoesophageal examination</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venous cannulation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cardiac catheterisation including coronary arteriography, ventriculography, cardiac mapping, insertion of automatic defibrillator or transvenous pacemaker</w:t>
            </w:r>
          </w:p>
        </w:tc>
        <w:tc>
          <w:tcPr>
            <w:tcW w:w="963" w:type="dxa"/>
            <w:gridSpan w:val="2"/>
            <w:vAlign w:val="bottom"/>
          </w:tcPr>
          <w:p>
            <w:pPr>
              <w:pStyle w:val="yTableNAm"/>
              <w:jc w:val="center"/>
            </w:pPr>
            <w:r>
              <w:t>7</w:t>
            </w:r>
          </w:p>
        </w:tc>
      </w:tr>
      <w:tr>
        <w:trPr>
          <w:cantSplit/>
        </w:trPr>
        <w:tc>
          <w:tcPr>
            <w:tcW w:w="5550" w:type="dxa"/>
          </w:tcPr>
          <w:p>
            <w:pPr>
              <w:pStyle w:val="yTableNAm"/>
            </w:pPr>
            <w:r>
              <w:t>Anaesthesia for cardiac electrophysiological procedures including radio frequency ablation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central vein catheterisation or insertion of right heart balloon catheter</w:t>
            </w:r>
          </w:p>
        </w:tc>
        <w:tc>
          <w:tcPr>
            <w:tcW w:w="963" w:type="dxa"/>
            <w:gridSpan w:val="2"/>
            <w:vAlign w:val="bottom"/>
          </w:tcPr>
          <w:p>
            <w:pPr>
              <w:pStyle w:val="yTableNAm"/>
              <w:jc w:val="center"/>
            </w:pPr>
            <w:r>
              <w:t>5</w:t>
            </w:r>
          </w:p>
        </w:tc>
      </w:tr>
      <w:tr>
        <w:trPr>
          <w:cantSplit/>
        </w:trPr>
        <w:tc>
          <w:tcPr>
            <w:tcW w:w="5550" w:type="dxa"/>
          </w:tcPr>
          <w:p>
            <w:pPr>
              <w:pStyle w:val="yTableNAm"/>
            </w:pPr>
            <w:r>
              <w:t>Anaesthesia for lumbar puncture, cisternal puncture, or epidural injection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harvesting of bone marrow for the purpose of transplantation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muscle biopsy for malignant hyperpyrexia</w:t>
            </w:r>
          </w:p>
        </w:tc>
        <w:tc>
          <w:tcPr>
            <w:tcW w:w="963" w:type="dxa"/>
            <w:gridSpan w:val="2"/>
            <w:vAlign w:val="bottom"/>
          </w:tcPr>
          <w:p>
            <w:pPr>
              <w:pStyle w:val="yTableNAm"/>
              <w:jc w:val="center"/>
            </w:pPr>
            <w:r>
              <w:t>10</w:t>
            </w:r>
          </w:p>
        </w:tc>
      </w:tr>
      <w:tr>
        <w:trPr>
          <w:cantSplit/>
        </w:trPr>
        <w:tc>
          <w:tcPr>
            <w:tcW w:w="5550" w:type="dxa"/>
          </w:tcPr>
          <w:p>
            <w:pPr>
              <w:pStyle w:val="yTableNAm"/>
            </w:pPr>
            <w:r>
              <w:t>Anaesthesia for electroencephalography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brain stem evoked audiometry</w:t>
            </w:r>
          </w:p>
        </w:tc>
        <w:tc>
          <w:tcPr>
            <w:tcW w:w="963" w:type="dxa"/>
            <w:gridSpan w:val="2"/>
            <w:vAlign w:val="bottom"/>
          </w:tcPr>
          <w:p>
            <w:pPr>
              <w:pStyle w:val="yTableNAm"/>
              <w:jc w:val="center"/>
            </w:pPr>
            <w:r>
              <w:t>5</w:t>
            </w:r>
          </w:p>
        </w:tc>
      </w:tr>
      <w:tr>
        <w:trPr>
          <w:cantSplit/>
        </w:trPr>
        <w:tc>
          <w:tcPr>
            <w:tcW w:w="5550" w:type="dxa"/>
          </w:tcPr>
          <w:p>
            <w:pPr>
              <w:pStyle w:val="yTableNAm"/>
            </w:pPr>
            <w:r>
              <w:t>Anaesthesia for electrocochleography by extratympanic method or transtympanic membrane insertion method</w:t>
            </w:r>
          </w:p>
        </w:tc>
        <w:tc>
          <w:tcPr>
            <w:tcW w:w="963" w:type="dxa"/>
            <w:gridSpan w:val="2"/>
            <w:vAlign w:val="bottom"/>
          </w:tcPr>
          <w:p>
            <w:pPr>
              <w:pStyle w:val="yTableNAm"/>
              <w:jc w:val="center"/>
            </w:pPr>
            <w:r>
              <w:t>5</w:t>
            </w:r>
          </w:p>
        </w:tc>
      </w:tr>
      <w:tr>
        <w:trPr>
          <w:cantSplit/>
        </w:trPr>
        <w:tc>
          <w:tcPr>
            <w:tcW w:w="5550" w:type="dxa"/>
          </w:tcPr>
          <w:p>
            <w:pPr>
              <w:pStyle w:val="yTableNAm"/>
            </w:pPr>
            <w:r>
              <w:t>Anaesthesia for a therapeutic procedure where it can be demonstrated that there is a clinical need for anaesthesia</w:t>
            </w:r>
          </w:p>
        </w:tc>
        <w:tc>
          <w:tcPr>
            <w:tcW w:w="963" w:type="dxa"/>
            <w:gridSpan w:val="2"/>
            <w:vAlign w:val="bottom"/>
          </w:tcPr>
          <w:p>
            <w:pPr>
              <w:pStyle w:val="yTableNAm"/>
              <w:jc w:val="center"/>
            </w:pPr>
            <w:r>
              <w:t>5</w:t>
            </w:r>
          </w:p>
        </w:tc>
      </w:tr>
      <w:tr>
        <w:trPr>
          <w:cantSplit/>
        </w:trPr>
        <w:tc>
          <w:tcPr>
            <w:tcW w:w="5550" w:type="dxa"/>
          </w:tcPr>
          <w:p>
            <w:pPr>
              <w:pStyle w:val="yTableNAm"/>
            </w:pPr>
            <w:r>
              <w:t>Anaesthesia during hyperbaric therapy where the medical practitioner is not confined in the chamber (including the administration of oxygen)</w:t>
            </w:r>
          </w:p>
        </w:tc>
        <w:tc>
          <w:tcPr>
            <w:tcW w:w="963" w:type="dxa"/>
            <w:gridSpan w:val="2"/>
            <w:vAlign w:val="bottom"/>
          </w:tcPr>
          <w:p>
            <w:pPr>
              <w:pStyle w:val="yTableNAm"/>
              <w:jc w:val="center"/>
            </w:pPr>
            <w:r>
              <w:br/>
            </w:r>
            <w:r>
              <w:br/>
              <w:t>8</w:t>
            </w:r>
          </w:p>
        </w:tc>
      </w:tr>
      <w:tr>
        <w:trPr>
          <w:cantSplit/>
        </w:trPr>
        <w:tc>
          <w:tcPr>
            <w:tcW w:w="5550" w:type="dxa"/>
          </w:tcPr>
          <w:p>
            <w:pPr>
              <w:pStyle w:val="yTableNAm"/>
            </w:pPr>
            <w:r>
              <w:t>Anaesthesia during hyperbaric therapy where the medical practitioner is confined in the chamber (including the administration of oxygen)</w:t>
            </w:r>
          </w:p>
        </w:tc>
        <w:tc>
          <w:tcPr>
            <w:tcW w:w="963" w:type="dxa"/>
            <w:gridSpan w:val="2"/>
            <w:vAlign w:val="bottom"/>
          </w:tcPr>
          <w:p>
            <w:pPr>
              <w:pStyle w:val="yTableNAm"/>
              <w:jc w:val="center"/>
            </w:pPr>
            <w:r>
              <w:br/>
            </w:r>
            <w:r>
              <w:br/>
              <w:t>15</w:t>
            </w:r>
          </w:p>
        </w:tc>
      </w:tr>
      <w:tr>
        <w:trPr>
          <w:cantSplit/>
        </w:trPr>
        <w:tc>
          <w:tcPr>
            <w:tcW w:w="5550" w:type="dxa"/>
          </w:tcPr>
          <w:p>
            <w:pPr>
              <w:pStyle w:val="yTableNAm"/>
            </w:pPr>
            <w:r>
              <w:t>Anaesthesia for brachytherapy using radioactive sealed sources</w:t>
            </w:r>
          </w:p>
        </w:tc>
        <w:tc>
          <w:tcPr>
            <w:tcW w:w="963" w:type="dxa"/>
            <w:gridSpan w:val="2"/>
            <w:vAlign w:val="bottom"/>
          </w:tcPr>
          <w:p>
            <w:pPr>
              <w:pStyle w:val="yTableNAm"/>
              <w:jc w:val="center"/>
            </w:pPr>
            <w:r>
              <w:t>5</w:t>
            </w:r>
          </w:p>
        </w:tc>
      </w:tr>
      <w:tr>
        <w:trPr>
          <w:cantSplit/>
        </w:trPr>
        <w:tc>
          <w:tcPr>
            <w:tcW w:w="5550" w:type="dxa"/>
          </w:tcPr>
          <w:p>
            <w:pPr>
              <w:pStyle w:val="yTableNAm"/>
            </w:pPr>
            <w:r>
              <w:t>Anaesthesia for therapeutic nuclear medicine</w:t>
            </w:r>
          </w:p>
        </w:tc>
        <w:tc>
          <w:tcPr>
            <w:tcW w:w="963" w:type="dxa"/>
            <w:gridSpan w:val="2"/>
            <w:vAlign w:val="bottom"/>
          </w:tcPr>
          <w:p>
            <w:pPr>
              <w:pStyle w:val="yTableNAm"/>
              <w:jc w:val="center"/>
            </w:pPr>
            <w:r>
              <w:t>5</w:t>
            </w:r>
          </w:p>
        </w:tc>
      </w:tr>
      <w:tr>
        <w:trPr>
          <w:cantSplit/>
        </w:trPr>
        <w:tc>
          <w:tcPr>
            <w:tcW w:w="5550" w:type="dxa"/>
          </w:tcPr>
          <w:p>
            <w:pPr>
              <w:pStyle w:val="yTableNAm"/>
            </w:pPr>
            <w:r>
              <w:t>Anaesthesia for radiotherapy</w:t>
            </w:r>
          </w:p>
        </w:tc>
        <w:tc>
          <w:tcPr>
            <w:tcW w:w="963" w:type="dxa"/>
            <w:gridSpan w:val="2"/>
            <w:vAlign w:val="bottom"/>
          </w:tcPr>
          <w:p>
            <w:pPr>
              <w:pStyle w:val="yTableNAm"/>
              <w:jc w:val="center"/>
            </w:pPr>
            <w:r>
              <w:t>7</w:t>
            </w:r>
          </w:p>
        </w:tc>
      </w:tr>
      <w:tr>
        <w:trPr>
          <w:cantSplit/>
        </w:trPr>
        <w:tc>
          <w:tcPr>
            <w:tcW w:w="5550" w:type="dxa"/>
            <w:tcBorders>
              <w:bottom w:val="single" w:sz="4" w:space="0" w:color="auto"/>
            </w:tcBorders>
          </w:tcPr>
          <w:p>
            <w:pPr>
              <w:pStyle w:val="yTableNAm"/>
            </w:pPr>
            <w:r>
              <w:t>Anaesthesia where no procedure ensues</w:t>
            </w:r>
          </w:p>
        </w:tc>
        <w:tc>
          <w:tcPr>
            <w:tcW w:w="963" w:type="dxa"/>
            <w:gridSpan w:val="2"/>
            <w:tcBorders>
              <w:bottom w:val="single" w:sz="4" w:space="0" w:color="auto"/>
            </w:tcBorders>
            <w:vAlign w:val="bottom"/>
          </w:tcPr>
          <w:p>
            <w:pPr>
              <w:pStyle w:val="yTableNAm"/>
              <w:jc w:val="center"/>
            </w:pPr>
            <w:r>
              <w:t>3</w:t>
            </w:r>
          </w:p>
        </w:tc>
      </w:tr>
    </w:tbl>
    <w:p>
      <w:pPr>
        <w:pStyle w:val="yTableNAm"/>
        <w:ind w:left="567"/>
        <w:rPr>
          <w:b/>
        </w:rPr>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513"/>
      </w:tblGrid>
      <w:tr>
        <w:trPr>
          <w:cantSplit/>
        </w:trPr>
        <w:tc>
          <w:tcPr>
            <w:tcW w:w="6513" w:type="dxa"/>
          </w:tcPr>
          <w:p>
            <w:pPr>
              <w:pStyle w:val="yTableNAm"/>
              <w:tabs>
                <w:tab w:val="clear" w:pos="567"/>
              </w:tabs>
              <w:rPr>
                <w:i/>
              </w:rPr>
            </w:pPr>
            <w:r>
              <w:rPr>
                <w:i/>
              </w:rPr>
              <w:t>The AMA recognise that in determining the number of units applicable, the anaesthetist shall have regard to equivalent procedures.</w:t>
            </w:r>
          </w:p>
        </w:tc>
      </w:tr>
    </w:tbl>
    <w:p>
      <w:pPr>
        <w:pStyle w:val="yHeading4"/>
      </w:pPr>
      <w:bookmarkStart w:id="29" w:name="_Toc22638150"/>
      <w:bookmarkStart w:id="30" w:name="_Toc22641910"/>
      <w:bookmarkStart w:id="31" w:name="_Toc23242892"/>
      <w:bookmarkStart w:id="32" w:name="_Toc23326467"/>
      <w:r>
        <w:t>Division 2 — Therapeutic and diagnostic services</w:t>
      </w:r>
      <w:bookmarkEnd w:id="29"/>
      <w:bookmarkEnd w:id="30"/>
      <w:bookmarkEnd w:id="31"/>
      <w:bookmarkEnd w:id="32"/>
    </w:p>
    <w:tbl>
      <w:tblPr>
        <w:tblW w:w="0" w:type="auto"/>
        <w:tblInd w:w="680" w:type="dxa"/>
        <w:tblLayout w:type="fixed"/>
        <w:tblCellMar>
          <w:left w:w="113" w:type="dxa"/>
          <w:right w:w="113" w:type="dxa"/>
        </w:tblCellMar>
        <w:tblLook w:val="0000" w:firstRow="0" w:lastRow="0" w:firstColumn="0" w:lastColumn="0" w:noHBand="0" w:noVBand="0"/>
      </w:tblPr>
      <w:tblGrid>
        <w:gridCol w:w="3513"/>
        <w:gridCol w:w="1000"/>
        <w:gridCol w:w="1000"/>
        <w:gridCol w:w="1000"/>
      </w:tblGrid>
      <w:tr>
        <w:trPr>
          <w:cantSplit/>
          <w:tblHeader/>
        </w:trPr>
        <w:tc>
          <w:tcPr>
            <w:tcW w:w="3513" w:type="dxa"/>
            <w:tcBorders>
              <w:top w:val="single" w:sz="4" w:space="0" w:color="auto"/>
              <w:bottom w:val="single" w:sz="4" w:space="0" w:color="auto"/>
            </w:tcBorders>
          </w:tcPr>
          <w:p>
            <w:pPr>
              <w:pStyle w:val="yTableNAm"/>
              <w:keepNext/>
              <w:tabs>
                <w:tab w:val="clear" w:pos="567"/>
              </w:tabs>
              <w:ind w:left="29"/>
              <w:rPr>
                <w:b/>
              </w:rPr>
            </w:pPr>
            <w:r>
              <w:rPr>
                <w:b/>
              </w:rPr>
              <w:t>Description of service, etc.</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MUs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TUs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BUs</w:t>
            </w:r>
          </w:p>
        </w:tc>
      </w:tr>
      <w:tr>
        <w:trPr>
          <w:cantSplit/>
        </w:trPr>
        <w:tc>
          <w:tcPr>
            <w:tcW w:w="3513" w:type="dxa"/>
          </w:tcPr>
          <w:p>
            <w:pPr>
              <w:pStyle w:val="yTableNAm"/>
              <w:tabs>
                <w:tab w:val="clear" w:pos="567"/>
              </w:tabs>
              <w:ind w:left="29"/>
            </w:pPr>
            <w:r>
              <w:t>Collection of blood for autologous transfusion or when homologous blood is required for immediate transfusion in an emergency situation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Administration of blood or bone marrow already collected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Venous cannulation and blood transfusion (or blood products)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Intubation, endotracheal, not associated with anaesthesia, when subsequent management is not in an intensive care unit</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Awake endotracheal intubation with flexible fibreoptic scope, associated with difficult airway,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Double lumen endobronchial tube or bronchial blocker, insertion of,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Monitoring of depth of anaesthesia, incorporating continuous measurement of the EEG during anaesthesia for the diagnosis of awareness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and commencement of intravenous infusion, under age of 3 years,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Venous cannulation and commencement of intravenous infusion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Right heart balloon catheter, insertion of, including pulmonary wedge pressure and cardiac output measurement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Pulmonary artery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Left atrial pressure monitoring via left atrial catheter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Invasive pressure monitoring, not otherwise listed</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Central vein catheterisation, percutaneous via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Central vein catheterisation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Central venous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cannulation, percutaneous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puncture, withdrawal of blood for diagnosis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w:t>
            </w:r>
          </w:p>
        </w:tc>
      </w:tr>
      <w:tr>
        <w:trPr>
          <w:cantSplit/>
        </w:trPr>
        <w:tc>
          <w:tcPr>
            <w:tcW w:w="3513" w:type="dxa"/>
          </w:tcPr>
          <w:p>
            <w:pPr>
              <w:pStyle w:val="yTableNAm"/>
              <w:tabs>
                <w:tab w:val="clear" w:pos="567"/>
              </w:tabs>
              <w:ind w:left="29"/>
            </w:pPr>
            <w:r>
              <w:t>Arterial cannulation,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 arterial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Catheterisation, umbilical artery, newborn, for diagnosis, or therapy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w:t>
            </w:r>
            <w:r>
              <w:noBreakHyphen/>
              <w:t>arterial infusion or retrograde intravenous perfusion of a sympatholytic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Intravenous regional anaesthesia of limb by retrograde perfusion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Perfusion of limb or organ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12</w:t>
            </w:r>
          </w:p>
        </w:tc>
      </w:tr>
      <w:tr>
        <w:trPr>
          <w:cantSplit/>
        </w:trPr>
        <w:tc>
          <w:tcPr>
            <w:tcW w:w="3513" w:type="dxa"/>
          </w:tcPr>
          <w:p>
            <w:pPr>
              <w:pStyle w:val="yTableNAm"/>
              <w:tabs>
                <w:tab w:val="clear" w:pos="567"/>
              </w:tabs>
              <w:ind w:left="29"/>
            </w:pPr>
            <w:r>
              <w:t>Medical management of cardio</w:t>
            </w:r>
            <w:r>
              <w:noBreakHyphen/>
              <w:t>pulmonary bypass perfusion using heart/lung machine</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Hypothermia, total body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Cardioplegia, blood or crystalloid, administration by any route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Deep hypothermia to a core temperature of less than 22 degrees in association with circulatory arrest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Standby medical management of cardio</w:t>
            </w:r>
            <w:r>
              <w:noBreakHyphen/>
              <w:t>pulmonary bypass perfusion using heart/lung machine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Major nerve block (proximal to the elbow or knee), including intercostal nerve clock(s) or plexus block to provide post operative pain relief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Minor nerve block (specify type) to provide post operative pain relief (does not include subcutaneous infiltration)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or epidural injection (subsequent) of a therapeutic substance,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Subarachnoid puncture, lumbar, diagnostic</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keepNext/>
              <w:tabs>
                <w:tab w:val="clear" w:pos="567"/>
              </w:tabs>
              <w:ind w:left="29"/>
            </w:pPr>
            <w:r>
              <w:t>Insertion of subarachnoid drain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 after hours for a patient in labour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Interpleural block, initial injection or commencement of infusion of a therapeutic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epidural or caudal injection of neurolytic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Intrathecal, epidural or caudal injection of substance other than anaesthetic, contrast or neurolytic solutions, not being a service to which another item in the Group applies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Epidural injection of blood for blood patch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Injection of an anaesthetic agent</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s>
              <w:ind w:left="29"/>
            </w:pPr>
            <w:r>
              <w:t> — trigeminal nerve, primary division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trigeminal nerve, peripheral branch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facial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retrobulbar or peribulbar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greater occipital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vagus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phrenic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spinal accessory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cervical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brachial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suprascapular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 single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nerves, multiple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ilioinguinal, iliohypogastric or genito femoral nerves,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pudendal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ulnar, radial or median nerve of main trunk, one or more of, not being associated with a brachial plexus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paracervical (uterine)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obturator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femoral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saphenous, sural, popliteal or posterior tibial nerve of main trunk,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355" w:hanging="355"/>
            </w:pPr>
            <w:r>
              <w:t> — paravertebral, cervical, thoracic, lumbar, sacral or coccygeal nerves, single vertebral level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paravertebral nerves, multiple levels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other peripheral nerve or branch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sphenopalatine ganglion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355" w:hanging="355"/>
            </w:pPr>
            <w:r>
              <w:t> — carotid sinus, as an independent percutaneous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stellate ganglion (cervical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lumbar or thoracic nerves (paravertebral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coeliac plexus or splanchnic nerves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Cranial nerve other than trigeminal,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Nerve branch, not covered by any other item in this Group,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Coeliac plexus or splanchnic nerves,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Lumbar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Cervical or thoracic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Cardioversion, elective, electrical conversion of arrhythmia, external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Hyperbaric oxygen treatment when the specialist is inside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Hyperbaric oxygen treatment when the specialist is outside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Heart, 2</w:t>
            </w:r>
            <w:r>
              <w:noBreakHyphen/>
              <w:t xml:space="preserve">dimensional real time transoesophageal examination of, at least 2 oesophageal windows performed using a mechanical sector scanner or phased array transducer with — </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(a)</w:t>
            </w:r>
            <w:r>
              <w:tab/>
              <w:t>measurement blood flow velocities across the cardiac valves using pulsed wave and continuous Doppler techniques; and</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(b)</w:t>
            </w:r>
            <w:r>
              <w:tab/>
              <w:t>real time colour flow mapping from at least 2 oesophageal windows; and</w:t>
            </w:r>
          </w:p>
          <w:p>
            <w:pPr>
              <w:pStyle w:val="yTableNAm"/>
              <w:tabs>
                <w:tab w:val="clear" w:pos="567"/>
                <w:tab w:val="left" w:pos="280"/>
                <w:tab w:val="left" w:pos="693"/>
              </w:tabs>
              <w:ind w:left="706" w:hanging="677"/>
            </w:pPr>
            <w:r>
              <w:tab/>
              <w:t>(c)</w:t>
            </w:r>
            <w:r>
              <w:tab/>
              <w:t>recording on video</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14</w:t>
            </w:r>
          </w:p>
        </w:tc>
      </w:tr>
      <w:tr>
        <w:trPr>
          <w:cantSplit/>
        </w:trPr>
        <w:tc>
          <w:tcPr>
            <w:tcW w:w="3513" w:type="dxa"/>
          </w:tcPr>
          <w:p>
            <w:pPr>
              <w:pStyle w:val="yTableNAm"/>
              <w:tabs>
                <w:tab w:val="clear" w:pos="567"/>
              </w:tabs>
              <w:ind w:left="29"/>
            </w:pPr>
            <w:r>
              <w:t>The use of 2</w:t>
            </w:r>
            <w:r>
              <w:noBreakHyphen/>
              <w:t>dimensional imaging ultrasound guidance to assist percutaneous major vascular access involving catheterisation of the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The use of 2</w:t>
            </w:r>
            <w:r>
              <w:noBreakHyphen/>
              <w:t>dimensional imaging ultrasound guidance to assist percutaneous neural blockade involving the branchial plexus, or femoral and/or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Skin testing for allergy to anaesthetic agents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Borders>
              <w:bottom w:val="single" w:sz="4" w:space="0" w:color="auto"/>
            </w:tcBorders>
          </w:tcPr>
          <w:p>
            <w:pPr>
              <w:pStyle w:val="yTableNAm"/>
              <w:tabs>
                <w:tab w:val="clear" w:pos="567"/>
              </w:tabs>
              <w:ind w:left="29"/>
            </w:pPr>
            <w:r>
              <w:t>Assistance in the administration of an anaesthetic</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ind w:left="567" w:hanging="541"/>
              <w:jc w:val="center"/>
            </w:pPr>
            <w:r>
              <w:t>5</w:t>
            </w:r>
          </w:p>
        </w:tc>
      </w:tr>
    </w:tbl>
    <w:p>
      <w:pPr>
        <w:pStyle w:val="yTableNAm"/>
        <w:ind w:left="567"/>
        <w:rPr>
          <w:b/>
        </w:rPr>
      </w:pPr>
      <w:r>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513"/>
      </w:tblGrid>
      <w:tr>
        <w:trPr>
          <w:cantSplit/>
        </w:trPr>
        <w:tc>
          <w:tcPr>
            <w:tcW w:w="6513" w:type="dxa"/>
          </w:tcPr>
          <w:p>
            <w:pPr>
              <w:pStyle w:val="yTableNAm"/>
              <w:tabs>
                <w:tab w:val="clear" w:pos="567"/>
              </w:tabs>
              <w:ind w:left="29"/>
              <w:rPr>
                <w:i/>
              </w:rPr>
            </w:pPr>
            <w:r>
              <w:rPr>
                <w:i/>
              </w:rPr>
              <w:t>For an unlisted service, the number of units is to be determined by reference to the nearest listed anaesthetic procedure.</w:t>
            </w:r>
          </w:p>
        </w:tc>
      </w:tr>
    </w:tbl>
    <w:p>
      <w:pPr>
        <w:pStyle w:val="yFootnotesection"/>
      </w:pPr>
      <w:r>
        <w:tab/>
        <w:t>[Part 1 inserted: Gazette 16 Oct 2015 p. 4077</w:t>
      </w:r>
      <w:r>
        <w:noBreakHyphen/>
        <w:t>111; amended: Gazette 21 Oct 2016 p. 4822</w:t>
      </w:r>
      <w:r>
        <w:noBreakHyphen/>
        <w:t>6; 6 Oct 2017 p. 5204</w:t>
      </w:r>
      <w:r>
        <w:noBreakHyphen/>
        <w:t>8; 19 Oct 2018 p. 4162</w:t>
      </w:r>
      <w:r>
        <w:noBreakHyphen/>
        <w:t>5; 22 Oct 2019 p. 3734</w:t>
      </w:r>
      <w:r>
        <w:noBreakHyphen/>
        <w:t>6.]</w:t>
      </w:r>
    </w:p>
    <w:p>
      <w:pPr>
        <w:pStyle w:val="yHeading3"/>
        <w:tabs>
          <w:tab w:val="left" w:pos="993"/>
        </w:tabs>
        <w:ind w:left="992" w:hanging="992"/>
      </w:pPr>
      <w:bookmarkStart w:id="33" w:name="_Toc22638151"/>
      <w:bookmarkStart w:id="34" w:name="_Toc22641911"/>
      <w:bookmarkStart w:id="35" w:name="_Toc23242893"/>
      <w:bookmarkStart w:id="36" w:name="_Toc23326468"/>
      <w:r>
        <w:rPr>
          <w:rStyle w:val="CharSDivNo"/>
        </w:rPr>
        <w:t>Part 2</w:t>
      </w:r>
      <w:r>
        <w:t> — </w:t>
      </w:r>
      <w:r>
        <w:rPr>
          <w:rStyle w:val="CharSDivText"/>
        </w:rPr>
        <w:t>Medical procedures</w:t>
      </w:r>
      <w:bookmarkEnd w:id="33"/>
      <w:bookmarkEnd w:id="34"/>
      <w:bookmarkEnd w:id="35"/>
      <w:bookmarkEnd w:id="36"/>
    </w:p>
    <w:p>
      <w:pPr>
        <w:pStyle w:val="yFootnoteheading"/>
        <w:keepNext/>
        <w:spacing w:after="60"/>
      </w:pPr>
      <w:r>
        <w:tab/>
        <w:t>[Heading inserted: Gazette 21 Oct 2016 p. 4826.]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yTableNAm"/>
              <w:keepNext/>
            </w:pPr>
            <w:r>
              <w:rPr>
                <w:b/>
              </w:rPr>
              <w:t>Type of procedure</w:t>
            </w:r>
          </w:p>
        </w:tc>
        <w:tc>
          <w:tcPr>
            <w:tcW w:w="1134" w:type="dxa"/>
            <w:tcBorders>
              <w:top w:val="single" w:sz="4" w:space="0" w:color="auto"/>
              <w:bottom w:val="single" w:sz="4" w:space="0" w:color="auto"/>
            </w:tcBorders>
          </w:tcPr>
          <w:p>
            <w:pPr>
              <w:pStyle w:val="yTableNAm"/>
              <w:keepNext/>
            </w:pPr>
            <w:r>
              <w:rPr>
                <w:b/>
              </w:rPr>
              <w:t>Fee</w:t>
            </w:r>
          </w:p>
        </w:tc>
      </w:tr>
      <w:tr>
        <w:trPr>
          <w:cantSplit/>
        </w:trPr>
        <w:tc>
          <w:tcPr>
            <w:tcW w:w="5670" w:type="dxa"/>
            <w:tcBorders>
              <w:top w:val="single" w:sz="4" w:space="0" w:color="auto"/>
            </w:tcBorders>
          </w:tcPr>
          <w:p>
            <w:pPr>
              <w:pStyle w:val="yTableNAm"/>
              <w:keepNext/>
            </w:pPr>
            <w:r>
              <w:t>GENERAL</w:t>
            </w:r>
          </w:p>
        </w:tc>
        <w:tc>
          <w:tcPr>
            <w:tcW w:w="1134" w:type="dxa"/>
            <w:vAlign w:val="center"/>
          </w:tcPr>
          <w:p>
            <w:pPr>
              <w:pStyle w:val="yTableNAm"/>
              <w:keepNext/>
            </w:pPr>
          </w:p>
        </w:tc>
      </w:tr>
      <w:tr>
        <w:trPr>
          <w:cantSplit/>
        </w:trPr>
        <w:tc>
          <w:tcPr>
            <w:tcW w:w="5670" w:type="dxa"/>
          </w:tcPr>
          <w:p>
            <w:pPr>
              <w:pStyle w:val="yTableNAm"/>
            </w:pPr>
            <w:r>
              <w:t>Localised burns</w:t>
            </w:r>
          </w:p>
        </w:tc>
        <w:tc>
          <w:tcPr>
            <w:tcW w:w="1134" w:type="dxa"/>
            <w:vAlign w:val="center"/>
          </w:tcPr>
          <w:p>
            <w:pPr>
              <w:pStyle w:val="yTableNAm"/>
            </w:pPr>
            <w:r>
              <w:t>$65.75</w:t>
            </w:r>
          </w:p>
        </w:tc>
      </w:tr>
      <w:tr>
        <w:trPr>
          <w:cantSplit/>
        </w:trPr>
        <w:tc>
          <w:tcPr>
            <w:tcW w:w="5670" w:type="dxa"/>
          </w:tcPr>
          <w:p>
            <w:pPr>
              <w:pStyle w:val="yTableNAm"/>
            </w:pPr>
            <w:r>
              <w:t>Localised burns, including dressing of, under general anaesthetic</w:t>
            </w:r>
          </w:p>
        </w:tc>
        <w:tc>
          <w:tcPr>
            <w:tcW w:w="1134" w:type="dxa"/>
          </w:tcPr>
          <w:p>
            <w:pPr>
              <w:pStyle w:val="yTableNAm"/>
            </w:pPr>
            <w:r>
              <w:br/>
              <w:t>$186.95</w:t>
            </w:r>
          </w:p>
        </w:tc>
      </w:tr>
      <w:tr>
        <w:trPr>
          <w:cantSplit/>
        </w:trPr>
        <w:tc>
          <w:tcPr>
            <w:tcW w:w="5670" w:type="dxa"/>
          </w:tcPr>
          <w:p>
            <w:pPr>
              <w:pStyle w:val="yTableNAm"/>
            </w:pPr>
            <w:r>
              <w:t>Extensive burns</w:t>
            </w:r>
          </w:p>
        </w:tc>
        <w:tc>
          <w:tcPr>
            <w:tcW w:w="1134" w:type="dxa"/>
          </w:tcPr>
          <w:p>
            <w:pPr>
              <w:pStyle w:val="yTableNAm"/>
            </w:pPr>
            <w:r>
              <w:t>$113.50</w:t>
            </w:r>
          </w:p>
        </w:tc>
      </w:tr>
      <w:tr>
        <w:trPr>
          <w:cantSplit/>
        </w:trPr>
        <w:tc>
          <w:tcPr>
            <w:tcW w:w="5670" w:type="dxa"/>
          </w:tcPr>
          <w:p>
            <w:pPr>
              <w:pStyle w:val="yTableNAm"/>
            </w:pPr>
            <w:r>
              <w:t>Extensive burns, including dressing of, under general anaesthetic</w:t>
            </w:r>
          </w:p>
        </w:tc>
        <w:tc>
          <w:tcPr>
            <w:tcW w:w="1134" w:type="dxa"/>
          </w:tcPr>
          <w:p>
            <w:pPr>
              <w:pStyle w:val="yTableNAm"/>
            </w:pPr>
            <w:r>
              <w:br/>
              <w:t>$395.80</w:t>
            </w:r>
          </w:p>
        </w:tc>
      </w:tr>
      <w:tr>
        <w:trPr>
          <w:cantSplit/>
        </w:trPr>
        <w:tc>
          <w:tcPr>
            <w:tcW w:w="5670" w:type="dxa"/>
          </w:tcPr>
          <w:p>
            <w:pPr>
              <w:pStyle w:val="yTableNAm"/>
            </w:pPr>
            <w:r>
              <w:t>Dressing of wounds, under general anaesthetic</w:t>
            </w:r>
          </w:p>
        </w:tc>
        <w:tc>
          <w:tcPr>
            <w:tcW w:w="1134" w:type="dxa"/>
          </w:tcPr>
          <w:p>
            <w:pPr>
              <w:pStyle w:val="yTableNAm"/>
            </w:pPr>
            <w:r>
              <w:t>$186.95</w:t>
            </w:r>
          </w:p>
        </w:tc>
      </w:tr>
      <w:tr>
        <w:trPr>
          <w:cantSplit/>
        </w:trPr>
        <w:tc>
          <w:tcPr>
            <w:tcW w:w="5670" w:type="dxa"/>
          </w:tcPr>
          <w:p>
            <w:pPr>
              <w:pStyle w:val="yTableNAm"/>
            </w:pPr>
            <w:r>
              <w:t>Acupuncture, including consultation</w:t>
            </w:r>
          </w:p>
        </w:tc>
        <w:tc>
          <w:tcPr>
            <w:tcW w:w="1134" w:type="dxa"/>
          </w:tcPr>
          <w:p>
            <w:pPr>
              <w:pStyle w:val="yTableNAm"/>
            </w:pPr>
            <w:r>
              <w:t>$87.25</w:t>
            </w:r>
          </w:p>
        </w:tc>
      </w:tr>
      <w:tr>
        <w:trPr>
          <w:cantSplit/>
        </w:trPr>
        <w:tc>
          <w:tcPr>
            <w:tcW w:w="5670" w:type="dxa"/>
          </w:tcPr>
          <w:p>
            <w:pPr>
              <w:pStyle w:val="yTableNAm"/>
            </w:pPr>
            <w:r>
              <w:t>DISLOCATIONS</w:t>
            </w:r>
          </w:p>
        </w:tc>
        <w:tc>
          <w:tcPr>
            <w:tcW w:w="1134" w:type="dxa"/>
            <w:vAlign w:val="center"/>
          </w:tcPr>
          <w:p>
            <w:pPr>
              <w:pStyle w:val="yTableNAm"/>
            </w:pPr>
          </w:p>
        </w:tc>
      </w:tr>
      <w:tr>
        <w:trPr>
          <w:cantSplit/>
        </w:trPr>
        <w:tc>
          <w:tcPr>
            <w:tcW w:w="5670" w:type="dxa"/>
          </w:tcPr>
          <w:p>
            <w:pPr>
              <w:pStyle w:val="yTableNAm"/>
              <w:tabs>
                <w:tab w:val="clear" w:pos="567"/>
                <w:tab w:val="left" w:pos="596"/>
              </w:tabs>
              <w:ind w:left="596" w:hanging="596"/>
            </w:pPr>
            <w:r>
              <w:tab/>
            </w:r>
            <w:r>
              <w:rPr>
                <w:b/>
                <w:i/>
              </w:rPr>
              <w:t>closed reduction</w:t>
            </w:r>
            <w:r>
              <w:t xml:space="preserve"> means non</w:t>
            </w:r>
            <w:r>
              <w:noBreakHyphen/>
              <w:t>operative reduction of the dislocation,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tabs>
                <w:tab w:val="clear" w:pos="567"/>
                <w:tab w:val="left" w:pos="596"/>
              </w:tabs>
              <w:ind w:left="596" w:hanging="596"/>
            </w:pPr>
            <w:r>
              <w:tab/>
            </w:r>
            <w:r>
              <w:rPr>
                <w:b/>
                <w:i/>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vAlign w:val="center"/>
          </w:tcPr>
          <w:p>
            <w:pPr>
              <w:pStyle w:val="yTableNAm"/>
            </w:pPr>
          </w:p>
        </w:tc>
      </w:tr>
      <w:tr>
        <w:trPr>
          <w:cantSplit/>
        </w:trPr>
        <w:tc>
          <w:tcPr>
            <w:tcW w:w="5670" w:type="dxa"/>
          </w:tcPr>
          <w:p>
            <w:pPr>
              <w:pStyle w:val="yTableNAm"/>
              <w:tabs>
                <w:tab w:val="clear" w:pos="567"/>
                <w:tab w:val="left" w:pos="596"/>
              </w:tabs>
              <w:ind w:left="596" w:hanging="596"/>
            </w:pPr>
            <w:r>
              <w:tab/>
            </w:r>
            <w:r>
              <w:rPr>
                <w:b/>
                <w:i/>
              </w:rPr>
              <w:t>other</w:t>
            </w:r>
            <w:r>
              <w:t xml:space="preserve"> means treatment by any other method and includes the use 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Elbow, by closed reduction</w:t>
            </w:r>
          </w:p>
        </w:tc>
        <w:tc>
          <w:tcPr>
            <w:tcW w:w="1134" w:type="dxa"/>
          </w:tcPr>
          <w:p>
            <w:pPr>
              <w:pStyle w:val="yTableNAm"/>
            </w:pPr>
            <w:r>
              <w:t>$352.65</w:t>
            </w:r>
          </w:p>
        </w:tc>
      </w:tr>
      <w:tr>
        <w:trPr>
          <w:cantSplit/>
        </w:trPr>
        <w:tc>
          <w:tcPr>
            <w:tcW w:w="5670" w:type="dxa"/>
          </w:tcPr>
          <w:p>
            <w:pPr>
              <w:pStyle w:val="yTableNAm"/>
            </w:pPr>
            <w:r>
              <w:t>Elbow, by open reduction</w:t>
            </w:r>
          </w:p>
        </w:tc>
        <w:tc>
          <w:tcPr>
            <w:tcW w:w="1134" w:type="dxa"/>
          </w:tcPr>
          <w:p>
            <w:pPr>
              <w:pStyle w:val="yTableNAm"/>
            </w:pPr>
            <w:r>
              <w:t>$467.75</w:t>
            </w:r>
          </w:p>
        </w:tc>
      </w:tr>
      <w:tr>
        <w:trPr>
          <w:cantSplit/>
        </w:trPr>
        <w:tc>
          <w:tcPr>
            <w:tcW w:w="5670" w:type="dxa"/>
          </w:tcPr>
          <w:p>
            <w:pPr>
              <w:pStyle w:val="yTableNAm"/>
            </w:pPr>
            <w:r>
              <w:t>Interphalangeal joint, by closed reduction</w:t>
            </w:r>
          </w:p>
        </w:tc>
        <w:tc>
          <w:tcPr>
            <w:tcW w:w="1134" w:type="dxa"/>
          </w:tcPr>
          <w:p>
            <w:pPr>
              <w:pStyle w:val="yTableNAm"/>
            </w:pPr>
            <w:r>
              <w:t>$151.20</w:t>
            </w:r>
          </w:p>
        </w:tc>
      </w:tr>
      <w:tr>
        <w:trPr>
          <w:cantSplit/>
        </w:trPr>
        <w:tc>
          <w:tcPr>
            <w:tcW w:w="5670" w:type="dxa"/>
          </w:tcPr>
          <w:p>
            <w:pPr>
              <w:pStyle w:val="yTableNAm"/>
            </w:pPr>
            <w:r>
              <w:t>Interphalangeal joint, by open reduction</w:t>
            </w:r>
          </w:p>
        </w:tc>
        <w:tc>
          <w:tcPr>
            <w:tcW w:w="1134" w:type="dxa"/>
          </w:tcPr>
          <w:p>
            <w:pPr>
              <w:pStyle w:val="yTableNAm"/>
            </w:pPr>
            <w:r>
              <w:t>$201.50</w:t>
            </w:r>
          </w:p>
        </w:tc>
      </w:tr>
      <w:tr>
        <w:trPr>
          <w:cantSplit/>
        </w:trPr>
        <w:tc>
          <w:tcPr>
            <w:tcW w:w="5670" w:type="dxa"/>
          </w:tcPr>
          <w:p>
            <w:pPr>
              <w:pStyle w:val="yTableNAm"/>
            </w:pPr>
            <w:r>
              <w:t>Mandible, by closed reduction</w:t>
            </w:r>
          </w:p>
        </w:tc>
        <w:tc>
          <w:tcPr>
            <w:tcW w:w="1134" w:type="dxa"/>
          </w:tcPr>
          <w:p>
            <w:pPr>
              <w:pStyle w:val="yTableNAm"/>
            </w:pPr>
            <w:r>
              <w:t>$126.05</w:t>
            </w:r>
          </w:p>
        </w:tc>
      </w:tr>
      <w:tr>
        <w:trPr>
          <w:cantSplit/>
        </w:trPr>
        <w:tc>
          <w:tcPr>
            <w:tcW w:w="5670" w:type="dxa"/>
          </w:tcPr>
          <w:p>
            <w:pPr>
              <w:pStyle w:val="yTableNAm"/>
            </w:pPr>
            <w:r>
              <w:t>Clavicle, by closed reduction</w:t>
            </w:r>
          </w:p>
        </w:tc>
        <w:tc>
          <w:tcPr>
            <w:tcW w:w="1134" w:type="dxa"/>
          </w:tcPr>
          <w:p>
            <w:pPr>
              <w:pStyle w:val="yTableNAm"/>
            </w:pPr>
            <w:r>
              <w:t>$149.50</w:t>
            </w:r>
          </w:p>
        </w:tc>
      </w:tr>
      <w:tr>
        <w:trPr>
          <w:cantSplit/>
        </w:trPr>
        <w:tc>
          <w:tcPr>
            <w:tcW w:w="5670" w:type="dxa"/>
          </w:tcPr>
          <w:p>
            <w:pPr>
              <w:pStyle w:val="yTableNAm"/>
            </w:pPr>
            <w:r>
              <w:t>Clavicle, by open reduction</w:t>
            </w:r>
          </w:p>
        </w:tc>
        <w:tc>
          <w:tcPr>
            <w:tcW w:w="1134" w:type="dxa"/>
          </w:tcPr>
          <w:p>
            <w:pPr>
              <w:pStyle w:val="yTableNAm"/>
            </w:pPr>
            <w:r>
              <w:t>$302.25</w:t>
            </w:r>
          </w:p>
        </w:tc>
      </w:tr>
      <w:tr>
        <w:trPr>
          <w:cantSplit/>
        </w:trPr>
        <w:tc>
          <w:tcPr>
            <w:tcW w:w="5670" w:type="dxa"/>
          </w:tcPr>
          <w:p>
            <w:pPr>
              <w:pStyle w:val="yTableNAm"/>
            </w:pPr>
            <w:r>
              <w:t>Shoulder, not requiring general anaesthetic</w:t>
            </w:r>
          </w:p>
        </w:tc>
        <w:tc>
          <w:tcPr>
            <w:tcW w:w="1134" w:type="dxa"/>
          </w:tcPr>
          <w:p>
            <w:pPr>
              <w:pStyle w:val="yTableNAm"/>
            </w:pPr>
            <w:r>
              <w:t>$168.15</w:t>
            </w:r>
          </w:p>
        </w:tc>
      </w:tr>
      <w:tr>
        <w:trPr>
          <w:cantSplit/>
        </w:trPr>
        <w:tc>
          <w:tcPr>
            <w:tcW w:w="5670" w:type="dxa"/>
          </w:tcPr>
          <w:p>
            <w:pPr>
              <w:pStyle w:val="yTableNAm"/>
            </w:pPr>
            <w:r>
              <w:t>Shoulder, by open reduction, with general anaesthetic</w:t>
            </w:r>
          </w:p>
        </w:tc>
        <w:tc>
          <w:tcPr>
            <w:tcW w:w="1134" w:type="dxa"/>
          </w:tcPr>
          <w:p>
            <w:pPr>
              <w:pStyle w:val="yTableNAm"/>
            </w:pPr>
            <w:r>
              <w:t>$602.90</w:t>
            </w:r>
          </w:p>
        </w:tc>
      </w:tr>
      <w:tr>
        <w:trPr>
          <w:cantSplit/>
        </w:trPr>
        <w:tc>
          <w:tcPr>
            <w:tcW w:w="5670" w:type="dxa"/>
          </w:tcPr>
          <w:p>
            <w:pPr>
              <w:pStyle w:val="yTableNAm"/>
            </w:pPr>
            <w:r>
              <w:t>Shoulder, other, with general anaesthetic</w:t>
            </w:r>
          </w:p>
        </w:tc>
        <w:tc>
          <w:tcPr>
            <w:tcW w:w="1134" w:type="dxa"/>
          </w:tcPr>
          <w:p>
            <w:pPr>
              <w:pStyle w:val="yTableNAm"/>
            </w:pPr>
            <w:r>
              <w:t>$298.50</w:t>
            </w:r>
          </w:p>
        </w:tc>
      </w:tr>
      <w:tr>
        <w:trPr>
          <w:cantSplit/>
        </w:trPr>
        <w:tc>
          <w:tcPr>
            <w:tcW w:w="5670" w:type="dxa"/>
          </w:tcPr>
          <w:p>
            <w:pPr>
              <w:pStyle w:val="yTableNAm"/>
            </w:pPr>
            <w:r>
              <w:t>Metacarpophalangeal joint, by closed reduction</w:t>
            </w:r>
          </w:p>
        </w:tc>
        <w:tc>
          <w:tcPr>
            <w:tcW w:w="1134" w:type="dxa"/>
          </w:tcPr>
          <w:p>
            <w:pPr>
              <w:pStyle w:val="yTableNAm"/>
            </w:pPr>
            <w:r>
              <w:t>$201.50</w:t>
            </w:r>
          </w:p>
        </w:tc>
      </w:tr>
      <w:tr>
        <w:trPr>
          <w:cantSplit/>
        </w:trPr>
        <w:tc>
          <w:tcPr>
            <w:tcW w:w="5670" w:type="dxa"/>
          </w:tcPr>
          <w:p>
            <w:pPr>
              <w:pStyle w:val="yTableNAm"/>
            </w:pPr>
            <w:r>
              <w:t>Metacarpophalangeal joint, by open reduction</w:t>
            </w:r>
          </w:p>
        </w:tc>
        <w:tc>
          <w:tcPr>
            <w:tcW w:w="1134" w:type="dxa"/>
          </w:tcPr>
          <w:p>
            <w:pPr>
              <w:pStyle w:val="yTableNAm"/>
            </w:pPr>
            <w:r>
              <w:t>$269.95</w:t>
            </w:r>
          </w:p>
        </w:tc>
      </w:tr>
      <w:tr>
        <w:trPr>
          <w:cantSplit/>
        </w:trPr>
        <w:tc>
          <w:tcPr>
            <w:tcW w:w="5670" w:type="dxa"/>
          </w:tcPr>
          <w:p>
            <w:pPr>
              <w:pStyle w:val="yTableNAm"/>
            </w:pPr>
            <w:r>
              <w:t>Patella, by closed reduction</w:t>
            </w:r>
          </w:p>
        </w:tc>
        <w:tc>
          <w:tcPr>
            <w:tcW w:w="1134" w:type="dxa"/>
          </w:tcPr>
          <w:p>
            <w:pPr>
              <w:pStyle w:val="yTableNAm"/>
            </w:pPr>
            <w:r>
              <w:t>$226.55</w:t>
            </w:r>
          </w:p>
        </w:tc>
      </w:tr>
      <w:tr>
        <w:trPr>
          <w:cantSplit/>
        </w:trPr>
        <w:tc>
          <w:tcPr>
            <w:tcW w:w="5670" w:type="dxa"/>
          </w:tcPr>
          <w:p>
            <w:pPr>
              <w:pStyle w:val="yTableNAm"/>
            </w:pPr>
            <w:r>
              <w:t>Patella, by open reduction</w:t>
            </w:r>
          </w:p>
        </w:tc>
        <w:tc>
          <w:tcPr>
            <w:tcW w:w="1134" w:type="dxa"/>
          </w:tcPr>
          <w:p>
            <w:pPr>
              <w:pStyle w:val="yTableNAm"/>
            </w:pPr>
            <w:r>
              <w:t>$302.25</w:t>
            </w:r>
          </w:p>
        </w:tc>
      </w:tr>
      <w:tr>
        <w:trPr>
          <w:cantSplit/>
        </w:trPr>
        <w:tc>
          <w:tcPr>
            <w:tcW w:w="5670" w:type="dxa"/>
          </w:tcPr>
          <w:p>
            <w:pPr>
              <w:pStyle w:val="yTableNAm"/>
            </w:pPr>
            <w:r>
              <w:t>Radioulnar joint, by closed reduction</w:t>
            </w:r>
          </w:p>
        </w:tc>
        <w:tc>
          <w:tcPr>
            <w:tcW w:w="1134" w:type="dxa"/>
          </w:tcPr>
          <w:p>
            <w:pPr>
              <w:pStyle w:val="yTableNAm"/>
            </w:pPr>
            <w:r>
              <w:t>$352.65</w:t>
            </w:r>
          </w:p>
        </w:tc>
      </w:tr>
      <w:tr>
        <w:trPr>
          <w:cantSplit/>
        </w:trPr>
        <w:tc>
          <w:tcPr>
            <w:tcW w:w="5670" w:type="dxa"/>
          </w:tcPr>
          <w:p>
            <w:pPr>
              <w:pStyle w:val="yTableNAm"/>
            </w:pPr>
            <w:r>
              <w:t>Radioulnar joint, by open reduction</w:t>
            </w:r>
          </w:p>
        </w:tc>
        <w:tc>
          <w:tcPr>
            <w:tcW w:w="1134" w:type="dxa"/>
          </w:tcPr>
          <w:p>
            <w:pPr>
              <w:pStyle w:val="yTableNAm"/>
            </w:pPr>
            <w:r>
              <w:t>$467.75</w:t>
            </w:r>
          </w:p>
        </w:tc>
      </w:tr>
      <w:tr>
        <w:trPr>
          <w:cantSplit/>
        </w:trPr>
        <w:tc>
          <w:tcPr>
            <w:tcW w:w="5670" w:type="dxa"/>
          </w:tcPr>
          <w:p>
            <w:pPr>
              <w:pStyle w:val="yTableNAm"/>
            </w:pPr>
            <w:r>
              <w:t>Toe, by closed reduction</w:t>
            </w:r>
          </w:p>
        </w:tc>
        <w:tc>
          <w:tcPr>
            <w:tcW w:w="1134" w:type="dxa"/>
          </w:tcPr>
          <w:p>
            <w:pPr>
              <w:pStyle w:val="yTableNAm"/>
            </w:pPr>
            <w:r>
              <w:t>$126.05</w:t>
            </w:r>
          </w:p>
        </w:tc>
      </w:tr>
      <w:tr>
        <w:trPr>
          <w:cantSplit/>
        </w:trPr>
        <w:tc>
          <w:tcPr>
            <w:tcW w:w="5670" w:type="dxa"/>
          </w:tcPr>
          <w:p>
            <w:pPr>
              <w:pStyle w:val="yTableNAm"/>
            </w:pPr>
            <w:r>
              <w:t>Toe, by open reduction</w:t>
            </w:r>
          </w:p>
        </w:tc>
        <w:tc>
          <w:tcPr>
            <w:tcW w:w="1134" w:type="dxa"/>
          </w:tcPr>
          <w:p>
            <w:pPr>
              <w:pStyle w:val="yTableNAm"/>
            </w:pPr>
            <w:r>
              <w:t>$167.35</w:t>
            </w:r>
          </w:p>
        </w:tc>
      </w:tr>
      <w:tr>
        <w:trPr>
          <w:cantSplit/>
        </w:trPr>
        <w:tc>
          <w:tcPr>
            <w:tcW w:w="5670" w:type="dxa"/>
          </w:tcPr>
          <w:p>
            <w:pPr>
              <w:pStyle w:val="yTableNAm"/>
              <w:keepNext/>
            </w:pPr>
            <w:r>
              <w:t>REMOVAL OF FOREIGN BODIES</w:t>
            </w:r>
          </w:p>
        </w:tc>
        <w:tc>
          <w:tcPr>
            <w:tcW w:w="1134" w:type="dxa"/>
            <w:vAlign w:val="center"/>
          </w:tcPr>
          <w:p>
            <w:pPr>
              <w:pStyle w:val="yTableNAm"/>
            </w:pPr>
          </w:p>
        </w:tc>
      </w:tr>
      <w:tr>
        <w:trPr>
          <w:cantSplit/>
        </w:trPr>
        <w:tc>
          <w:tcPr>
            <w:tcW w:w="5670" w:type="dxa"/>
          </w:tcPr>
          <w:p>
            <w:pPr>
              <w:pStyle w:val="yTableNAm"/>
              <w:keepNext/>
            </w:pPr>
            <w:r>
              <w:tab/>
              <w:t>as independent procedure</w:t>
            </w:r>
          </w:p>
        </w:tc>
        <w:tc>
          <w:tcPr>
            <w:tcW w:w="1134" w:type="dxa"/>
          </w:tcPr>
          <w:p>
            <w:pPr>
              <w:pStyle w:val="yTableNAm"/>
            </w:pPr>
            <w:r>
              <w:t>$54.85</w:t>
            </w:r>
          </w:p>
        </w:tc>
      </w:tr>
      <w:tr>
        <w:trPr>
          <w:cantSplit/>
        </w:trPr>
        <w:tc>
          <w:tcPr>
            <w:tcW w:w="5670" w:type="dxa"/>
          </w:tcPr>
          <w:p>
            <w:pPr>
              <w:pStyle w:val="yTableNAm"/>
            </w:pPr>
            <w:r>
              <w:tab/>
              <w:t>Superficial</w:t>
            </w:r>
          </w:p>
        </w:tc>
        <w:tc>
          <w:tcPr>
            <w:tcW w:w="1134" w:type="dxa"/>
          </w:tcPr>
          <w:p>
            <w:pPr>
              <w:pStyle w:val="yTableNAm"/>
            </w:pPr>
            <w:r>
              <w:t>$244.65</w:t>
            </w:r>
          </w:p>
        </w:tc>
      </w:tr>
      <w:tr>
        <w:trPr>
          <w:cantSplit/>
        </w:trPr>
        <w:tc>
          <w:tcPr>
            <w:tcW w:w="5670" w:type="dxa"/>
          </w:tcPr>
          <w:p>
            <w:pPr>
              <w:pStyle w:val="yTableNAm"/>
            </w:pPr>
            <w:r>
              <w:tab/>
              <w:t>deep tissue or muscle</w:t>
            </w:r>
          </w:p>
        </w:tc>
        <w:tc>
          <w:tcPr>
            <w:tcW w:w="1134" w:type="dxa"/>
          </w:tcPr>
          <w:p>
            <w:pPr>
              <w:pStyle w:val="yTableNAm"/>
            </w:pPr>
            <w:r>
              <w:t>$683.80</w:t>
            </w:r>
          </w:p>
        </w:tc>
      </w:tr>
      <w:tr>
        <w:trPr>
          <w:cantSplit/>
        </w:trPr>
        <w:tc>
          <w:tcPr>
            <w:tcW w:w="5670" w:type="dxa"/>
          </w:tcPr>
          <w:p>
            <w:pPr>
              <w:pStyle w:val="yTableNAm"/>
            </w:pPr>
            <w:r>
              <w:tab/>
              <w:t>ear, other than by syringing</w:t>
            </w:r>
          </w:p>
        </w:tc>
        <w:tc>
          <w:tcPr>
            <w:tcW w:w="1134" w:type="dxa"/>
          </w:tcPr>
          <w:p>
            <w:pPr>
              <w:pStyle w:val="yTableNAm"/>
            </w:pPr>
            <w:r>
              <w:t>$176.30</w:t>
            </w:r>
          </w:p>
        </w:tc>
      </w:tr>
      <w:tr>
        <w:trPr>
          <w:cantSplit/>
        </w:trPr>
        <w:tc>
          <w:tcPr>
            <w:tcW w:w="5670" w:type="dxa"/>
          </w:tcPr>
          <w:p>
            <w:pPr>
              <w:pStyle w:val="yTableNAm"/>
            </w:pPr>
            <w:r>
              <w:tab/>
              <w:t>nose, other than by simple probing</w:t>
            </w:r>
          </w:p>
        </w:tc>
        <w:tc>
          <w:tcPr>
            <w:tcW w:w="1134" w:type="dxa"/>
          </w:tcPr>
          <w:p>
            <w:pPr>
              <w:pStyle w:val="yTableNAm"/>
            </w:pPr>
            <w:r>
              <w:t>$176.30</w:t>
            </w:r>
          </w:p>
        </w:tc>
      </w:tr>
      <w:tr>
        <w:trPr>
          <w:cantSplit/>
        </w:trPr>
        <w:tc>
          <w:tcPr>
            <w:tcW w:w="5670" w:type="dxa"/>
          </w:tcPr>
          <w:p>
            <w:pPr>
              <w:pStyle w:val="yTableNAm"/>
            </w:pPr>
            <w:r>
              <w:tab/>
              <w:t>cornea or sclera, embedded</w:t>
            </w:r>
          </w:p>
        </w:tc>
        <w:tc>
          <w:tcPr>
            <w:tcW w:w="1134" w:type="dxa"/>
          </w:tcPr>
          <w:p>
            <w:pPr>
              <w:pStyle w:val="yTableNAm"/>
            </w:pPr>
            <w:r>
              <w:t>$180.00</w:t>
            </w:r>
          </w:p>
        </w:tc>
      </w:tr>
      <w:tr>
        <w:trPr>
          <w:cantSplit/>
        </w:trPr>
        <w:tc>
          <w:tcPr>
            <w:tcW w:w="5670" w:type="dxa"/>
          </w:tcPr>
          <w:p>
            <w:pPr>
              <w:pStyle w:val="yTableNAm"/>
            </w:pPr>
            <w:r>
              <w:t>FRACTURES</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closed reduction</w:t>
            </w:r>
            <w:r>
              <w:rPr>
                <w:szCs w:val="22"/>
              </w:rPr>
              <w:t xml:space="preserve"> means non</w:t>
            </w:r>
            <w:r>
              <w:rPr>
                <w:szCs w:val="22"/>
              </w:rPr>
              <w:noBreakHyphen/>
              <w:t>operative reduction of the fracture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open reduction</w:t>
            </w:r>
            <w:r>
              <w:rPr>
                <w:szCs w:val="22"/>
              </w:rPr>
              <w:t xml:space="preserve"> means treatment by either closed reduction </w:t>
            </w:r>
            <w:r>
              <w:rPr>
                <w:sz w:val="24"/>
              </w:rPr>
              <w:t>and</w:t>
            </w:r>
            <w:r>
              <w:rPr>
                <w:b/>
                <w:i/>
                <w:sz w:val="24"/>
              </w:rPr>
              <w:t xml:space="preserve"> </w:t>
            </w:r>
            <w:r>
              <w:rPr>
                <w:szCs w:val="22"/>
              </w:rPr>
              <w:t>intra</w:t>
            </w:r>
            <w:r>
              <w:rPr>
                <w:szCs w:val="22"/>
              </w:rPr>
              <w:noBreakHyphen/>
              <w:t>medullary fixation or treatment by operative exposure of the fracture including internal or external fixation.</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 xml:space="preserve">other </w:t>
            </w:r>
            <w:r>
              <w:rPr>
                <w:szCs w:val="22"/>
              </w:rPr>
              <w:t xml:space="preserve">means treatment by any other method and includes the </w:t>
            </w:r>
            <w:r>
              <w:rPr>
                <w:sz w:val="24"/>
              </w:rPr>
              <w:t>use</w:t>
            </w:r>
            <w:r>
              <w:rPr>
                <w:b/>
                <w:i/>
                <w:sz w:val="24"/>
              </w:rPr>
              <w:t xml:space="preserve"> </w:t>
            </w:r>
            <w:r>
              <w:rPr>
                <w:szCs w:val="22"/>
              </w:rPr>
              <w:t>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Metacarpal</w:t>
            </w:r>
          </w:p>
        </w:tc>
        <w:tc>
          <w:tcPr>
            <w:tcW w:w="1134" w:type="dxa"/>
            <w:vAlign w:val="center"/>
          </w:tcPr>
          <w:p>
            <w:pPr>
              <w:pStyle w:val="yTableNAm"/>
            </w:pPr>
          </w:p>
        </w:tc>
      </w:tr>
      <w:tr>
        <w:trPr>
          <w:cantSplit/>
        </w:trPr>
        <w:tc>
          <w:tcPr>
            <w:tcW w:w="5670" w:type="dxa"/>
          </w:tcPr>
          <w:p>
            <w:pPr>
              <w:pStyle w:val="yTableNAm"/>
            </w:pPr>
            <w:r>
              <w:t>Carpal Scaphoid, by open reduction</w:t>
            </w:r>
          </w:p>
        </w:tc>
        <w:tc>
          <w:tcPr>
            <w:tcW w:w="1134" w:type="dxa"/>
          </w:tcPr>
          <w:p>
            <w:pPr>
              <w:pStyle w:val="yTableNAm"/>
            </w:pPr>
            <w:r>
              <w:t>$1 007.50</w:t>
            </w:r>
          </w:p>
        </w:tc>
      </w:tr>
      <w:tr>
        <w:trPr>
          <w:cantSplit/>
        </w:trPr>
        <w:tc>
          <w:tcPr>
            <w:tcW w:w="5670" w:type="dxa"/>
          </w:tcPr>
          <w:p>
            <w:pPr>
              <w:pStyle w:val="yTableNAm"/>
            </w:pPr>
            <w:r>
              <w:t>Carpal Scaphoid, other</w:t>
            </w:r>
          </w:p>
        </w:tc>
        <w:tc>
          <w:tcPr>
            <w:tcW w:w="1134" w:type="dxa"/>
          </w:tcPr>
          <w:p>
            <w:pPr>
              <w:pStyle w:val="yTableNAm"/>
            </w:pPr>
            <w:r>
              <w:t>$449.70</w:t>
            </w:r>
          </w:p>
        </w:tc>
      </w:tr>
      <w:tr>
        <w:trPr>
          <w:cantSplit/>
        </w:trPr>
        <w:tc>
          <w:tcPr>
            <w:tcW w:w="5670" w:type="dxa"/>
          </w:tcPr>
          <w:p>
            <w:pPr>
              <w:pStyle w:val="yTableNAm"/>
            </w:pPr>
            <w:r>
              <w:t>Carpus (excluding Scaphoid), by open reduction</w:t>
            </w:r>
          </w:p>
        </w:tc>
        <w:tc>
          <w:tcPr>
            <w:tcW w:w="1134" w:type="dxa"/>
          </w:tcPr>
          <w:p>
            <w:pPr>
              <w:pStyle w:val="yTableNAm"/>
            </w:pPr>
            <w:r>
              <w:t>$629.65</w:t>
            </w:r>
          </w:p>
        </w:tc>
      </w:tr>
      <w:tr>
        <w:trPr>
          <w:cantSplit/>
        </w:trPr>
        <w:tc>
          <w:tcPr>
            <w:tcW w:w="5670" w:type="dxa"/>
          </w:tcPr>
          <w:p>
            <w:pPr>
              <w:pStyle w:val="yTableNAm"/>
            </w:pPr>
            <w:r>
              <w:t>Carpus (excluding Scaphoid), other</w:t>
            </w:r>
          </w:p>
        </w:tc>
        <w:tc>
          <w:tcPr>
            <w:tcW w:w="1134" w:type="dxa"/>
          </w:tcPr>
          <w:p>
            <w:pPr>
              <w:pStyle w:val="yTableNAm"/>
            </w:pPr>
            <w:r>
              <w:t>$251.95</w:t>
            </w:r>
          </w:p>
        </w:tc>
      </w:tr>
      <w:tr>
        <w:trPr>
          <w:cantSplit/>
        </w:trPr>
        <w:tc>
          <w:tcPr>
            <w:tcW w:w="5670" w:type="dxa"/>
          </w:tcPr>
          <w:p>
            <w:pPr>
              <w:pStyle w:val="yTableNAm"/>
            </w:pPr>
            <w:r>
              <w:t>Radius</w:t>
            </w:r>
          </w:p>
        </w:tc>
        <w:tc>
          <w:tcPr>
            <w:tcW w:w="1134" w:type="dxa"/>
            <w:vAlign w:val="center"/>
          </w:tcPr>
          <w:p>
            <w:pPr>
              <w:pStyle w:val="yTableNAm"/>
            </w:pPr>
          </w:p>
        </w:tc>
      </w:tr>
      <w:tr>
        <w:trPr>
          <w:cantSplit/>
        </w:trPr>
        <w:tc>
          <w:tcPr>
            <w:tcW w:w="5670" w:type="dxa"/>
          </w:tcPr>
          <w:p>
            <w:pPr>
              <w:pStyle w:val="yTableNAm"/>
            </w:pPr>
            <w:r>
              <w:tab/>
              <w:t>by closed management</w:t>
            </w:r>
          </w:p>
        </w:tc>
        <w:tc>
          <w:tcPr>
            <w:tcW w:w="1134" w:type="dxa"/>
          </w:tcPr>
          <w:p>
            <w:pPr>
              <w:pStyle w:val="yTableNAm"/>
            </w:pPr>
            <w:r>
              <w:t>$503.60</w:t>
            </w:r>
          </w:p>
        </w:tc>
      </w:tr>
      <w:tr>
        <w:trPr>
          <w:cantSplit/>
        </w:trPr>
        <w:tc>
          <w:tcPr>
            <w:tcW w:w="5670" w:type="dxa"/>
          </w:tcPr>
          <w:p>
            <w:pPr>
              <w:pStyle w:val="yTableNAm"/>
            </w:pPr>
            <w:r>
              <w:tab/>
              <w:t>by open management</w:t>
            </w:r>
          </w:p>
        </w:tc>
        <w:tc>
          <w:tcPr>
            <w:tcW w:w="1134" w:type="dxa"/>
          </w:tcPr>
          <w:p>
            <w:pPr>
              <w:pStyle w:val="yTableNAm"/>
            </w:pPr>
            <w:r>
              <w:t>$1 007.50</w:t>
            </w:r>
          </w:p>
        </w:tc>
      </w:tr>
      <w:tr>
        <w:trPr>
          <w:cantSplit/>
        </w:trPr>
        <w:tc>
          <w:tcPr>
            <w:tcW w:w="5670" w:type="dxa"/>
          </w:tcPr>
          <w:p>
            <w:pPr>
              <w:pStyle w:val="yTableNAm"/>
              <w:keepNext/>
            </w:pPr>
            <w:r>
              <w:t xml:space="preserve">Radius or Ulnar, distal end, (Colies’, Smith’s or Barton’s) </w:t>
            </w:r>
          </w:p>
        </w:tc>
        <w:tc>
          <w:tcPr>
            <w:tcW w:w="1134" w:type="dxa"/>
          </w:tcPr>
          <w:p>
            <w:pPr>
              <w:pStyle w:val="yTableNAm"/>
            </w:pPr>
          </w:p>
        </w:tc>
      </w:tr>
      <w:tr>
        <w:trPr>
          <w:cantSplit/>
        </w:trPr>
        <w:tc>
          <w:tcPr>
            <w:tcW w:w="5670" w:type="dxa"/>
          </w:tcPr>
          <w:p>
            <w:pPr>
              <w:pStyle w:val="yTableNAm"/>
            </w:pPr>
            <w:r>
              <w:tab/>
              <w:t>by closed reduction</w:t>
            </w:r>
          </w:p>
        </w:tc>
        <w:tc>
          <w:tcPr>
            <w:tcW w:w="1134" w:type="dxa"/>
          </w:tcPr>
          <w:p>
            <w:pPr>
              <w:pStyle w:val="yTableNAm"/>
            </w:pPr>
            <w:r>
              <w:t>$755.65</w:t>
            </w:r>
          </w:p>
        </w:tc>
      </w:tr>
      <w:tr>
        <w:trPr>
          <w:cantSplit/>
        </w:trPr>
        <w:tc>
          <w:tcPr>
            <w:tcW w:w="5670" w:type="dxa"/>
          </w:tcPr>
          <w:p>
            <w:pPr>
              <w:pStyle w:val="yTableNAm"/>
            </w:pPr>
            <w:r>
              <w:t>Ribs (1 or more), each attendance</w:t>
            </w:r>
          </w:p>
        </w:tc>
        <w:tc>
          <w:tcPr>
            <w:tcW w:w="1134" w:type="dxa"/>
          </w:tcPr>
          <w:p>
            <w:pPr>
              <w:pStyle w:val="yTableNAm"/>
            </w:pPr>
            <w:r>
              <w:t>$115.20</w:t>
            </w:r>
          </w:p>
        </w:tc>
      </w:tr>
      <w:tr>
        <w:trPr>
          <w:cantSplit/>
        </w:trPr>
        <w:tc>
          <w:tcPr>
            <w:tcW w:w="5670" w:type="dxa"/>
          </w:tcPr>
          <w:p>
            <w:pPr>
              <w:pStyle w:val="yTableNAm"/>
            </w:pPr>
            <w:r>
              <w:t>Tibia, plateau of, medial or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t>$908.60</w:t>
            </w:r>
          </w:p>
        </w:tc>
      </w:tr>
      <w:tr>
        <w:trPr>
          <w:cantSplit/>
        </w:trPr>
        <w:tc>
          <w:tcPr>
            <w:tcW w:w="5670" w:type="dxa"/>
          </w:tcPr>
          <w:p>
            <w:pPr>
              <w:pStyle w:val="yTableNAm"/>
            </w:pPr>
            <w:r>
              <w:tab/>
              <w:t>by open reduction</w:t>
            </w:r>
          </w:p>
        </w:tc>
        <w:tc>
          <w:tcPr>
            <w:tcW w:w="1134" w:type="dxa"/>
          </w:tcPr>
          <w:p>
            <w:pPr>
              <w:pStyle w:val="yTableNAm"/>
            </w:pPr>
            <w:r>
              <w:t>$1 205.40</w:t>
            </w:r>
          </w:p>
        </w:tc>
      </w:tr>
      <w:tr>
        <w:trPr>
          <w:cantSplit/>
        </w:trPr>
        <w:tc>
          <w:tcPr>
            <w:tcW w:w="5670" w:type="dxa"/>
          </w:tcPr>
          <w:p>
            <w:pPr>
              <w:pStyle w:val="yTableNAm"/>
            </w:pPr>
            <w:r>
              <w:t>Tibia, plateau of, medial and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t>$1 511.25</w:t>
            </w:r>
          </w:p>
        </w:tc>
      </w:tr>
      <w:tr>
        <w:trPr>
          <w:cantSplit/>
        </w:trPr>
        <w:tc>
          <w:tcPr>
            <w:tcW w:w="5670" w:type="dxa"/>
          </w:tcPr>
          <w:p>
            <w:pPr>
              <w:pStyle w:val="yTableNAm"/>
            </w:pPr>
            <w:r>
              <w:tab/>
              <w:t>by open reduction</w:t>
            </w:r>
          </w:p>
        </w:tc>
        <w:tc>
          <w:tcPr>
            <w:tcW w:w="1134" w:type="dxa"/>
          </w:tcPr>
          <w:p>
            <w:pPr>
              <w:pStyle w:val="yTableNAm"/>
            </w:pPr>
            <w:r>
              <w:t>$2 024.05</w:t>
            </w:r>
          </w:p>
        </w:tc>
      </w:tr>
      <w:tr>
        <w:trPr>
          <w:cantSplit/>
        </w:trPr>
        <w:tc>
          <w:tcPr>
            <w:tcW w:w="5670" w:type="dxa"/>
          </w:tcPr>
          <w:p>
            <w:pPr>
              <w:pStyle w:val="yTableNAm"/>
            </w:pPr>
            <w:r>
              <w:t>SUTURES</w:t>
            </w:r>
          </w:p>
        </w:tc>
        <w:tc>
          <w:tcPr>
            <w:tcW w:w="1134" w:type="dxa"/>
            <w:vAlign w:val="center"/>
          </w:tcPr>
          <w:p>
            <w:pPr>
              <w:pStyle w:val="yTableNAm"/>
            </w:pPr>
          </w:p>
        </w:tc>
      </w:tr>
      <w:tr>
        <w:trPr>
          <w:cantSplit/>
        </w:trPr>
        <w:tc>
          <w:tcPr>
            <w:tcW w:w="5670" w:type="dxa"/>
          </w:tcPr>
          <w:p>
            <w:pPr>
              <w:pStyle w:val="yTableNAm"/>
            </w:pPr>
            <w:r>
              <w:tab/>
              <w:t>face or neck, less than 7 cm, superficial</w:t>
            </w:r>
          </w:p>
        </w:tc>
        <w:tc>
          <w:tcPr>
            <w:tcW w:w="1134" w:type="dxa"/>
          </w:tcPr>
          <w:p>
            <w:pPr>
              <w:pStyle w:val="yTableNAm"/>
            </w:pPr>
            <w:r>
              <w:t>$180.00</w:t>
            </w:r>
          </w:p>
        </w:tc>
      </w:tr>
      <w:tr>
        <w:trPr>
          <w:cantSplit/>
        </w:trPr>
        <w:tc>
          <w:tcPr>
            <w:tcW w:w="5670" w:type="dxa"/>
          </w:tcPr>
          <w:p>
            <w:pPr>
              <w:pStyle w:val="yTableNAm"/>
            </w:pPr>
            <w:r>
              <w:tab/>
              <w:t>face or neck, less than 7 cm, deep</w:t>
            </w:r>
          </w:p>
        </w:tc>
        <w:tc>
          <w:tcPr>
            <w:tcW w:w="1134" w:type="dxa"/>
          </w:tcPr>
          <w:p>
            <w:pPr>
              <w:pStyle w:val="yTableNAm"/>
            </w:pPr>
            <w:r>
              <w:t>$273.55</w:t>
            </w:r>
          </w:p>
        </w:tc>
      </w:tr>
      <w:tr>
        <w:trPr>
          <w:cantSplit/>
        </w:trPr>
        <w:tc>
          <w:tcPr>
            <w:tcW w:w="5670" w:type="dxa"/>
          </w:tcPr>
          <w:p>
            <w:pPr>
              <w:pStyle w:val="yTableNAm"/>
            </w:pPr>
            <w:r>
              <w:tab/>
              <w:t>face or neck, more than 7 cm, superficial</w:t>
            </w:r>
          </w:p>
        </w:tc>
        <w:tc>
          <w:tcPr>
            <w:tcW w:w="1134" w:type="dxa"/>
          </w:tcPr>
          <w:p>
            <w:pPr>
              <w:pStyle w:val="yTableNAm"/>
            </w:pPr>
            <w:r>
              <w:t>$273.55</w:t>
            </w:r>
          </w:p>
        </w:tc>
      </w:tr>
      <w:tr>
        <w:trPr>
          <w:cantSplit/>
        </w:trPr>
        <w:tc>
          <w:tcPr>
            <w:tcW w:w="5670" w:type="dxa"/>
          </w:tcPr>
          <w:p>
            <w:pPr>
              <w:pStyle w:val="yTableNAm"/>
            </w:pPr>
            <w:r>
              <w:tab/>
              <w:t>face or neck, more than 7 cm, deep</w:t>
            </w:r>
          </w:p>
        </w:tc>
        <w:tc>
          <w:tcPr>
            <w:tcW w:w="1134" w:type="dxa"/>
          </w:tcPr>
          <w:p>
            <w:pPr>
              <w:pStyle w:val="yTableNAm"/>
            </w:pPr>
            <w:r>
              <w:t>$467.75</w:t>
            </w:r>
          </w:p>
        </w:tc>
      </w:tr>
      <w:tr>
        <w:trPr>
          <w:cantSplit/>
        </w:trPr>
        <w:tc>
          <w:tcPr>
            <w:tcW w:w="5670" w:type="dxa"/>
          </w:tcPr>
          <w:p>
            <w:pPr>
              <w:pStyle w:val="yTableNAm"/>
            </w:pPr>
            <w:r>
              <w:tab/>
              <w:t>except face or neck, less than 7 cm, superficial</w:t>
            </w:r>
          </w:p>
        </w:tc>
        <w:tc>
          <w:tcPr>
            <w:tcW w:w="1134" w:type="dxa"/>
          </w:tcPr>
          <w:p>
            <w:pPr>
              <w:pStyle w:val="yTableNAm"/>
            </w:pPr>
            <w:r>
              <w:t>$136.75</w:t>
            </w:r>
          </w:p>
        </w:tc>
      </w:tr>
      <w:tr>
        <w:trPr>
          <w:cantSplit/>
        </w:trPr>
        <w:tc>
          <w:tcPr>
            <w:tcW w:w="5670" w:type="dxa"/>
          </w:tcPr>
          <w:p>
            <w:pPr>
              <w:pStyle w:val="yTableNAm"/>
            </w:pPr>
            <w:r>
              <w:tab/>
              <w:t>except face or neck, less than 7 cm, deep</w:t>
            </w:r>
          </w:p>
        </w:tc>
        <w:tc>
          <w:tcPr>
            <w:tcW w:w="1134" w:type="dxa"/>
          </w:tcPr>
          <w:p>
            <w:pPr>
              <w:pStyle w:val="yTableNAm"/>
            </w:pPr>
            <w:r>
              <w:t>$205.15</w:t>
            </w:r>
          </w:p>
        </w:tc>
      </w:tr>
      <w:tr>
        <w:trPr>
          <w:cantSplit/>
        </w:trPr>
        <w:tc>
          <w:tcPr>
            <w:tcW w:w="5670" w:type="dxa"/>
          </w:tcPr>
          <w:p>
            <w:pPr>
              <w:pStyle w:val="yTableNAm"/>
            </w:pPr>
            <w:r>
              <w:tab/>
              <w:t>except face or neck, more than 7 cm, superficial</w:t>
            </w:r>
          </w:p>
        </w:tc>
        <w:tc>
          <w:tcPr>
            <w:tcW w:w="1134" w:type="dxa"/>
          </w:tcPr>
          <w:p>
            <w:pPr>
              <w:pStyle w:val="yTableNAm"/>
            </w:pPr>
            <w:r>
              <w:t>$205.15</w:t>
            </w:r>
          </w:p>
        </w:tc>
      </w:tr>
      <w:tr>
        <w:trPr>
          <w:cantSplit/>
        </w:trPr>
        <w:tc>
          <w:tcPr>
            <w:tcW w:w="5670" w:type="dxa"/>
          </w:tcPr>
          <w:p>
            <w:pPr>
              <w:pStyle w:val="yTableNAm"/>
              <w:rPr>
                <w:rStyle w:val="DraftersNotes"/>
                <w:b w:val="0"/>
                <w:i w:val="0"/>
              </w:rPr>
            </w:pPr>
            <w:r>
              <w:tab/>
              <w:t>except face or neck, more than 7 cm, deep</w:t>
            </w:r>
          </w:p>
        </w:tc>
        <w:tc>
          <w:tcPr>
            <w:tcW w:w="1134" w:type="dxa"/>
          </w:tcPr>
          <w:p>
            <w:pPr>
              <w:pStyle w:val="yTableNAm"/>
            </w:pPr>
            <w:r>
              <w:t>$449.70</w:t>
            </w:r>
          </w:p>
        </w:tc>
      </w:tr>
      <w:tr>
        <w:trPr>
          <w:cantSplit/>
        </w:trPr>
        <w:tc>
          <w:tcPr>
            <w:tcW w:w="5670" w:type="dxa"/>
          </w:tcPr>
          <w:p>
            <w:pPr>
              <w:pStyle w:val="yTableNAm"/>
            </w:pPr>
            <w:r>
              <w:t>AMPUTATIONS</w:t>
            </w:r>
          </w:p>
        </w:tc>
        <w:tc>
          <w:tcPr>
            <w:tcW w:w="1134" w:type="dxa"/>
            <w:vAlign w:val="center"/>
          </w:tcPr>
          <w:p>
            <w:pPr>
              <w:pStyle w:val="yTableNAm"/>
            </w:pPr>
          </w:p>
        </w:tc>
      </w:tr>
      <w:tr>
        <w:trPr>
          <w:cantSplit/>
        </w:trPr>
        <w:tc>
          <w:tcPr>
            <w:tcW w:w="5670" w:type="dxa"/>
          </w:tcPr>
          <w:p>
            <w:pPr>
              <w:pStyle w:val="yTableNAm"/>
            </w:pPr>
            <w:r>
              <w:t>Hand, midcarpal or transmetacarpal</w:t>
            </w:r>
          </w:p>
        </w:tc>
        <w:tc>
          <w:tcPr>
            <w:tcW w:w="1134" w:type="dxa"/>
          </w:tcPr>
          <w:p>
            <w:pPr>
              <w:pStyle w:val="yTableNAm"/>
            </w:pPr>
            <w:r>
              <w:t>$683.80</w:t>
            </w:r>
          </w:p>
        </w:tc>
      </w:tr>
      <w:tr>
        <w:trPr>
          <w:cantSplit/>
        </w:trPr>
        <w:tc>
          <w:tcPr>
            <w:tcW w:w="5670" w:type="dxa"/>
          </w:tcPr>
          <w:p>
            <w:pPr>
              <w:pStyle w:val="yTableNAm"/>
            </w:pPr>
            <w:r>
              <w:t>Hand, forearm or through arm</w:t>
            </w:r>
          </w:p>
        </w:tc>
        <w:tc>
          <w:tcPr>
            <w:tcW w:w="1134" w:type="dxa"/>
          </w:tcPr>
          <w:p>
            <w:pPr>
              <w:pStyle w:val="yTableNAm"/>
            </w:pPr>
            <w:r>
              <w:t>$791.65</w:t>
            </w:r>
          </w:p>
        </w:tc>
      </w:tr>
      <w:tr>
        <w:trPr>
          <w:cantSplit/>
        </w:trPr>
        <w:tc>
          <w:tcPr>
            <w:tcW w:w="5670" w:type="dxa"/>
          </w:tcPr>
          <w:p>
            <w:pPr>
              <w:pStyle w:val="yTableNAm"/>
            </w:pPr>
            <w:r>
              <w:t>At shoulder</w:t>
            </w:r>
          </w:p>
        </w:tc>
        <w:tc>
          <w:tcPr>
            <w:tcW w:w="1134" w:type="dxa"/>
          </w:tcPr>
          <w:p>
            <w:pPr>
              <w:pStyle w:val="yTableNAm"/>
            </w:pPr>
            <w:r>
              <w:t>$1 340.20</w:t>
            </w:r>
          </w:p>
        </w:tc>
      </w:tr>
      <w:tr>
        <w:trPr>
          <w:cantSplit/>
        </w:trPr>
        <w:tc>
          <w:tcPr>
            <w:tcW w:w="5670" w:type="dxa"/>
          </w:tcPr>
          <w:p>
            <w:pPr>
              <w:pStyle w:val="yTableNAm"/>
            </w:pPr>
            <w:r>
              <w:t>Interscapulothoracic</w:t>
            </w:r>
          </w:p>
        </w:tc>
        <w:tc>
          <w:tcPr>
            <w:tcW w:w="1134" w:type="dxa"/>
          </w:tcPr>
          <w:p>
            <w:pPr>
              <w:pStyle w:val="yTableNAm"/>
            </w:pPr>
            <w:r>
              <w:t>$2 662.60</w:t>
            </w:r>
          </w:p>
        </w:tc>
      </w:tr>
      <w:tr>
        <w:trPr>
          <w:cantSplit/>
        </w:trPr>
        <w:tc>
          <w:tcPr>
            <w:tcW w:w="5670" w:type="dxa"/>
          </w:tcPr>
          <w:p>
            <w:pPr>
              <w:pStyle w:val="yTableNAm"/>
            </w:pPr>
            <w:r>
              <w:t>One digit of foot</w:t>
            </w:r>
          </w:p>
        </w:tc>
        <w:tc>
          <w:tcPr>
            <w:tcW w:w="1134" w:type="dxa"/>
          </w:tcPr>
          <w:p>
            <w:pPr>
              <w:pStyle w:val="yTableNAm"/>
            </w:pPr>
            <w:r>
              <w:t>$359.75</w:t>
            </w:r>
          </w:p>
        </w:tc>
      </w:tr>
      <w:tr>
        <w:trPr>
          <w:cantSplit/>
        </w:trPr>
        <w:tc>
          <w:tcPr>
            <w:tcW w:w="5670" w:type="dxa"/>
          </w:tcPr>
          <w:p>
            <w:pPr>
              <w:pStyle w:val="yTableNAm"/>
            </w:pPr>
            <w:r>
              <w:t>Two digits of one foot</w:t>
            </w:r>
          </w:p>
        </w:tc>
        <w:tc>
          <w:tcPr>
            <w:tcW w:w="1134" w:type="dxa"/>
          </w:tcPr>
          <w:p>
            <w:pPr>
              <w:pStyle w:val="yTableNAm"/>
            </w:pPr>
            <w:r>
              <w:t>$539.85</w:t>
            </w:r>
          </w:p>
        </w:tc>
      </w:tr>
      <w:tr>
        <w:trPr>
          <w:cantSplit/>
        </w:trPr>
        <w:tc>
          <w:tcPr>
            <w:tcW w:w="5670" w:type="dxa"/>
          </w:tcPr>
          <w:p>
            <w:pPr>
              <w:pStyle w:val="yTableNAm"/>
            </w:pPr>
            <w:r>
              <w:t>Three digits of one foot</w:t>
            </w:r>
          </w:p>
        </w:tc>
        <w:tc>
          <w:tcPr>
            <w:tcW w:w="1134" w:type="dxa"/>
          </w:tcPr>
          <w:p>
            <w:pPr>
              <w:pStyle w:val="yTableNAm"/>
            </w:pPr>
            <w:r>
              <w:t>$728.65</w:t>
            </w:r>
          </w:p>
        </w:tc>
      </w:tr>
      <w:tr>
        <w:trPr>
          <w:cantSplit/>
        </w:trPr>
        <w:tc>
          <w:tcPr>
            <w:tcW w:w="5670" w:type="dxa"/>
          </w:tcPr>
          <w:p>
            <w:pPr>
              <w:pStyle w:val="yTableNAm"/>
            </w:pPr>
            <w:r>
              <w:t>Four digits of one foot</w:t>
            </w:r>
          </w:p>
        </w:tc>
        <w:tc>
          <w:tcPr>
            <w:tcW w:w="1134" w:type="dxa"/>
          </w:tcPr>
          <w:p>
            <w:pPr>
              <w:pStyle w:val="yTableNAm"/>
            </w:pPr>
            <w:r>
              <w:t>$908.60</w:t>
            </w:r>
          </w:p>
        </w:tc>
      </w:tr>
      <w:tr>
        <w:trPr>
          <w:cantSplit/>
        </w:trPr>
        <w:tc>
          <w:tcPr>
            <w:tcW w:w="5670" w:type="dxa"/>
          </w:tcPr>
          <w:p>
            <w:pPr>
              <w:pStyle w:val="yTableNAm"/>
            </w:pPr>
            <w:r>
              <w:t>Five digits of one foot</w:t>
            </w:r>
          </w:p>
        </w:tc>
        <w:tc>
          <w:tcPr>
            <w:tcW w:w="1134" w:type="dxa"/>
          </w:tcPr>
          <w:p>
            <w:pPr>
              <w:pStyle w:val="yTableNAm"/>
            </w:pPr>
            <w:r>
              <w:t>$1 088.50</w:t>
            </w:r>
          </w:p>
        </w:tc>
      </w:tr>
      <w:tr>
        <w:trPr>
          <w:cantSplit/>
        </w:trPr>
        <w:tc>
          <w:tcPr>
            <w:tcW w:w="5670" w:type="dxa"/>
          </w:tcPr>
          <w:p>
            <w:pPr>
              <w:pStyle w:val="yTableNAm"/>
            </w:pPr>
            <w:r>
              <w:t>Toe including metatarsal or part of metatarsal — each toe</w:t>
            </w:r>
          </w:p>
        </w:tc>
        <w:tc>
          <w:tcPr>
            <w:tcW w:w="1134" w:type="dxa"/>
          </w:tcPr>
          <w:p>
            <w:pPr>
              <w:pStyle w:val="yTableNAm"/>
            </w:pPr>
            <w:r>
              <w:t>$424.80</w:t>
            </w:r>
          </w:p>
        </w:tc>
      </w:tr>
      <w:tr>
        <w:trPr>
          <w:cantSplit/>
        </w:trPr>
        <w:tc>
          <w:tcPr>
            <w:tcW w:w="5670" w:type="dxa"/>
          </w:tcPr>
          <w:p>
            <w:pPr>
              <w:pStyle w:val="yTableNAm"/>
            </w:pPr>
            <w:r>
              <w:t>Foot, at ankle</w:t>
            </w:r>
          </w:p>
        </w:tc>
        <w:tc>
          <w:tcPr>
            <w:tcW w:w="1134" w:type="dxa"/>
          </w:tcPr>
          <w:p>
            <w:pPr>
              <w:pStyle w:val="yTableNAm"/>
              <w:rPr>
                <w:b/>
              </w:rPr>
            </w:pPr>
            <w:r>
              <w:t>$791.65</w:t>
            </w:r>
          </w:p>
        </w:tc>
      </w:tr>
      <w:tr>
        <w:trPr>
          <w:cantSplit/>
        </w:trPr>
        <w:tc>
          <w:tcPr>
            <w:tcW w:w="5670" w:type="dxa"/>
          </w:tcPr>
          <w:p>
            <w:pPr>
              <w:pStyle w:val="yTableNAm"/>
            </w:pPr>
            <w:r>
              <w:t>Foot, midtarsal or transmetatarsal</w:t>
            </w:r>
          </w:p>
        </w:tc>
        <w:tc>
          <w:tcPr>
            <w:tcW w:w="1134" w:type="dxa"/>
          </w:tcPr>
          <w:p>
            <w:pPr>
              <w:pStyle w:val="yTableNAm"/>
              <w:rPr>
                <w:b/>
              </w:rPr>
            </w:pPr>
            <w:r>
              <w:t>$683.80</w:t>
            </w:r>
          </w:p>
        </w:tc>
      </w:tr>
      <w:tr>
        <w:trPr>
          <w:cantSplit/>
        </w:trPr>
        <w:tc>
          <w:tcPr>
            <w:tcW w:w="5670" w:type="dxa"/>
          </w:tcPr>
          <w:p>
            <w:pPr>
              <w:pStyle w:val="yTableNAm"/>
            </w:pPr>
            <w:r>
              <w:t>Through thigh, at knee or below knee</w:t>
            </w:r>
          </w:p>
        </w:tc>
        <w:tc>
          <w:tcPr>
            <w:tcW w:w="1134" w:type="dxa"/>
          </w:tcPr>
          <w:p>
            <w:pPr>
              <w:pStyle w:val="yTableNAm"/>
            </w:pPr>
            <w:r>
              <w:t>$1 169.55</w:t>
            </w:r>
          </w:p>
        </w:tc>
      </w:tr>
      <w:tr>
        <w:trPr>
          <w:cantSplit/>
        </w:trPr>
        <w:tc>
          <w:tcPr>
            <w:tcW w:w="5670" w:type="dxa"/>
          </w:tcPr>
          <w:p>
            <w:pPr>
              <w:pStyle w:val="yTableNAm"/>
            </w:pPr>
            <w:r>
              <w:t>At hip</w:t>
            </w:r>
          </w:p>
        </w:tc>
        <w:tc>
          <w:tcPr>
            <w:tcW w:w="1134" w:type="dxa"/>
          </w:tcPr>
          <w:p>
            <w:pPr>
              <w:pStyle w:val="yTableNAm"/>
            </w:pPr>
            <w:r>
              <w:t>$1 646.05</w:t>
            </w:r>
          </w:p>
        </w:tc>
      </w:tr>
      <w:tr>
        <w:trPr>
          <w:cantSplit/>
        </w:trPr>
        <w:tc>
          <w:tcPr>
            <w:tcW w:w="567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vAlign w:val="center"/>
          </w:tcPr>
          <w:p>
            <w:pPr>
              <w:pStyle w:val="yTableNAm"/>
            </w:pPr>
          </w:p>
        </w:tc>
      </w:tr>
      <w:tr>
        <w:trPr>
          <w:cantSplit/>
        </w:trPr>
        <w:tc>
          <w:tcPr>
            <w:tcW w:w="5670" w:type="dxa"/>
          </w:tcPr>
          <w:p>
            <w:pPr>
              <w:pStyle w:val="yTableNAm"/>
              <w:rPr>
                <w:rStyle w:val="DraftersNotes"/>
              </w:rPr>
            </w:pPr>
            <w:r>
              <w:t>The fee is 20% of the total fee or the minimum sum of $226.55, whichever is greater.</w:t>
            </w:r>
          </w:p>
        </w:tc>
        <w:tc>
          <w:tcPr>
            <w:tcW w:w="1134" w:type="dxa"/>
            <w:vAlign w:val="center"/>
          </w:tcPr>
          <w:p>
            <w:pPr>
              <w:pStyle w:val="yTableNAm"/>
            </w:pPr>
          </w:p>
        </w:tc>
      </w:tr>
      <w:tr>
        <w:trPr>
          <w:cantSplit/>
        </w:trPr>
        <w:tc>
          <w:tcPr>
            <w:tcW w:w="5670" w:type="dxa"/>
            <w:tcBorders>
              <w:bottom w:val="single" w:sz="4" w:space="0" w:color="auto"/>
            </w:tcBorders>
          </w:tcPr>
          <w:p>
            <w:pPr>
              <w:pStyle w:val="yTableNAm"/>
            </w:pPr>
            <w:r>
              <w:t>USE OF PRIVATE THEATRES</w:t>
            </w:r>
          </w:p>
          <w:p>
            <w:pPr>
              <w:pStyle w:val="yTableNAm"/>
              <w:rPr>
                <w:rStyle w:val="DraftersNotes"/>
                <w:b w:val="0"/>
                <w:i w:val="0"/>
              </w:rPr>
            </w:pPr>
            <w:r>
              <w:t>A theatre fee of $136.75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yTableNAm"/>
            </w:pPr>
          </w:p>
        </w:tc>
      </w:tr>
    </w:tbl>
    <w:p>
      <w:pPr>
        <w:pStyle w:val="yFootnotesection"/>
      </w:pPr>
      <w:r>
        <w:tab/>
        <w:t>[Part 2 inserted: Gazette 21 Oct 2016 p. 4826</w:t>
      </w:r>
      <w:r>
        <w:noBreakHyphen/>
        <w:t>30; amended: Gazette 6 Oct 2017 p. 5208</w:t>
      </w:r>
      <w:r>
        <w:noBreakHyphen/>
        <w:t>11; 19 Oct 2018 p. 4166-8; 22 Oct 2019 p. 3737</w:t>
      </w:r>
      <w:r>
        <w:noBreakHyphen/>
        <w:t>8.]</w:t>
      </w:r>
    </w:p>
    <w:p>
      <w:pPr>
        <w:pStyle w:val="yHeading3"/>
      </w:pPr>
      <w:bookmarkStart w:id="37" w:name="_Toc23167010"/>
      <w:bookmarkStart w:id="38" w:name="_Toc23167025"/>
      <w:bookmarkStart w:id="39" w:name="_Toc23242894"/>
      <w:bookmarkStart w:id="40" w:name="_Toc23326469"/>
      <w:bookmarkStart w:id="41" w:name="_Toc22638152"/>
      <w:bookmarkStart w:id="42" w:name="_Toc22641912"/>
      <w:r>
        <w:rPr>
          <w:rStyle w:val="CharSDivNo"/>
        </w:rPr>
        <w:t>Part 3</w:t>
      </w:r>
      <w:r>
        <w:t> — </w:t>
      </w:r>
      <w:r>
        <w:rPr>
          <w:rStyle w:val="CharSDivText"/>
        </w:rPr>
        <w:t>Diagnostic Imaging Services</w:t>
      </w:r>
      <w:bookmarkEnd w:id="37"/>
      <w:bookmarkEnd w:id="38"/>
      <w:bookmarkEnd w:id="39"/>
      <w:bookmarkEnd w:id="40"/>
    </w:p>
    <w:p>
      <w:pPr>
        <w:pStyle w:val="yFootnoteheading"/>
      </w:pPr>
      <w:r>
        <w:tab/>
        <w:t>[Heading inserted: Gazette 22 Oct 2019 p. 3739.]</w:t>
      </w:r>
    </w:p>
    <w:p>
      <w:pPr>
        <w:pStyle w:val="yMiscellaneousBody"/>
        <w:ind w:left="709"/>
      </w:pPr>
      <w:r>
        <w:t>ULTRASOUND</w:t>
      </w:r>
    </w:p>
    <w:tbl>
      <w:tblPr>
        <w:tblW w:w="0" w:type="auto"/>
        <w:jc w:val="center"/>
        <w:tblInd w:w="296" w:type="dxa"/>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tcPr>
          <w:p>
            <w:pPr>
              <w:pStyle w:val="yTableNAm"/>
              <w:rPr>
                <w:b/>
              </w:rPr>
            </w:pPr>
            <w:r>
              <w:rPr>
                <w:b/>
              </w:rPr>
              <w:t>MBS item number</w:t>
            </w:r>
          </w:p>
        </w:tc>
        <w:tc>
          <w:tcPr>
            <w:tcW w:w="1134" w:type="dxa"/>
            <w:tcBorders>
              <w:top w:val="single" w:sz="4" w:space="0" w:color="auto"/>
              <w:bottom w:val="single" w:sz="4" w:space="0" w:color="auto"/>
            </w:tcBorders>
          </w:tcPr>
          <w:p>
            <w:pPr>
              <w:pStyle w:val="yTableNAm"/>
              <w:rPr>
                <w:b/>
              </w:rPr>
            </w:pPr>
            <w:r>
              <w:rPr>
                <w:b/>
                <w:bCs/>
              </w:rPr>
              <w:t>Fee ($)</w:t>
            </w:r>
          </w:p>
        </w:tc>
      </w:tr>
      <w:tr>
        <w:tblPrEx>
          <w:tblCellMar>
            <w:left w:w="108" w:type="dxa"/>
            <w:right w:w="108" w:type="dxa"/>
          </w:tblCellMar>
        </w:tblPrEx>
        <w:trPr>
          <w:trHeight w:val="386"/>
          <w:jc w:val="center"/>
        </w:trPr>
        <w:tc>
          <w:tcPr>
            <w:tcW w:w="4535" w:type="dxa"/>
            <w:tcBorders>
              <w:top w:val="single" w:sz="4" w:space="0" w:color="auto"/>
            </w:tcBorders>
            <w:noWrap/>
            <w:vAlign w:val="bottom"/>
          </w:tcPr>
          <w:p>
            <w:pPr>
              <w:pStyle w:val="yTableNAm"/>
            </w:pPr>
            <w:r>
              <w:t>55028</w:t>
            </w:r>
          </w:p>
        </w:tc>
        <w:tc>
          <w:tcPr>
            <w:tcW w:w="1134" w:type="dxa"/>
            <w:tcBorders>
              <w:top w:val="single" w:sz="4" w:space="0" w:color="auto"/>
            </w:tcBorders>
            <w:noWrap/>
            <w:vAlign w:val="bottom"/>
          </w:tcPr>
          <w:p>
            <w:pPr>
              <w:pStyle w:val="yTableNAm"/>
            </w:pPr>
            <w:r>
              <w:t>220.40</w:t>
            </w:r>
          </w:p>
        </w:tc>
      </w:tr>
      <w:tr>
        <w:tblPrEx>
          <w:tblCellMar>
            <w:left w:w="108" w:type="dxa"/>
            <w:right w:w="108" w:type="dxa"/>
          </w:tblCellMar>
        </w:tblPrEx>
        <w:trPr>
          <w:trHeight w:val="373"/>
          <w:jc w:val="center"/>
        </w:trPr>
        <w:tc>
          <w:tcPr>
            <w:tcW w:w="4535" w:type="dxa"/>
            <w:noWrap/>
            <w:vAlign w:val="bottom"/>
          </w:tcPr>
          <w:p>
            <w:pPr>
              <w:pStyle w:val="yTableNAm"/>
            </w:pPr>
            <w:r>
              <w:t>55029</w:t>
            </w:r>
          </w:p>
        </w:tc>
        <w:tc>
          <w:tcPr>
            <w:tcW w:w="1134" w:type="dxa"/>
            <w:noWrap/>
            <w:vAlign w:val="bottom"/>
          </w:tcPr>
          <w:p>
            <w:pPr>
              <w:pStyle w:val="yTableNAm"/>
            </w:pPr>
            <w:r>
              <w:t>76.40</w:t>
            </w:r>
          </w:p>
        </w:tc>
      </w:tr>
      <w:tr>
        <w:tblPrEx>
          <w:tblCellMar>
            <w:left w:w="108" w:type="dxa"/>
            <w:right w:w="108" w:type="dxa"/>
          </w:tblCellMar>
        </w:tblPrEx>
        <w:trPr>
          <w:trHeight w:val="386"/>
          <w:jc w:val="center"/>
        </w:trPr>
        <w:tc>
          <w:tcPr>
            <w:tcW w:w="4535" w:type="dxa"/>
            <w:noWrap/>
            <w:vAlign w:val="bottom"/>
          </w:tcPr>
          <w:p>
            <w:pPr>
              <w:pStyle w:val="yTableNAm"/>
            </w:pPr>
            <w:r>
              <w:t>55030</w:t>
            </w:r>
          </w:p>
        </w:tc>
        <w:tc>
          <w:tcPr>
            <w:tcW w:w="1134" w:type="dxa"/>
            <w:noWrap/>
            <w:vAlign w:val="bottom"/>
          </w:tcPr>
          <w:p>
            <w:pPr>
              <w:pStyle w:val="yTableNAm"/>
            </w:pPr>
            <w:r>
              <w:t>220.40</w:t>
            </w:r>
          </w:p>
        </w:tc>
      </w:tr>
      <w:tr>
        <w:tblPrEx>
          <w:tblCellMar>
            <w:left w:w="108" w:type="dxa"/>
            <w:right w:w="108" w:type="dxa"/>
          </w:tblCellMar>
        </w:tblPrEx>
        <w:trPr>
          <w:trHeight w:val="386"/>
          <w:jc w:val="center"/>
        </w:trPr>
        <w:tc>
          <w:tcPr>
            <w:tcW w:w="4535" w:type="dxa"/>
            <w:noWrap/>
            <w:vAlign w:val="bottom"/>
          </w:tcPr>
          <w:p>
            <w:pPr>
              <w:pStyle w:val="yTableNAm"/>
            </w:pPr>
            <w:r>
              <w:t>55031</w:t>
            </w:r>
          </w:p>
        </w:tc>
        <w:tc>
          <w:tcPr>
            <w:tcW w:w="1134" w:type="dxa"/>
            <w:noWrap/>
            <w:vAlign w:val="bottom"/>
          </w:tcPr>
          <w:p>
            <w:pPr>
              <w:pStyle w:val="yTableNAm"/>
            </w:pPr>
            <w:r>
              <w:t>76.40</w:t>
            </w:r>
          </w:p>
        </w:tc>
      </w:tr>
      <w:tr>
        <w:tblPrEx>
          <w:tblCellMar>
            <w:left w:w="108" w:type="dxa"/>
            <w:right w:w="108" w:type="dxa"/>
          </w:tblCellMar>
        </w:tblPrEx>
        <w:trPr>
          <w:trHeight w:val="386"/>
          <w:jc w:val="center"/>
        </w:trPr>
        <w:tc>
          <w:tcPr>
            <w:tcW w:w="4535" w:type="dxa"/>
            <w:noWrap/>
            <w:vAlign w:val="bottom"/>
          </w:tcPr>
          <w:p>
            <w:pPr>
              <w:pStyle w:val="yTableNAm"/>
            </w:pPr>
            <w:r>
              <w:t>55032</w:t>
            </w:r>
          </w:p>
        </w:tc>
        <w:tc>
          <w:tcPr>
            <w:tcW w:w="1134" w:type="dxa"/>
            <w:noWrap/>
            <w:vAlign w:val="bottom"/>
          </w:tcPr>
          <w:p>
            <w:pPr>
              <w:pStyle w:val="yTableNAm"/>
            </w:pPr>
            <w:r>
              <w:t>220.40</w:t>
            </w:r>
          </w:p>
        </w:tc>
      </w:tr>
      <w:tr>
        <w:tblPrEx>
          <w:tblCellMar>
            <w:left w:w="108" w:type="dxa"/>
            <w:right w:w="108" w:type="dxa"/>
          </w:tblCellMar>
        </w:tblPrEx>
        <w:trPr>
          <w:trHeight w:val="373"/>
          <w:jc w:val="center"/>
        </w:trPr>
        <w:tc>
          <w:tcPr>
            <w:tcW w:w="4535" w:type="dxa"/>
            <w:noWrap/>
            <w:vAlign w:val="bottom"/>
          </w:tcPr>
          <w:p>
            <w:pPr>
              <w:pStyle w:val="yTableNAm"/>
            </w:pPr>
            <w:r>
              <w:t>55033</w:t>
            </w:r>
          </w:p>
        </w:tc>
        <w:tc>
          <w:tcPr>
            <w:tcW w:w="1134" w:type="dxa"/>
            <w:noWrap/>
            <w:vAlign w:val="bottom"/>
          </w:tcPr>
          <w:p>
            <w:pPr>
              <w:pStyle w:val="yTableNAm"/>
              <w:rPr>
                <w:b/>
              </w:rPr>
            </w:pPr>
            <w:r>
              <w:t>76.40</w:t>
            </w:r>
          </w:p>
        </w:tc>
      </w:tr>
      <w:tr>
        <w:tblPrEx>
          <w:tblCellMar>
            <w:left w:w="108" w:type="dxa"/>
            <w:right w:w="108" w:type="dxa"/>
          </w:tblCellMar>
        </w:tblPrEx>
        <w:trPr>
          <w:trHeight w:val="386"/>
          <w:jc w:val="center"/>
        </w:trPr>
        <w:tc>
          <w:tcPr>
            <w:tcW w:w="4535" w:type="dxa"/>
            <w:noWrap/>
            <w:vAlign w:val="bottom"/>
          </w:tcPr>
          <w:p>
            <w:pPr>
              <w:pStyle w:val="yTableNAm"/>
            </w:pPr>
            <w:r>
              <w:t>55036</w:t>
            </w:r>
          </w:p>
        </w:tc>
        <w:tc>
          <w:tcPr>
            <w:tcW w:w="1134" w:type="dxa"/>
            <w:noWrap/>
            <w:vAlign w:val="bottom"/>
          </w:tcPr>
          <w:p>
            <w:pPr>
              <w:pStyle w:val="yTableNAm"/>
            </w:pPr>
            <w:r>
              <w:t>224.70</w:t>
            </w:r>
          </w:p>
        </w:tc>
      </w:tr>
      <w:tr>
        <w:tblPrEx>
          <w:tblCellMar>
            <w:left w:w="108" w:type="dxa"/>
            <w:right w:w="108" w:type="dxa"/>
          </w:tblCellMar>
        </w:tblPrEx>
        <w:trPr>
          <w:trHeight w:val="386"/>
          <w:jc w:val="center"/>
        </w:trPr>
        <w:tc>
          <w:tcPr>
            <w:tcW w:w="4535" w:type="dxa"/>
            <w:noWrap/>
            <w:vAlign w:val="bottom"/>
          </w:tcPr>
          <w:p>
            <w:pPr>
              <w:pStyle w:val="yTableNAm"/>
            </w:pPr>
            <w:r>
              <w:t>55037</w:t>
            </w:r>
          </w:p>
        </w:tc>
        <w:tc>
          <w:tcPr>
            <w:tcW w:w="1134" w:type="dxa"/>
            <w:noWrap/>
            <w:vAlign w:val="bottom"/>
          </w:tcPr>
          <w:p>
            <w:pPr>
              <w:pStyle w:val="yTableNAm"/>
            </w:pPr>
            <w:r>
              <w:t>76.40</w:t>
            </w:r>
          </w:p>
        </w:tc>
      </w:tr>
      <w:tr>
        <w:tblPrEx>
          <w:tblCellMar>
            <w:left w:w="108" w:type="dxa"/>
            <w:right w:w="108" w:type="dxa"/>
          </w:tblCellMar>
        </w:tblPrEx>
        <w:trPr>
          <w:trHeight w:val="386"/>
          <w:jc w:val="center"/>
        </w:trPr>
        <w:tc>
          <w:tcPr>
            <w:tcW w:w="4535" w:type="dxa"/>
            <w:noWrap/>
            <w:vAlign w:val="bottom"/>
          </w:tcPr>
          <w:p>
            <w:pPr>
              <w:pStyle w:val="yTableNAm"/>
            </w:pPr>
            <w:r>
              <w:t>55038</w:t>
            </w:r>
          </w:p>
        </w:tc>
        <w:tc>
          <w:tcPr>
            <w:tcW w:w="1134" w:type="dxa"/>
            <w:noWrap/>
            <w:vAlign w:val="bottom"/>
          </w:tcPr>
          <w:p>
            <w:pPr>
              <w:pStyle w:val="yTableNAm"/>
            </w:pPr>
            <w:r>
              <w:t>220.40</w:t>
            </w:r>
          </w:p>
        </w:tc>
      </w:tr>
      <w:tr>
        <w:tblPrEx>
          <w:tblCellMar>
            <w:left w:w="108" w:type="dxa"/>
            <w:right w:w="108" w:type="dxa"/>
          </w:tblCellMar>
        </w:tblPrEx>
        <w:trPr>
          <w:trHeight w:val="386"/>
          <w:jc w:val="center"/>
        </w:trPr>
        <w:tc>
          <w:tcPr>
            <w:tcW w:w="4535" w:type="dxa"/>
            <w:noWrap/>
            <w:vAlign w:val="bottom"/>
          </w:tcPr>
          <w:p>
            <w:pPr>
              <w:pStyle w:val="yTableNAm"/>
            </w:pPr>
            <w:r>
              <w:t>55039</w:t>
            </w:r>
          </w:p>
        </w:tc>
        <w:tc>
          <w:tcPr>
            <w:tcW w:w="1134" w:type="dxa"/>
            <w:noWrap/>
            <w:vAlign w:val="bottom"/>
          </w:tcPr>
          <w:p>
            <w:pPr>
              <w:pStyle w:val="yTableNAm"/>
            </w:pPr>
            <w:r>
              <w:t>76.40</w:t>
            </w:r>
          </w:p>
        </w:tc>
      </w:tr>
      <w:tr>
        <w:tblPrEx>
          <w:tblCellMar>
            <w:left w:w="108" w:type="dxa"/>
            <w:right w:w="108" w:type="dxa"/>
          </w:tblCellMar>
        </w:tblPrEx>
        <w:trPr>
          <w:trHeight w:val="373"/>
          <w:jc w:val="center"/>
        </w:trPr>
        <w:tc>
          <w:tcPr>
            <w:tcW w:w="4535" w:type="dxa"/>
            <w:noWrap/>
            <w:vAlign w:val="bottom"/>
          </w:tcPr>
          <w:p>
            <w:pPr>
              <w:pStyle w:val="yTableNAm"/>
            </w:pPr>
            <w:r>
              <w:t>55048</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55049</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55054</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55070</w:t>
            </w:r>
          </w:p>
        </w:tc>
        <w:tc>
          <w:tcPr>
            <w:tcW w:w="1134" w:type="dxa"/>
            <w:noWrap/>
            <w:vAlign w:val="bottom"/>
          </w:tcPr>
          <w:p>
            <w:pPr>
              <w:pStyle w:val="yTableNAm"/>
            </w:pPr>
            <w:r>
              <w:t>198.40</w:t>
            </w:r>
          </w:p>
        </w:tc>
      </w:tr>
      <w:tr>
        <w:tblPrEx>
          <w:tblCellMar>
            <w:left w:w="108" w:type="dxa"/>
            <w:right w:w="108" w:type="dxa"/>
          </w:tblCellMar>
        </w:tblPrEx>
        <w:trPr>
          <w:trHeight w:val="148"/>
          <w:jc w:val="center"/>
        </w:trPr>
        <w:tc>
          <w:tcPr>
            <w:tcW w:w="4535" w:type="dxa"/>
            <w:noWrap/>
            <w:vAlign w:val="bottom"/>
          </w:tcPr>
          <w:p>
            <w:pPr>
              <w:pStyle w:val="yTableNAm"/>
            </w:pPr>
            <w:r>
              <w:t>55073</w:t>
            </w:r>
          </w:p>
        </w:tc>
        <w:tc>
          <w:tcPr>
            <w:tcW w:w="1134" w:type="dxa"/>
            <w:noWrap/>
            <w:vAlign w:val="bottom"/>
          </w:tcPr>
          <w:p>
            <w:pPr>
              <w:pStyle w:val="yTableNAm"/>
            </w:pPr>
            <w:r>
              <w:t>68.75</w:t>
            </w:r>
          </w:p>
        </w:tc>
      </w:tr>
      <w:tr>
        <w:tblPrEx>
          <w:tblCellMar>
            <w:left w:w="108" w:type="dxa"/>
            <w:right w:w="108" w:type="dxa"/>
          </w:tblCellMar>
        </w:tblPrEx>
        <w:trPr>
          <w:trHeight w:val="148"/>
          <w:jc w:val="center"/>
        </w:trPr>
        <w:tc>
          <w:tcPr>
            <w:tcW w:w="4535" w:type="dxa"/>
            <w:noWrap/>
            <w:vAlign w:val="bottom"/>
          </w:tcPr>
          <w:p>
            <w:pPr>
              <w:pStyle w:val="yTableNAm"/>
            </w:pPr>
            <w:r>
              <w:t>55076</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55079</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55084</w:t>
            </w:r>
          </w:p>
        </w:tc>
        <w:tc>
          <w:tcPr>
            <w:tcW w:w="1134" w:type="dxa"/>
            <w:noWrap/>
            <w:vAlign w:val="bottom"/>
          </w:tcPr>
          <w:p>
            <w:pPr>
              <w:pStyle w:val="yTableNAm"/>
            </w:pPr>
            <w:r>
              <w:t>198.40</w:t>
            </w:r>
          </w:p>
        </w:tc>
      </w:tr>
      <w:tr>
        <w:tblPrEx>
          <w:tblCellMar>
            <w:left w:w="108" w:type="dxa"/>
            <w:right w:w="108" w:type="dxa"/>
          </w:tblCellMar>
        </w:tblPrEx>
        <w:trPr>
          <w:trHeight w:val="148"/>
          <w:jc w:val="center"/>
        </w:trPr>
        <w:tc>
          <w:tcPr>
            <w:tcW w:w="4535" w:type="dxa"/>
            <w:noWrap/>
            <w:vAlign w:val="bottom"/>
          </w:tcPr>
          <w:p>
            <w:pPr>
              <w:pStyle w:val="yTableNAm"/>
            </w:pPr>
            <w:r>
              <w:t>55085</w:t>
            </w:r>
          </w:p>
        </w:tc>
        <w:tc>
          <w:tcPr>
            <w:tcW w:w="1134" w:type="dxa"/>
            <w:noWrap/>
            <w:vAlign w:val="bottom"/>
          </w:tcPr>
          <w:p>
            <w:pPr>
              <w:pStyle w:val="yTableNAm"/>
            </w:pPr>
            <w:r>
              <w:t>68.75</w:t>
            </w:r>
          </w:p>
        </w:tc>
      </w:tr>
      <w:tr>
        <w:tblPrEx>
          <w:tblCellMar>
            <w:left w:w="108" w:type="dxa"/>
            <w:right w:w="108" w:type="dxa"/>
          </w:tblCellMar>
        </w:tblPrEx>
        <w:trPr>
          <w:trHeight w:val="148"/>
          <w:jc w:val="center"/>
        </w:trPr>
        <w:tc>
          <w:tcPr>
            <w:tcW w:w="4535" w:type="dxa"/>
            <w:noWrap/>
            <w:vAlign w:val="bottom"/>
          </w:tcPr>
          <w:p>
            <w:pPr>
              <w:pStyle w:val="yTableNAm"/>
            </w:pPr>
            <w:r>
              <w:t>55113</w:t>
            </w:r>
          </w:p>
        </w:tc>
        <w:tc>
          <w:tcPr>
            <w:tcW w:w="1134" w:type="dxa"/>
            <w:noWrap/>
            <w:vAlign w:val="bottom"/>
          </w:tcPr>
          <w:p>
            <w:pPr>
              <w:pStyle w:val="yTableNAm"/>
            </w:pPr>
            <w:r>
              <w:t>465.80</w:t>
            </w:r>
          </w:p>
        </w:tc>
      </w:tr>
      <w:tr>
        <w:tblPrEx>
          <w:tblCellMar>
            <w:left w:w="108" w:type="dxa"/>
            <w:right w:w="108" w:type="dxa"/>
          </w:tblCellMar>
        </w:tblPrEx>
        <w:trPr>
          <w:trHeight w:val="148"/>
          <w:jc w:val="center"/>
        </w:trPr>
        <w:tc>
          <w:tcPr>
            <w:tcW w:w="4535" w:type="dxa"/>
            <w:noWrap/>
            <w:vAlign w:val="bottom"/>
          </w:tcPr>
          <w:p>
            <w:pPr>
              <w:pStyle w:val="yTableNAm"/>
            </w:pPr>
            <w:r>
              <w:t>55114</w:t>
            </w:r>
          </w:p>
        </w:tc>
        <w:tc>
          <w:tcPr>
            <w:tcW w:w="1134" w:type="dxa"/>
            <w:noWrap/>
            <w:vAlign w:val="bottom"/>
          </w:tcPr>
          <w:p>
            <w:pPr>
              <w:pStyle w:val="yTableNAm"/>
            </w:pPr>
            <w:r>
              <w:t>465.80</w:t>
            </w:r>
          </w:p>
        </w:tc>
      </w:tr>
      <w:tr>
        <w:tblPrEx>
          <w:tblCellMar>
            <w:left w:w="108" w:type="dxa"/>
            <w:right w:w="108" w:type="dxa"/>
          </w:tblCellMar>
        </w:tblPrEx>
        <w:trPr>
          <w:trHeight w:val="148"/>
          <w:jc w:val="center"/>
        </w:trPr>
        <w:tc>
          <w:tcPr>
            <w:tcW w:w="4535" w:type="dxa"/>
            <w:noWrap/>
            <w:vAlign w:val="bottom"/>
          </w:tcPr>
          <w:p>
            <w:pPr>
              <w:pStyle w:val="yTableNAm"/>
            </w:pPr>
            <w:r>
              <w:t>55115</w:t>
            </w:r>
          </w:p>
        </w:tc>
        <w:tc>
          <w:tcPr>
            <w:tcW w:w="1134" w:type="dxa"/>
            <w:noWrap/>
            <w:vAlign w:val="bottom"/>
          </w:tcPr>
          <w:p>
            <w:pPr>
              <w:pStyle w:val="yTableNAm"/>
            </w:pPr>
            <w:r>
              <w:t>465.80</w:t>
            </w:r>
          </w:p>
        </w:tc>
      </w:tr>
      <w:tr>
        <w:tblPrEx>
          <w:tblCellMar>
            <w:left w:w="108" w:type="dxa"/>
            <w:right w:w="108" w:type="dxa"/>
          </w:tblCellMar>
        </w:tblPrEx>
        <w:trPr>
          <w:trHeight w:val="148"/>
          <w:jc w:val="center"/>
        </w:trPr>
        <w:tc>
          <w:tcPr>
            <w:tcW w:w="4535" w:type="dxa"/>
            <w:noWrap/>
            <w:vAlign w:val="bottom"/>
          </w:tcPr>
          <w:p>
            <w:pPr>
              <w:pStyle w:val="yTableNAm"/>
            </w:pPr>
            <w:r>
              <w:t>55116</w:t>
            </w:r>
          </w:p>
        </w:tc>
        <w:tc>
          <w:tcPr>
            <w:tcW w:w="1134" w:type="dxa"/>
            <w:noWrap/>
            <w:vAlign w:val="bottom"/>
          </w:tcPr>
          <w:p>
            <w:pPr>
              <w:pStyle w:val="yTableNAm"/>
            </w:pPr>
            <w:r>
              <w:t>518.05</w:t>
            </w:r>
          </w:p>
        </w:tc>
      </w:tr>
      <w:tr>
        <w:tblPrEx>
          <w:tblCellMar>
            <w:left w:w="108" w:type="dxa"/>
            <w:right w:w="108" w:type="dxa"/>
          </w:tblCellMar>
        </w:tblPrEx>
        <w:trPr>
          <w:trHeight w:val="148"/>
          <w:jc w:val="center"/>
        </w:trPr>
        <w:tc>
          <w:tcPr>
            <w:tcW w:w="4535" w:type="dxa"/>
            <w:noWrap/>
            <w:vAlign w:val="bottom"/>
          </w:tcPr>
          <w:p>
            <w:pPr>
              <w:pStyle w:val="yTableNAm"/>
            </w:pPr>
            <w:r>
              <w:t>55117</w:t>
            </w:r>
          </w:p>
        </w:tc>
        <w:tc>
          <w:tcPr>
            <w:tcW w:w="1134" w:type="dxa"/>
            <w:noWrap/>
            <w:vAlign w:val="bottom"/>
          </w:tcPr>
          <w:p>
            <w:pPr>
              <w:pStyle w:val="yTableNAm"/>
            </w:pPr>
            <w:r>
              <w:t>518.05</w:t>
            </w:r>
          </w:p>
        </w:tc>
      </w:tr>
      <w:tr>
        <w:tblPrEx>
          <w:tblCellMar>
            <w:left w:w="108" w:type="dxa"/>
            <w:right w:w="108" w:type="dxa"/>
          </w:tblCellMar>
        </w:tblPrEx>
        <w:trPr>
          <w:trHeight w:val="148"/>
          <w:jc w:val="center"/>
        </w:trPr>
        <w:tc>
          <w:tcPr>
            <w:tcW w:w="4535" w:type="dxa"/>
            <w:noWrap/>
            <w:vAlign w:val="bottom"/>
          </w:tcPr>
          <w:p>
            <w:pPr>
              <w:pStyle w:val="yTableNAm"/>
            </w:pPr>
            <w:r>
              <w:t>55118</w:t>
            </w:r>
          </w:p>
        </w:tc>
        <w:tc>
          <w:tcPr>
            <w:tcW w:w="1134" w:type="dxa"/>
            <w:noWrap/>
            <w:vAlign w:val="bottom"/>
          </w:tcPr>
          <w:p>
            <w:pPr>
              <w:pStyle w:val="yTableNAm"/>
            </w:pPr>
            <w:r>
              <w:t>556.35</w:t>
            </w:r>
          </w:p>
        </w:tc>
      </w:tr>
      <w:tr>
        <w:tblPrEx>
          <w:tblCellMar>
            <w:left w:w="108" w:type="dxa"/>
            <w:right w:w="108" w:type="dxa"/>
          </w:tblCellMar>
        </w:tblPrEx>
        <w:trPr>
          <w:trHeight w:val="148"/>
          <w:jc w:val="center"/>
        </w:trPr>
        <w:tc>
          <w:tcPr>
            <w:tcW w:w="4535" w:type="dxa"/>
            <w:noWrap/>
            <w:vAlign w:val="bottom"/>
          </w:tcPr>
          <w:p>
            <w:pPr>
              <w:pStyle w:val="yTableNAm"/>
            </w:pPr>
            <w:r>
              <w:t>55130</w:t>
            </w:r>
          </w:p>
        </w:tc>
        <w:tc>
          <w:tcPr>
            <w:tcW w:w="1134" w:type="dxa"/>
            <w:noWrap/>
            <w:vAlign w:val="bottom"/>
          </w:tcPr>
          <w:p>
            <w:pPr>
              <w:pStyle w:val="yTableNAm"/>
            </w:pPr>
            <w:r>
              <w:t>343.40</w:t>
            </w:r>
          </w:p>
        </w:tc>
      </w:tr>
      <w:tr>
        <w:tblPrEx>
          <w:tblCellMar>
            <w:left w:w="108" w:type="dxa"/>
            <w:right w:w="108" w:type="dxa"/>
          </w:tblCellMar>
        </w:tblPrEx>
        <w:trPr>
          <w:trHeight w:val="148"/>
          <w:jc w:val="center"/>
        </w:trPr>
        <w:tc>
          <w:tcPr>
            <w:tcW w:w="4535" w:type="dxa"/>
            <w:noWrap/>
            <w:vAlign w:val="bottom"/>
          </w:tcPr>
          <w:p>
            <w:pPr>
              <w:pStyle w:val="yTableNAm"/>
            </w:pPr>
            <w:r>
              <w:t>55135</w:t>
            </w:r>
          </w:p>
        </w:tc>
        <w:tc>
          <w:tcPr>
            <w:tcW w:w="1134" w:type="dxa"/>
            <w:noWrap/>
            <w:vAlign w:val="bottom"/>
          </w:tcPr>
          <w:p>
            <w:pPr>
              <w:pStyle w:val="yTableNAm"/>
            </w:pPr>
            <w:r>
              <w:t>714.15</w:t>
            </w:r>
          </w:p>
        </w:tc>
      </w:tr>
      <w:tr>
        <w:tblPrEx>
          <w:tblCellMar>
            <w:left w:w="108" w:type="dxa"/>
            <w:right w:w="108" w:type="dxa"/>
          </w:tblCellMar>
        </w:tblPrEx>
        <w:trPr>
          <w:trHeight w:val="148"/>
          <w:jc w:val="center"/>
        </w:trPr>
        <w:tc>
          <w:tcPr>
            <w:tcW w:w="4535" w:type="dxa"/>
            <w:noWrap/>
            <w:vAlign w:val="bottom"/>
          </w:tcPr>
          <w:p>
            <w:pPr>
              <w:pStyle w:val="yTableNAm"/>
            </w:pPr>
            <w:r>
              <w:t>55238</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55244</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55246</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55248</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55252</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55274</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55276</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55278</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55280</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55282</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55284</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55292</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55294</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55296</w:t>
            </w:r>
          </w:p>
        </w:tc>
        <w:tc>
          <w:tcPr>
            <w:tcW w:w="1134" w:type="dxa"/>
            <w:noWrap/>
            <w:vAlign w:val="bottom"/>
          </w:tcPr>
          <w:p>
            <w:pPr>
              <w:pStyle w:val="yTableNAm"/>
            </w:pPr>
            <w:r>
              <w:t>224.35</w:t>
            </w:r>
          </w:p>
        </w:tc>
      </w:tr>
      <w:tr>
        <w:tblPrEx>
          <w:tblCellMar>
            <w:left w:w="108" w:type="dxa"/>
            <w:right w:w="108" w:type="dxa"/>
          </w:tblCellMar>
        </w:tblPrEx>
        <w:trPr>
          <w:trHeight w:val="148"/>
          <w:jc w:val="center"/>
        </w:trPr>
        <w:tc>
          <w:tcPr>
            <w:tcW w:w="4535" w:type="dxa"/>
            <w:noWrap/>
            <w:vAlign w:val="bottom"/>
          </w:tcPr>
          <w:p>
            <w:pPr>
              <w:pStyle w:val="yTableNAm"/>
            </w:pPr>
            <w:r>
              <w:t>55600</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55603</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55700</w:t>
            </w:r>
          </w:p>
        </w:tc>
        <w:tc>
          <w:tcPr>
            <w:tcW w:w="1134" w:type="dxa"/>
            <w:noWrap/>
            <w:vAlign w:val="bottom"/>
          </w:tcPr>
          <w:p>
            <w:pPr>
              <w:pStyle w:val="yTableNAm"/>
            </w:pPr>
            <w:r>
              <w:t>121.10</w:t>
            </w:r>
          </w:p>
        </w:tc>
      </w:tr>
      <w:tr>
        <w:tblPrEx>
          <w:tblCellMar>
            <w:left w:w="108" w:type="dxa"/>
            <w:right w:w="108" w:type="dxa"/>
          </w:tblCellMar>
        </w:tblPrEx>
        <w:trPr>
          <w:trHeight w:val="148"/>
          <w:jc w:val="center"/>
        </w:trPr>
        <w:tc>
          <w:tcPr>
            <w:tcW w:w="4535" w:type="dxa"/>
            <w:noWrap/>
            <w:vAlign w:val="bottom"/>
          </w:tcPr>
          <w:p>
            <w:pPr>
              <w:pStyle w:val="yTableNAm"/>
            </w:pPr>
            <w:r>
              <w:t>55703</w:t>
            </w:r>
          </w:p>
        </w:tc>
        <w:tc>
          <w:tcPr>
            <w:tcW w:w="1134" w:type="dxa"/>
            <w:noWrap/>
            <w:vAlign w:val="bottom"/>
          </w:tcPr>
          <w:p>
            <w:pPr>
              <w:pStyle w:val="yTableNAm"/>
            </w:pPr>
            <w:r>
              <w:t>70.75</w:t>
            </w:r>
          </w:p>
        </w:tc>
      </w:tr>
      <w:tr>
        <w:tblPrEx>
          <w:tblCellMar>
            <w:left w:w="108" w:type="dxa"/>
            <w:right w:w="108" w:type="dxa"/>
          </w:tblCellMar>
        </w:tblPrEx>
        <w:trPr>
          <w:trHeight w:val="148"/>
          <w:jc w:val="center"/>
        </w:trPr>
        <w:tc>
          <w:tcPr>
            <w:tcW w:w="4535" w:type="dxa"/>
            <w:noWrap/>
            <w:vAlign w:val="bottom"/>
          </w:tcPr>
          <w:p>
            <w:pPr>
              <w:pStyle w:val="yTableNAm"/>
            </w:pPr>
            <w:r>
              <w:t>55704</w:t>
            </w:r>
          </w:p>
        </w:tc>
        <w:tc>
          <w:tcPr>
            <w:tcW w:w="1134" w:type="dxa"/>
            <w:noWrap/>
            <w:vAlign w:val="bottom"/>
          </w:tcPr>
          <w:p>
            <w:pPr>
              <w:pStyle w:val="yTableNAm"/>
            </w:pPr>
            <w:r>
              <w:t>141.40</w:t>
            </w:r>
          </w:p>
        </w:tc>
      </w:tr>
      <w:tr>
        <w:tblPrEx>
          <w:tblCellMar>
            <w:left w:w="108" w:type="dxa"/>
            <w:right w:w="108" w:type="dxa"/>
          </w:tblCellMar>
        </w:tblPrEx>
        <w:trPr>
          <w:trHeight w:val="148"/>
          <w:jc w:val="center"/>
        </w:trPr>
        <w:tc>
          <w:tcPr>
            <w:tcW w:w="4535" w:type="dxa"/>
            <w:noWrap/>
            <w:vAlign w:val="bottom"/>
          </w:tcPr>
          <w:p>
            <w:pPr>
              <w:pStyle w:val="yTableNAm"/>
            </w:pPr>
            <w:r>
              <w:t>55705</w:t>
            </w:r>
          </w:p>
        </w:tc>
        <w:tc>
          <w:tcPr>
            <w:tcW w:w="1134" w:type="dxa"/>
            <w:noWrap/>
            <w:vAlign w:val="bottom"/>
          </w:tcPr>
          <w:p>
            <w:pPr>
              <w:pStyle w:val="yTableNAm"/>
            </w:pPr>
            <w:r>
              <w:t>70.75</w:t>
            </w:r>
          </w:p>
        </w:tc>
      </w:tr>
      <w:tr>
        <w:tblPrEx>
          <w:tblCellMar>
            <w:left w:w="108" w:type="dxa"/>
            <w:right w:w="108" w:type="dxa"/>
          </w:tblCellMar>
        </w:tblPrEx>
        <w:trPr>
          <w:trHeight w:val="148"/>
          <w:jc w:val="center"/>
        </w:trPr>
        <w:tc>
          <w:tcPr>
            <w:tcW w:w="4535" w:type="dxa"/>
            <w:noWrap/>
            <w:vAlign w:val="bottom"/>
          </w:tcPr>
          <w:p>
            <w:pPr>
              <w:pStyle w:val="yTableNAm"/>
            </w:pPr>
            <w:r>
              <w:t>55706</w:t>
            </w:r>
          </w:p>
        </w:tc>
        <w:tc>
          <w:tcPr>
            <w:tcW w:w="1134" w:type="dxa"/>
            <w:noWrap/>
            <w:vAlign w:val="bottom"/>
          </w:tcPr>
          <w:p>
            <w:pPr>
              <w:pStyle w:val="yTableNAm"/>
            </w:pPr>
            <w:r>
              <w:t>201.95</w:t>
            </w:r>
          </w:p>
        </w:tc>
      </w:tr>
      <w:tr>
        <w:tblPrEx>
          <w:tblCellMar>
            <w:left w:w="108" w:type="dxa"/>
            <w:right w:w="108" w:type="dxa"/>
          </w:tblCellMar>
        </w:tblPrEx>
        <w:trPr>
          <w:trHeight w:val="148"/>
          <w:jc w:val="center"/>
        </w:trPr>
        <w:tc>
          <w:tcPr>
            <w:tcW w:w="4535" w:type="dxa"/>
            <w:noWrap/>
            <w:vAlign w:val="bottom"/>
          </w:tcPr>
          <w:p>
            <w:pPr>
              <w:pStyle w:val="yTableNAm"/>
            </w:pPr>
            <w:r>
              <w:t>55707</w:t>
            </w:r>
          </w:p>
        </w:tc>
        <w:tc>
          <w:tcPr>
            <w:tcW w:w="1134" w:type="dxa"/>
            <w:noWrap/>
            <w:vAlign w:val="bottom"/>
          </w:tcPr>
          <w:p>
            <w:pPr>
              <w:pStyle w:val="yTableNAm"/>
            </w:pPr>
            <w:r>
              <w:t>141.40</w:t>
            </w:r>
          </w:p>
        </w:tc>
      </w:tr>
      <w:tr>
        <w:tblPrEx>
          <w:tblCellMar>
            <w:left w:w="108" w:type="dxa"/>
            <w:right w:w="108" w:type="dxa"/>
          </w:tblCellMar>
        </w:tblPrEx>
        <w:trPr>
          <w:trHeight w:val="148"/>
          <w:jc w:val="center"/>
        </w:trPr>
        <w:tc>
          <w:tcPr>
            <w:tcW w:w="4535" w:type="dxa"/>
            <w:noWrap/>
            <w:vAlign w:val="bottom"/>
          </w:tcPr>
          <w:p>
            <w:pPr>
              <w:pStyle w:val="yTableNAm"/>
            </w:pPr>
            <w:r>
              <w:t>55708</w:t>
            </w:r>
          </w:p>
        </w:tc>
        <w:tc>
          <w:tcPr>
            <w:tcW w:w="1134" w:type="dxa"/>
            <w:noWrap/>
            <w:vAlign w:val="bottom"/>
          </w:tcPr>
          <w:p>
            <w:pPr>
              <w:pStyle w:val="yTableNAm"/>
            </w:pPr>
            <w:r>
              <w:t>70.75</w:t>
            </w:r>
          </w:p>
        </w:tc>
      </w:tr>
      <w:tr>
        <w:tblPrEx>
          <w:tblCellMar>
            <w:left w:w="108" w:type="dxa"/>
            <w:right w:w="108" w:type="dxa"/>
          </w:tblCellMar>
        </w:tblPrEx>
        <w:trPr>
          <w:trHeight w:val="148"/>
          <w:jc w:val="center"/>
        </w:trPr>
        <w:tc>
          <w:tcPr>
            <w:tcW w:w="4535" w:type="dxa"/>
            <w:noWrap/>
            <w:vAlign w:val="bottom"/>
          </w:tcPr>
          <w:p>
            <w:pPr>
              <w:pStyle w:val="yTableNAm"/>
            </w:pPr>
            <w:r>
              <w:t>55709</w:t>
            </w:r>
          </w:p>
        </w:tc>
        <w:tc>
          <w:tcPr>
            <w:tcW w:w="1134" w:type="dxa"/>
            <w:noWrap/>
            <w:vAlign w:val="bottom"/>
          </w:tcPr>
          <w:p>
            <w:pPr>
              <w:pStyle w:val="yTableNAm"/>
            </w:pPr>
            <w:r>
              <w:t>76.75</w:t>
            </w:r>
          </w:p>
        </w:tc>
      </w:tr>
      <w:tr>
        <w:tblPrEx>
          <w:tblCellMar>
            <w:left w:w="108" w:type="dxa"/>
            <w:right w:w="108" w:type="dxa"/>
          </w:tblCellMar>
        </w:tblPrEx>
        <w:trPr>
          <w:trHeight w:val="148"/>
          <w:jc w:val="center"/>
        </w:trPr>
        <w:tc>
          <w:tcPr>
            <w:tcW w:w="4535" w:type="dxa"/>
            <w:noWrap/>
            <w:vAlign w:val="bottom"/>
          </w:tcPr>
          <w:p>
            <w:pPr>
              <w:pStyle w:val="yTableNAm"/>
            </w:pPr>
            <w:r>
              <w:t>55712</w:t>
            </w:r>
          </w:p>
        </w:tc>
        <w:tc>
          <w:tcPr>
            <w:tcW w:w="1134" w:type="dxa"/>
            <w:noWrap/>
            <w:vAlign w:val="bottom"/>
          </w:tcPr>
          <w:p>
            <w:pPr>
              <w:pStyle w:val="yTableNAm"/>
            </w:pPr>
            <w:r>
              <w:t>232.30</w:t>
            </w:r>
          </w:p>
        </w:tc>
      </w:tr>
      <w:tr>
        <w:tblPrEx>
          <w:tblCellMar>
            <w:left w:w="108" w:type="dxa"/>
            <w:right w:w="108" w:type="dxa"/>
          </w:tblCellMar>
        </w:tblPrEx>
        <w:trPr>
          <w:trHeight w:val="148"/>
          <w:jc w:val="center"/>
        </w:trPr>
        <w:tc>
          <w:tcPr>
            <w:tcW w:w="4535" w:type="dxa"/>
            <w:noWrap/>
            <w:vAlign w:val="bottom"/>
          </w:tcPr>
          <w:p>
            <w:pPr>
              <w:pStyle w:val="yTableNAm"/>
            </w:pPr>
            <w:r>
              <w:t>55715</w:t>
            </w:r>
          </w:p>
        </w:tc>
        <w:tc>
          <w:tcPr>
            <w:tcW w:w="1134" w:type="dxa"/>
            <w:noWrap/>
            <w:vAlign w:val="bottom"/>
          </w:tcPr>
          <w:p>
            <w:pPr>
              <w:pStyle w:val="yTableNAm"/>
            </w:pPr>
            <w:r>
              <w:t>80.80</w:t>
            </w:r>
          </w:p>
        </w:tc>
      </w:tr>
      <w:tr>
        <w:tblPrEx>
          <w:tblCellMar>
            <w:left w:w="108" w:type="dxa"/>
            <w:right w:w="108" w:type="dxa"/>
          </w:tblCellMar>
        </w:tblPrEx>
        <w:trPr>
          <w:trHeight w:val="148"/>
          <w:jc w:val="center"/>
        </w:trPr>
        <w:tc>
          <w:tcPr>
            <w:tcW w:w="4535" w:type="dxa"/>
            <w:noWrap/>
            <w:vAlign w:val="bottom"/>
          </w:tcPr>
          <w:p>
            <w:pPr>
              <w:pStyle w:val="yTableNAm"/>
            </w:pPr>
            <w:r>
              <w:t>55718</w:t>
            </w:r>
          </w:p>
        </w:tc>
        <w:tc>
          <w:tcPr>
            <w:tcW w:w="1134" w:type="dxa"/>
            <w:noWrap/>
            <w:vAlign w:val="bottom"/>
          </w:tcPr>
          <w:p>
            <w:pPr>
              <w:pStyle w:val="yTableNAm"/>
            </w:pPr>
            <w:r>
              <w:t>201.95</w:t>
            </w:r>
          </w:p>
        </w:tc>
      </w:tr>
      <w:tr>
        <w:tblPrEx>
          <w:tblCellMar>
            <w:left w:w="108" w:type="dxa"/>
            <w:right w:w="108" w:type="dxa"/>
          </w:tblCellMar>
        </w:tblPrEx>
        <w:trPr>
          <w:trHeight w:val="148"/>
          <w:jc w:val="center"/>
        </w:trPr>
        <w:tc>
          <w:tcPr>
            <w:tcW w:w="4535" w:type="dxa"/>
            <w:noWrap/>
            <w:vAlign w:val="bottom"/>
          </w:tcPr>
          <w:p>
            <w:pPr>
              <w:pStyle w:val="yTableNAm"/>
            </w:pPr>
            <w:r>
              <w:t>55721</w:t>
            </w:r>
          </w:p>
        </w:tc>
        <w:tc>
          <w:tcPr>
            <w:tcW w:w="1134" w:type="dxa"/>
            <w:noWrap/>
            <w:vAlign w:val="bottom"/>
          </w:tcPr>
          <w:p>
            <w:pPr>
              <w:pStyle w:val="yTableNAm"/>
            </w:pPr>
            <w:r>
              <w:t>232.30</w:t>
            </w:r>
          </w:p>
        </w:tc>
      </w:tr>
      <w:tr>
        <w:tblPrEx>
          <w:tblCellMar>
            <w:left w:w="108" w:type="dxa"/>
            <w:right w:w="108" w:type="dxa"/>
          </w:tblCellMar>
        </w:tblPrEx>
        <w:trPr>
          <w:trHeight w:val="148"/>
          <w:jc w:val="center"/>
        </w:trPr>
        <w:tc>
          <w:tcPr>
            <w:tcW w:w="4535" w:type="dxa"/>
            <w:noWrap/>
            <w:vAlign w:val="bottom"/>
          </w:tcPr>
          <w:p>
            <w:pPr>
              <w:pStyle w:val="yTableNAm"/>
            </w:pPr>
            <w:r>
              <w:t>55723</w:t>
            </w:r>
          </w:p>
        </w:tc>
        <w:tc>
          <w:tcPr>
            <w:tcW w:w="1134" w:type="dxa"/>
            <w:noWrap/>
            <w:vAlign w:val="bottom"/>
          </w:tcPr>
          <w:p>
            <w:pPr>
              <w:pStyle w:val="yTableNAm"/>
            </w:pPr>
            <w:r>
              <w:t>76.75</w:t>
            </w:r>
          </w:p>
        </w:tc>
      </w:tr>
      <w:tr>
        <w:tblPrEx>
          <w:tblCellMar>
            <w:left w:w="108" w:type="dxa"/>
            <w:right w:w="108" w:type="dxa"/>
          </w:tblCellMar>
        </w:tblPrEx>
        <w:trPr>
          <w:trHeight w:val="148"/>
          <w:jc w:val="center"/>
        </w:trPr>
        <w:tc>
          <w:tcPr>
            <w:tcW w:w="4535" w:type="dxa"/>
            <w:noWrap/>
            <w:vAlign w:val="bottom"/>
          </w:tcPr>
          <w:p>
            <w:pPr>
              <w:pStyle w:val="yTableNAm"/>
            </w:pPr>
            <w:r>
              <w:t>55725</w:t>
            </w:r>
          </w:p>
        </w:tc>
        <w:tc>
          <w:tcPr>
            <w:tcW w:w="1134" w:type="dxa"/>
            <w:noWrap/>
            <w:vAlign w:val="bottom"/>
          </w:tcPr>
          <w:p>
            <w:pPr>
              <w:pStyle w:val="yTableNAm"/>
            </w:pPr>
            <w:r>
              <w:t>80.80</w:t>
            </w:r>
          </w:p>
        </w:tc>
      </w:tr>
      <w:tr>
        <w:tblPrEx>
          <w:tblCellMar>
            <w:left w:w="108" w:type="dxa"/>
            <w:right w:w="108" w:type="dxa"/>
          </w:tblCellMar>
        </w:tblPrEx>
        <w:trPr>
          <w:trHeight w:val="148"/>
          <w:jc w:val="center"/>
        </w:trPr>
        <w:tc>
          <w:tcPr>
            <w:tcW w:w="4535" w:type="dxa"/>
            <w:noWrap/>
            <w:vAlign w:val="bottom"/>
          </w:tcPr>
          <w:p>
            <w:pPr>
              <w:pStyle w:val="yTableNAm"/>
            </w:pPr>
            <w:r>
              <w:t>55729</w:t>
            </w:r>
          </w:p>
        </w:tc>
        <w:tc>
          <w:tcPr>
            <w:tcW w:w="1134" w:type="dxa"/>
            <w:noWrap/>
            <w:vAlign w:val="bottom"/>
          </w:tcPr>
          <w:p>
            <w:pPr>
              <w:pStyle w:val="yTableNAm"/>
            </w:pPr>
            <w:r>
              <w:t>55.05</w:t>
            </w:r>
          </w:p>
        </w:tc>
      </w:tr>
      <w:tr>
        <w:tblPrEx>
          <w:tblCellMar>
            <w:left w:w="108" w:type="dxa"/>
            <w:right w:w="108" w:type="dxa"/>
          </w:tblCellMar>
        </w:tblPrEx>
        <w:trPr>
          <w:trHeight w:val="148"/>
          <w:jc w:val="center"/>
        </w:trPr>
        <w:tc>
          <w:tcPr>
            <w:tcW w:w="4535" w:type="dxa"/>
            <w:noWrap/>
            <w:vAlign w:val="bottom"/>
          </w:tcPr>
          <w:p>
            <w:pPr>
              <w:pStyle w:val="yTableNAm"/>
            </w:pPr>
            <w:r>
              <w:t>55736</w:t>
            </w:r>
          </w:p>
        </w:tc>
        <w:tc>
          <w:tcPr>
            <w:tcW w:w="1134" w:type="dxa"/>
            <w:noWrap/>
            <w:vAlign w:val="bottom"/>
          </w:tcPr>
          <w:p>
            <w:pPr>
              <w:pStyle w:val="yTableNAm"/>
            </w:pPr>
            <w:r>
              <w:t>256.45</w:t>
            </w:r>
          </w:p>
        </w:tc>
      </w:tr>
      <w:tr>
        <w:tblPrEx>
          <w:tblCellMar>
            <w:left w:w="108" w:type="dxa"/>
            <w:right w:w="108" w:type="dxa"/>
          </w:tblCellMar>
        </w:tblPrEx>
        <w:trPr>
          <w:trHeight w:val="148"/>
          <w:jc w:val="center"/>
        </w:trPr>
        <w:tc>
          <w:tcPr>
            <w:tcW w:w="4535" w:type="dxa"/>
            <w:noWrap/>
            <w:vAlign w:val="bottom"/>
          </w:tcPr>
          <w:p>
            <w:pPr>
              <w:pStyle w:val="yTableNAm"/>
            </w:pPr>
            <w:r>
              <w:t>55739</w:t>
            </w:r>
          </w:p>
        </w:tc>
        <w:tc>
          <w:tcPr>
            <w:tcW w:w="1134" w:type="dxa"/>
            <w:noWrap/>
            <w:vAlign w:val="bottom"/>
          </w:tcPr>
          <w:p>
            <w:pPr>
              <w:pStyle w:val="yTableNAm"/>
            </w:pPr>
            <w:r>
              <w:t>115.05</w:t>
            </w:r>
          </w:p>
        </w:tc>
      </w:tr>
      <w:tr>
        <w:tblPrEx>
          <w:tblCellMar>
            <w:left w:w="108" w:type="dxa"/>
            <w:right w:w="108" w:type="dxa"/>
          </w:tblCellMar>
        </w:tblPrEx>
        <w:trPr>
          <w:trHeight w:val="148"/>
          <w:jc w:val="center"/>
        </w:trPr>
        <w:tc>
          <w:tcPr>
            <w:tcW w:w="4535" w:type="dxa"/>
            <w:noWrap/>
            <w:vAlign w:val="bottom"/>
          </w:tcPr>
          <w:p>
            <w:pPr>
              <w:pStyle w:val="yTableNAm"/>
            </w:pPr>
            <w:r>
              <w:t>55759</w:t>
            </w:r>
          </w:p>
        </w:tc>
        <w:tc>
          <w:tcPr>
            <w:tcW w:w="1134" w:type="dxa"/>
            <w:noWrap/>
            <w:vAlign w:val="bottom"/>
          </w:tcPr>
          <w:p>
            <w:pPr>
              <w:pStyle w:val="yTableNAm"/>
            </w:pPr>
            <w:r>
              <w:t>303.00</w:t>
            </w:r>
          </w:p>
        </w:tc>
      </w:tr>
      <w:tr>
        <w:tblPrEx>
          <w:tblCellMar>
            <w:left w:w="108" w:type="dxa"/>
            <w:right w:w="108" w:type="dxa"/>
          </w:tblCellMar>
        </w:tblPrEx>
        <w:trPr>
          <w:trHeight w:val="148"/>
          <w:jc w:val="center"/>
        </w:trPr>
        <w:tc>
          <w:tcPr>
            <w:tcW w:w="4535" w:type="dxa"/>
            <w:noWrap/>
            <w:vAlign w:val="bottom"/>
          </w:tcPr>
          <w:p>
            <w:pPr>
              <w:pStyle w:val="yTableNAm"/>
            </w:pPr>
            <w:r>
              <w:t>55762</w:t>
            </w:r>
          </w:p>
        </w:tc>
        <w:tc>
          <w:tcPr>
            <w:tcW w:w="1134" w:type="dxa"/>
            <w:noWrap/>
            <w:vAlign w:val="bottom"/>
          </w:tcPr>
          <w:p>
            <w:pPr>
              <w:pStyle w:val="yTableNAm"/>
            </w:pPr>
            <w:r>
              <w:t>121.10</w:t>
            </w:r>
          </w:p>
        </w:tc>
      </w:tr>
      <w:tr>
        <w:tblPrEx>
          <w:tblCellMar>
            <w:left w:w="108" w:type="dxa"/>
            <w:right w:w="108" w:type="dxa"/>
          </w:tblCellMar>
        </w:tblPrEx>
        <w:trPr>
          <w:trHeight w:val="148"/>
          <w:jc w:val="center"/>
        </w:trPr>
        <w:tc>
          <w:tcPr>
            <w:tcW w:w="4535" w:type="dxa"/>
            <w:noWrap/>
            <w:vAlign w:val="bottom"/>
          </w:tcPr>
          <w:p>
            <w:pPr>
              <w:pStyle w:val="yTableNAm"/>
            </w:pPr>
            <w:r>
              <w:t>55764</w:t>
            </w:r>
          </w:p>
        </w:tc>
        <w:tc>
          <w:tcPr>
            <w:tcW w:w="1134" w:type="dxa"/>
            <w:noWrap/>
            <w:vAlign w:val="bottom"/>
          </w:tcPr>
          <w:p>
            <w:pPr>
              <w:pStyle w:val="yTableNAm"/>
            </w:pPr>
            <w:r>
              <w:t>323.15</w:t>
            </w:r>
          </w:p>
        </w:tc>
      </w:tr>
      <w:tr>
        <w:tblPrEx>
          <w:tblCellMar>
            <w:left w:w="108" w:type="dxa"/>
            <w:right w:w="108" w:type="dxa"/>
          </w:tblCellMar>
        </w:tblPrEx>
        <w:trPr>
          <w:trHeight w:val="148"/>
          <w:jc w:val="center"/>
        </w:trPr>
        <w:tc>
          <w:tcPr>
            <w:tcW w:w="4535" w:type="dxa"/>
            <w:noWrap/>
            <w:vAlign w:val="bottom"/>
          </w:tcPr>
          <w:p>
            <w:pPr>
              <w:pStyle w:val="yTableNAm"/>
            </w:pPr>
            <w:r>
              <w:t>55766</w:t>
            </w:r>
          </w:p>
        </w:tc>
        <w:tc>
          <w:tcPr>
            <w:tcW w:w="1134" w:type="dxa"/>
            <w:noWrap/>
            <w:vAlign w:val="bottom"/>
          </w:tcPr>
          <w:p>
            <w:pPr>
              <w:pStyle w:val="yTableNAm"/>
            </w:pPr>
            <w:r>
              <w:t>131.20</w:t>
            </w:r>
          </w:p>
        </w:tc>
      </w:tr>
      <w:tr>
        <w:tblPrEx>
          <w:tblCellMar>
            <w:left w:w="108" w:type="dxa"/>
            <w:right w:w="108" w:type="dxa"/>
          </w:tblCellMar>
        </w:tblPrEx>
        <w:trPr>
          <w:trHeight w:val="148"/>
          <w:jc w:val="center"/>
        </w:trPr>
        <w:tc>
          <w:tcPr>
            <w:tcW w:w="4535" w:type="dxa"/>
            <w:noWrap/>
            <w:vAlign w:val="bottom"/>
          </w:tcPr>
          <w:p>
            <w:pPr>
              <w:pStyle w:val="yTableNAm"/>
            </w:pPr>
            <w:r>
              <w:t>55768</w:t>
            </w:r>
          </w:p>
        </w:tc>
        <w:tc>
          <w:tcPr>
            <w:tcW w:w="1134" w:type="dxa"/>
            <w:noWrap/>
            <w:vAlign w:val="bottom"/>
          </w:tcPr>
          <w:p>
            <w:pPr>
              <w:pStyle w:val="yTableNAm"/>
            </w:pPr>
            <w:r>
              <w:t>303.00</w:t>
            </w:r>
          </w:p>
        </w:tc>
      </w:tr>
      <w:tr>
        <w:tblPrEx>
          <w:tblCellMar>
            <w:left w:w="108" w:type="dxa"/>
            <w:right w:w="108" w:type="dxa"/>
          </w:tblCellMar>
        </w:tblPrEx>
        <w:trPr>
          <w:trHeight w:val="148"/>
          <w:jc w:val="center"/>
        </w:trPr>
        <w:tc>
          <w:tcPr>
            <w:tcW w:w="4535" w:type="dxa"/>
            <w:noWrap/>
            <w:vAlign w:val="bottom"/>
          </w:tcPr>
          <w:p>
            <w:pPr>
              <w:pStyle w:val="yTableNAm"/>
            </w:pPr>
            <w:r>
              <w:t>55770</w:t>
            </w:r>
          </w:p>
        </w:tc>
        <w:tc>
          <w:tcPr>
            <w:tcW w:w="1134" w:type="dxa"/>
            <w:noWrap/>
            <w:vAlign w:val="bottom"/>
          </w:tcPr>
          <w:p>
            <w:pPr>
              <w:pStyle w:val="yTableNAm"/>
            </w:pPr>
            <w:r>
              <w:t>121.10</w:t>
            </w:r>
          </w:p>
        </w:tc>
      </w:tr>
      <w:tr>
        <w:tblPrEx>
          <w:tblCellMar>
            <w:left w:w="108" w:type="dxa"/>
            <w:right w:w="108" w:type="dxa"/>
          </w:tblCellMar>
        </w:tblPrEx>
        <w:trPr>
          <w:trHeight w:val="148"/>
          <w:jc w:val="center"/>
        </w:trPr>
        <w:tc>
          <w:tcPr>
            <w:tcW w:w="4535" w:type="dxa"/>
            <w:noWrap/>
            <w:vAlign w:val="bottom"/>
          </w:tcPr>
          <w:p>
            <w:pPr>
              <w:pStyle w:val="yTableNAm"/>
            </w:pPr>
            <w:r>
              <w:t>55772</w:t>
            </w:r>
          </w:p>
        </w:tc>
        <w:tc>
          <w:tcPr>
            <w:tcW w:w="1134" w:type="dxa"/>
            <w:noWrap/>
            <w:vAlign w:val="bottom"/>
          </w:tcPr>
          <w:p>
            <w:pPr>
              <w:pStyle w:val="yTableNAm"/>
            </w:pPr>
            <w:r>
              <w:t>323.15</w:t>
            </w:r>
          </w:p>
        </w:tc>
      </w:tr>
      <w:tr>
        <w:tblPrEx>
          <w:tblCellMar>
            <w:left w:w="108" w:type="dxa"/>
            <w:right w:w="108" w:type="dxa"/>
          </w:tblCellMar>
        </w:tblPrEx>
        <w:trPr>
          <w:trHeight w:val="148"/>
          <w:jc w:val="center"/>
        </w:trPr>
        <w:tc>
          <w:tcPr>
            <w:tcW w:w="4535" w:type="dxa"/>
            <w:noWrap/>
            <w:vAlign w:val="bottom"/>
          </w:tcPr>
          <w:p>
            <w:pPr>
              <w:pStyle w:val="yTableNAm"/>
            </w:pPr>
            <w:r>
              <w:t>55774</w:t>
            </w:r>
          </w:p>
        </w:tc>
        <w:tc>
          <w:tcPr>
            <w:tcW w:w="1134" w:type="dxa"/>
            <w:noWrap/>
            <w:vAlign w:val="bottom"/>
          </w:tcPr>
          <w:p>
            <w:pPr>
              <w:pStyle w:val="yTableNAm"/>
            </w:pPr>
            <w:r>
              <w:t>131.20</w:t>
            </w:r>
          </w:p>
        </w:tc>
      </w:tr>
      <w:tr>
        <w:tblPrEx>
          <w:tblCellMar>
            <w:left w:w="108" w:type="dxa"/>
            <w:right w:w="108" w:type="dxa"/>
          </w:tblCellMar>
        </w:tblPrEx>
        <w:trPr>
          <w:trHeight w:val="148"/>
          <w:jc w:val="center"/>
        </w:trPr>
        <w:tc>
          <w:tcPr>
            <w:tcW w:w="4535" w:type="dxa"/>
            <w:noWrap/>
            <w:vAlign w:val="bottom"/>
          </w:tcPr>
          <w:p>
            <w:pPr>
              <w:pStyle w:val="yTableNAm"/>
            </w:pPr>
            <w:r>
              <w:t>55800</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55802</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55804</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55806</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55808</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55810</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55812</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55814</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55816</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55818</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55820</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55822</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55824</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55826</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55828</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55830</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55832</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55834</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55836</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55838</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55840</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55842</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55844</w:t>
            </w:r>
          </w:p>
        </w:tc>
        <w:tc>
          <w:tcPr>
            <w:tcW w:w="1134" w:type="dxa"/>
            <w:noWrap/>
            <w:vAlign w:val="bottom"/>
          </w:tcPr>
          <w:p>
            <w:pPr>
              <w:pStyle w:val="yTableNAm"/>
            </w:pPr>
            <w:r>
              <w:t>176.40</w:t>
            </w:r>
          </w:p>
        </w:tc>
      </w:tr>
      <w:tr>
        <w:tblPrEx>
          <w:tblCellMar>
            <w:left w:w="108" w:type="dxa"/>
            <w:right w:w="108" w:type="dxa"/>
          </w:tblCellMar>
        </w:tblPrEx>
        <w:trPr>
          <w:trHeight w:val="148"/>
          <w:jc w:val="center"/>
        </w:trPr>
        <w:tc>
          <w:tcPr>
            <w:tcW w:w="4535" w:type="dxa"/>
            <w:noWrap/>
            <w:vAlign w:val="bottom"/>
          </w:tcPr>
          <w:p>
            <w:pPr>
              <w:pStyle w:val="yTableNAm"/>
            </w:pPr>
            <w:r>
              <w:t>55846</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55848</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55850</w:t>
            </w:r>
          </w:p>
        </w:tc>
        <w:tc>
          <w:tcPr>
            <w:tcW w:w="1134" w:type="dxa"/>
            <w:noWrap/>
            <w:vAlign w:val="bottom"/>
          </w:tcPr>
          <w:p>
            <w:pPr>
              <w:pStyle w:val="yTableNAm"/>
            </w:pPr>
            <w:r>
              <w:t>308.65</w:t>
            </w:r>
          </w:p>
        </w:tc>
      </w:tr>
      <w:tr>
        <w:tblPrEx>
          <w:tblCellMar>
            <w:left w:w="108" w:type="dxa"/>
            <w:right w:w="108" w:type="dxa"/>
          </w:tblCellMar>
        </w:tblPrEx>
        <w:trPr>
          <w:trHeight w:val="148"/>
          <w:jc w:val="center"/>
        </w:trPr>
        <w:tc>
          <w:tcPr>
            <w:tcW w:w="4535" w:type="dxa"/>
            <w:noWrap/>
            <w:vAlign w:val="bottom"/>
          </w:tcPr>
          <w:p>
            <w:pPr>
              <w:pStyle w:val="yTableNAm"/>
            </w:pPr>
            <w:r>
              <w:t>55852</w:t>
            </w:r>
          </w:p>
        </w:tc>
        <w:tc>
          <w:tcPr>
            <w:tcW w:w="1134" w:type="dxa"/>
            <w:noWrap/>
            <w:vAlign w:val="bottom"/>
          </w:tcPr>
          <w:p>
            <w:pPr>
              <w:pStyle w:val="yTableNAm"/>
            </w:pPr>
            <w:r>
              <w:t>220.40</w:t>
            </w:r>
          </w:p>
        </w:tc>
      </w:tr>
      <w:tr>
        <w:tblPrEx>
          <w:tblCellMar>
            <w:left w:w="108" w:type="dxa"/>
            <w:right w:w="108" w:type="dxa"/>
          </w:tblCellMar>
        </w:tblPrEx>
        <w:trPr>
          <w:trHeight w:val="72"/>
          <w:jc w:val="center"/>
        </w:trPr>
        <w:tc>
          <w:tcPr>
            <w:tcW w:w="4535" w:type="dxa"/>
            <w:noWrap/>
            <w:vAlign w:val="bottom"/>
          </w:tcPr>
          <w:p>
            <w:pPr>
              <w:pStyle w:val="yTableNAm"/>
            </w:pPr>
            <w:r>
              <w:t>55854</w:t>
            </w:r>
          </w:p>
        </w:tc>
        <w:tc>
          <w:tcPr>
            <w:tcW w:w="1134" w:type="dxa"/>
            <w:noWrap/>
            <w:vAlign w:val="bottom"/>
          </w:tcPr>
          <w:p>
            <w:pPr>
              <w:pStyle w:val="yTableNAm"/>
            </w:pPr>
            <w:r>
              <w:t>76.40</w:t>
            </w:r>
          </w:p>
        </w:tc>
      </w:tr>
    </w:tbl>
    <w:p>
      <w:pPr>
        <w:pStyle w:val="yMiscellaneousBody"/>
        <w:keepNext/>
        <w:ind w:left="709"/>
      </w:pPr>
      <w:r>
        <w:t>COMPUTED TOMOGRAPHY —</w:t>
      </w:r>
      <w:r>
        <w:br/>
        <w:t>EXAMINATION AND REPORT</w:t>
      </w:r>
    </w:p>
    <w:tbl>
      <w:tblPr>
        <w:tblW w:w="0" w:type="auto"/>
        <w:jc w:val="center"/>
        <w:tblInd w:w="273" w:type="dxa"/>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tcPr>
          <w:p>
            <w:pPr>
              <w:pStyle w:val="yTableNAm"/>
              <w:rPr>
                <w:b/>
                <w:bCs/>
              </w:rPr>
            </w:pPr>
            <w:r>
              <w:rPr>
                <w:b/>
                <w:bCs/>
              </w:rPr>
              <w:t>MBS item number</w:t>
            </w:r>
          </w:p>
        </w:tc>
        <w:tc>
          <w:tcPr>
            <w:tcW w:w="1134" w:type="dxa"/>
            <w:tcBorders>
              <w:top w:val="single" w:sz="4" w:space="0" w:color="auto"/>
              <w:bottom w:val="single" w:sz="4" w:space="0" w:color="auto"/>
            </w:tcBorders>
          </w:tcPr>
          <w:p>
            <w:pPr>
              <w:pStyle w:val="yTableNAm"/>
              <w:rPr>
                <w:b/>
                <w:bCs/>
              </w:rPr>
            </w:pPr>
            <w:r>
              <w:rPr>
                <w:b/>
                <w:bCs/>
              </w:rPr>
              <w:t>Fee ($)</w:t>
            </w:r>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yTableNAm"/>
              <w:rPr>
                <w:szCs w:val="22"/>
              </w:rPr>
            </w:pPr>
            <w:r>
              <w:rPr>
                <w:szCs w:val="22"/>
              </w:rPr>
              <w:t>56001</w:t>
            </w:r>
          </w:p>
        </w:tc>
        <w:tc>
          <w:tcPr>
            <w:tcW w:w="1134" w:type="dxa"/>
            <w:tcBorders>
              <w:top w:val="single" w:sz="4" w:space="0" w:color="auto"/>
            </w:tcBorders>
            <w:noWrap/>
            <w:vAlign w:val="bottom"/>
          </w:tcPr>
          <w:p>
            <w:pPr>
              <w:pStyle w:val="yTableNAm"/>
              <w:rPr>
                <w:szCs w:val="22"/>
              </w:rPr>
            </w:pPr>
            <w:r>
              <w:rPr>
                <w:szCs w:val="22"/>
              </w:rPr>
              <w:t>361.75</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56007</w:t>
            </w:r>
          </w:p>
        </w:tc>
        <w:tc>
          <w:tcPr>
            <w:tcW w:w="1134" w:type="dxa"/>
            <w:noWrap/>
            <w:vAlign w:val="bottom"/>
          </w:tcPr>
          <w:p>
            <w:pPr>
              <w:pStyle w:val="yTableNAm"/>
              <w:rPr>
                <w:szCs w:val="22"/>
              </w:rPr>
            </w:pPr>
            <w:r>
              <w:rPr>
                <w:szCs w:val="22"/>
              </w:rPr>
              <w:t>463.70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56010</w:t>
            </w:r>
          </w:p>
        </w:tc>
        <w:tc>
          <w:tcPr>
            <w:tcW w:w="1134" w:type="dxa"/>
            <w:noWrap/>
            <w:vAlign w:val="bottom"/>
          </w:tcPr>
          <w:p>
            <w:pPr>
              <w:pStyle w:val="yTableNAm"/>
              <w:rPr>
                <w:szCs w:val="22"/>
              </w:rPr>
            </w:pPr>
            <w:r>
              <w:rPr>
                <w:szCs w:val="22"/>
              </w:rPr>
              <w:t>467.55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56013</w:t>
            </w:r>
          </w:p>
        </w:tc>
        <w:tc>
          <w:tcPr>
            <w:tcW w:w="1134" w:type="dxa"/>
            <w:noWrap/>
            <w:vAlign w:val="bottom"/>
          </w:tcPr>
          <w:p>
            <w:pPr>
              <w:pStyle w:val="yTableNAm"/>
              <w:rPr>
                <w:szCs w:val="22"/>
              </w:rPr>
            </w:pPr>
            <w:r>
              <w:rPr>
                <w:szCs w:val="22"/>
              </w:rPr>
              <w:t>463.70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56016</w:t>
            </w:r>
          </w:p>
        </w:tc>
        <w:tc>
          <w:tcPr>
            <w:tcW w:w="1134" w:type="dxa"/>
            <w:noWrap/>
            <w:vAlign w:val="bottom"/>
          </w:tcPr>
          <w:p>
            <w:pPr>
              <w:pStyle w:val="yTableNAm"/>
              <w:rPr>
                <w:szCs w:val="22"/>
              </w:rPr>
            </w:pPr>
            <w:r>
              <w:rPr>
                <w:szCs w:val="22"/>
              </w:rPr>
              <w:t>537.90</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56022</w:t>
            </w:r>
          </w:p>
        </w:tc>
        <w:tc>
          <w:tcPr>
            <w:tcW w:w="1134" w:type="dxa"/>
            <w:noWrap/>
            <w:vAlign w:val="bottom"/>
          </w:tcPr>
          <w:p>
            <w:pPr>
              <w:pStyle w:val="yTableNAm"/>
              <w:rPr>
                <w:szCs w:val="22"/>
              </w:rPr>
            </w:pPr>
            <w:r>
              <w:rPr>
                <w:szCs w:val="22"/>
              </w:rPr>
              <w:t>417.35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56028</w:t>
            </w:r>
          </w:p>
        </w:tc>
        <w:tc>
          <w:tcPr>
            <w:tcW w:w="1134" w:type="dxa"/>
            <w:noWrap/>
            <w:vAlign w:val="bottom"/>
          </w:tcPr>
          <w:p>
            <w:pPr>
              <w:pStyle w:val="yTableNAm"/>
              <w:rPr>
                <w:szCs w:val="22"/>
              </w:rPr>
            </w:pPr>
            <w:r>
              <w:rPr>
                <w:szCs w:val="22"/>
              </w:rPr>
              <w:t>624.80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56030</w:t>
            </w:r>
          </w:p>
        </w:tc>
        <w:tc>
          <w:tcPr>
            <w:tcW w:w="1134" w:type="dxa"/>
            <w:noWrap/>
            <w:vAlign w:val="bottom"/>
          </w:tcPr>
          <w:p>
            <w:pPr>
              <w:pStyle w:val="yTableNAm"/>
              <w:rPr>
                <w:szCs w:val="22"/>
              </w:rPr>
            </w:pPr>
            <w:r>
              <w:rPr>
                <w:szCs w:val="22"/>
              </w:rPr>
              <w:t>417.35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56036</w:t>
            </w:r>
          </w:p>
        </w:tc>
        <w:tc>
          <w:tcPr>
            <w:tcW w:w="1134" w:type="dxa"/>
            <w:noWrap/>
            <w:vAlign w:val="bottom"/>
          </w:tcPr>
          <w:p>
            <w:pPr>
              <w:pStyle w:val="yTableNAm"/>
              <w:rPr>
                <w:szCs w:val="22"/>
              </w:rPr>
            </w:pPr>
            <w:r>
              <w:rPr>
                <w:szCs w:val="22"/>
              </w:rPr>
              <w:t>624.80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56041</w:t>
            </w:r>
          </w:p>
        </w:tc>
        <w:tc>
          <w:tcPr>
            <w:tcW w:w="1134" w:type="dxa"/>
            <w:noWrap/>
            <w:vAlign w:val="bottom"/>
          </w:tcPr>
          <w:p>
            <w:pPr>
              <w:pStyle w:val="yTableNAm"/>
              <w:rPr>
                <w:szCs w:val="22"/>
              </w:rPr>
            </w:pPr>
            <w:r>
              <w:rPr>
                <w:szCs w:val="22"/>
              </w:rPr>
              <w:t>183.25</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56047</w:t>
            </w:r>
          </w:p>
        </w:tc>
        <w:tc>
          <w:tcPr>
            <w:tcW w:w="1134" w:type="dxa"/>
            <w:noWrap/>
            <w:vAlign w:val="bottom"/>
          </w:tcPr>
          <w:p>
            <w:pPr>
              <w:pStyle w:val="yTableNAm"/>
              <w:rPr>
                <w:szCs w:val="22"/>
              </w:rPr>
            </w:pPr>
            <w:r>
              <w:rPr>
                <w:szCs w:val="22"/>
              </w:rPr>
              <w:t>234.05</w:t>
            </w:r>
          </w:p>
        </w:tc>
      </w:tr>
      <w:tr>
        <w:tblPrEx>
          <w:tblCellMar>
            <w:left w:w="108" w:type="dxa"/>
            <w:right w:w="108" w:type="dxa"/>
          </w:tblCellMar>
        </w:tblPrEx>
        <w:trPr>
          <w:trHeight w:val="157"/>
          <w:jc w:val="center"/>
        </w:trPr>
        <w:tc>
          <w:tcPr>
            <w:tcW w:w="4535" w:type="dxa"/>
            <w:noWrap/>
            <w:vAlign w:val="bottom"/>
          </w:tcPr>
          <w:p>
            <w:pPr>
              <w:pStyle w:val="yTableNAm"/>
              <w:rPr>
                <w:szCs w:val="22"/>
              </w:rPr>
            </w:pPr>
            <w:r>
              <w:rPr>
                <w:szCs w:val="22"/>
              </w:rPr>
              <w:t>56050</w:t>
            </w:r>
          </w:p>
        </w:tc>
        <w:tc>
          <w:tcPr>
            <w:tcW w:w="1134" w:type="dxa"/>
            <w:noWrap/>
            <w:vAlign w:val="bottom"/>
          </w:tcPr>
          <w:p>
            <w:pPr>
              <w:pStyle w:val="yTableNAm"/>
              <w:rPr>
                <w:szCs w:val="22"/>
              </w:rPr>
            </w:pPr>
            <w:r>
              <w:rPr>
                <w:szCs w:val="22"/>
              </w:rPr>
              <w:t>237.85</w:t>
            </w:r>
          </w:p>
        </w:tc>
      </w:tr>
      <w:tr>
        <w:tblPrEx>
          <w:tblCellMar>
            <w:left w:w="108" w:type="dxa"/>
            <w:right w:w="108" w:type="dxa"/>
          </w:tblCellMar>
        </w:tblPrEx>
        <w:trPr>
          <w:trHeight w:val="157"/>
          <w:jc w:val="center"/>
        </w:trPr>
        <w:tc>
          <w:tcPr>
            <w:tcW w:w="4535" w:type="dxa"/>
            <w:noWrap/>
            <w:vAlign w:val="bottom"/>
          </w:tcPr>
          <w:p>
            <w:pPr>
              <w:pStyle w:val="yTableNAm"/>
              <w:rPr>
                <w:szCs w:val="22"/>
              </w:rPr>
            </w:pPr>
            <w:r>
              <w:rPr>
                <w:szCs w:val="22"/>
              </w:rPr>
              <w:t>56053</w:t>
            </w:r>
          </w:p>
        </w:tc>
        <w:tc>
          <w:tcPr>
            <w:tcW w:w="1134" w:type="dxa"/>
            <w:noWrap/>
            <w:vAlign w:val="bottom"/>
          </w:tcPr>
          <w:p>
            <w:pPr>
              <w:pStyle w:val="yTableNAm"/>
              <w:rPr>
                <w:szCs w:val="22"/>
              </w:rPr>
            </w:pPr>
            <w:r>
              <w:rPr>
                <w:szCs w:val="22"/>
              </w:rPr>
              <w:t>237.85</w:t>
            </w:r>
          </w:p>
        </w:tc>
      </w:tr>
      <w:tr>
        <w:tblPrEx>
          <w:tblCellMar>
            <w:left w:w="108" w:type="dxa"/>
            <w:right w:w="108" w:type="dxa"/>
          </w:tblCellMar>
        </w:tblPrEx>
        <w:trPr>
          <w:trHeight w:val="157"/>
          <w:jc w:val="center"/>
        </w:trPr>
        <w:tc>
          <w:tcPr>
            <w:tcW w:w="4535" w:type="dxa"/>
            <w:noWrap/>
            <w:vAlign w:val="bottom"/>
          </w:tcPr>
          <w:p>
            <w:pPr>
              <w:pStyle w:val="yTableNAm"/>
              <w:rPr>
                <w:szCs w:val="22"/>
              </w:rPr>
            </w:pPr>
            <w:r>
              <w:rPr>
                <w:szCs w:val="22"/>
              </w:rPr>
              <w:t>56056</w:t>
            </w:r>
          </w:p>
        </w:tc>
        <w:tc>
          <w:tcPr>
            <w:tcW w:w="1134" w:type="dxa"/>
            <w:noWrap/>
            <w:vAlign w:val="bottom"/>
          </w:tcPr>
          <w:p>
            <w:pPr>
              <w:pStyle w:val="yTableNAm"/>
              <w:rPr>
                <w:szCs w:val="22"/>
              </w:rPr>
            </w:pPr>
            <w:r>
              <w:rPr>
                <w:szCs w:val="22"/>
              </w:rPr>
              <w:t>288.20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56062</w:t>
            </w:r>
          </w:p>
        </w:tc>
        <w:tc>
          <w:tcPr>
            <w:tcW w:w="1134" w:type="dxa"/>
            <w:noWrap/>
          </w:tcPr>
          <w:p>
            <w:pPr>
              <w:pStyle w:val="yTableNAm"/>
              <w:rPr>
                <w:szCs w:val="22"/>
              </w:rPr>
            </w:pPr>
            <w:r>
              <w:rPr>
                <w:szCs w:val="22"/>
              </w:rPr>
              <w:t>209.80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56068</w:t>
            </w:r>
          </w:p>
        </w:tc>
        <w:tc>
          <w:tcPr>
            <w:tcW w:w="1134" w:type="dxa"/>
            <w:noWrap/>
          </w:tcPr>
          <w:p>
            <w:pPr>
              <w:pStyle w:val="yTableNAm"/>
              <w:rPr>
                <w:szCs w:val="22"/>
              </w:rPr>
            </w:pPr>
            <w:r>
              <w:rPr>
                <w:szCs w:val="22"/>
              </w:rPr>
              <w:t>312.35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56070</w:t>
            </w:r>
          </w:p>
        </w:tc>
        <w:tc>
          <w:tcPr>
            <w:tcW w:w="1134" w:type="dxa"/>
            <w:noWrap/>
          </w:tcPr>
          <w:p>
            <w:pPr>
              <w:pStyle w:val="yTableNAm"/>
              <w:rPr>
                <w:szCs w:val="22"/>
              </w:rPr>
            </w:pPr>
            <w:r>
              <w:rPr>
                <w:szCs w:val="22"/>
              </w:rPr>
              <w:t>209.80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56076</w:t>
            </w:r>
          </w:p>
        </w:tc>
        <w:tc>
          <w:tcPr>
            <w:tcW w:w="1134" w:type="dxa"/>
            <w:noWrap/>
          </w:tcPr>
          <w:p>
            <w:pPr>
              <w:pStyle w:val="yTableNAm"/>
              <w:rPr>
                <w:szCs w:val="22"/>
              </w:rPr>
            </w:pPr>
            <w:r>
              <w:rPr>
                <w:szCs w:val="22"/>
              </w:rPr>
              <w:t>312.35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56101</w:t>
            </w:r>
          </w:p>
        </w:tc>
        <w:tc>
          <w:tcPr>
            <w:tcW w:w="1134" w:type="dxa"/>
            <w:noWrap/>
          </w:tcPr>
          <w:p>
            <w:pPr>
              <w:pStyle w:val="yTableNAm"/>
              <w:rPr>
                <w:szCs w:val="22"/>
              </w:rPr>
            </w:pPr>
            <w:r>
              <w:rPr>
                <w:szCs w:val="22"/>
              </w:rPr>
              <w:t>426.75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56107</w:t>
            </w:r>
          </w:p>
        </w:tc>
        <w:tc>
          <w:tcPr>
            <w:tcW w:w="1134" w:type="dxa"/>
            <w:noWrap/>
          </w:tcPr>
          <w:p>
            <w:pPr>
              <w:pStyle w:val="yTableNAm"/>
              <w:rPr>
                <w:szCs w:val="22"/>
              </w:rPr>
            </w:pPr>
            <w:r>
              <w:rPr>
                <w:szCs w:val="22"/>
              </w:rPr>
              <w:t>630.80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56141</w:t>
            </w:r>
          </w:p>
        </w:tc>
        <w:tc>
          <w:tcPr>
            <w:tcW w:w="1134" w:type="dxa"/>
            <w:noWrap/>
          </w:tcPr>
          <w:p>
            <w:pPr>
              <w:pStyle w:val="yTableNAm"/>
              <w:rPr>
                <w:szCs w:val="22"/>
              </w:rPr>
            </w:pPr>
            <w:r>
              <w:rPr>
                <w:szCs w:val="22"/>
              </w:rPr>
              <w:t>216.00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56147</w:t>
            </w:r>
          </w:p>
        </w:tc>
        <w:tc>
          <w:tcPr>
            <w:tcW w:w="1134" w:type="dxa"/>
            <w:noWrap/>
          </w:tcPr>
          <w:p>
            <w:pPr>
              <w:pStyle w:val="yTableNAm"/>
              <w:rPr>
                <w:szCs w:val="22"/>
              </w:rPr>
            </w:pPr>
            <w:r>
              <w:rPr>
                <w:szCs w:val="22"/>
              </w:rPr>
              <w:t>318.30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56219</w:t>
            </w:r>
          </w:p>
        </w:tc>
        <w:tc>
          <w:tcPr>
            <w:tcW w:w="1134" w:type="dxa"/>
            <w:noWrap/>
          </w:tcPr>
          <w:p>
            <w:pPr>
              <w:pStyle w:val="yTableNAm"/>
              <w:rPr>
                <w:szCs w:val="22"/>
              </w:rPr>
            </w:pPr>
            <w:r>
              <w:rPr>
                <w:szCs w:val="22"/>
              </w:rPr>
              <w:t>605.15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56220</w:t>
            </w:r>
          </w:p>
        </w:tc>
        <w:tc>
          <w:tcPr>
            <w:tcW w:w="1134" w:type="dxa"/>
            <w:noWrap/>
          </w:tcPr>
          <w:p>
            <w:pPr>
              <w:pStyle w:val="yTableNAm"/>
              <w:rPr>
                <w:szCs w:val="22"/>
              </w:rPr>
            </w:pPr>
            <w:r>
              <w:rPr>
                <w:szCs w:val="22"/>
              </w:rPr>
              <w:t>445.20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56221</w:t>
            </w:r>
          </w:p>
        </w:tc>
        <w:tc>
          <w:tcPr>
            <w:tcW w:w="1134" w:type="dxa"/>
            <w:noWrap/>
          </w:tcPr>
          <w:p>
            <w:pPr>
              <w:pStyle w:val="yTableNAm"/>
              <w:rPr>
                <w:szCs w:val="22"/>
              </w:rPr>
            </w:pPr>
            <w:r>
              <w:rPr>
                <w:szCs w:val="22"/>
              </w:rPr>
              <w:t>445.20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56223</w:t>
            </w:r>
          </w:p>
        </w:tc>
        <w:tc>
          <w:tcPr>
            <w:tcW w:w="1134" w:type="dxa"/>
            <w:noWrap/>
          </w:tcPr>
          <w:p>
            <w:pPr>
              <w:pStyle w:val="yTableNAm"/>
              <w:rPr>
                <w:szCs w:val="22"/>
              </w:rPr>
            </w:pPr>
            <w:r>
              <w:rPr>
                <w:szCs w:val="22"/>
              </w:rPr>
              <w:t>445.20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56224</w:t>
            </w:r>
          </w:p>
        </w:tc>
        <w:tc>
          <w:tcPr>
            <w:tcW w:w="1134" w:type="dxa"/>
            <w:noWrap/>
          </w:tcPr>
          <w:p>
            <w:pPr>
              <w:pStyle w:val="yTableNAm"/>
              <w:rPr>
                <w:szCs w:val="22"/>
              </w:rPr>
            </w:pPr>
            <w:r>
              <w:rPr>
                <w:szCs w:val="22"/>
              </w:rPr>
              <w:t>651.80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56225</w:t>
            </w:r>
          </w:p>
        </w:tc>
        <w:tc>
          <w:tcPr>
            <w:tcW w:w="1134" w:type="dxa"/>
            <w:noWrap/>
          </w:tcPr>
          <w:p>
            <w:pPr>
              <w:pStyle w:val="yTableNAm"/>
              <w:rPr>
                <w:szCs w:val="22"/>
              </w:rPr>
            </w:pPr>
            <w:r>
              <w:rPr>
                <w:szCs w:val="22"/>
              </w:rPr>
              <w:t>651.80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56226</w:t>
            </w:r>
          </w:p>
        </w:tc>
        <w:tc>
          <w:tcPr>
            <w:tcW w:w="1134" w:type="dxa"/>
            <w:noWrap/>
          </w:tcPr>
          <w:p>
            <w:pPr>
              <w:pStyle w:val="yTableNAm"/>
              <w:rPr>
                <w:szCs w:val="22"/>
              </w:rPr>
            </w:pPr>
            <w:r>
              <w:rPr>
                <w:szCs w:val="22"/>
              </w:rPr>
              <w:t>651.80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56227</w:t>
            </w:r>
          </w:p>
        </w:tc>
        <w:tc>
          <w:tcPr>
            <w:tcW w:w="1134" w:type="dxa"/>
            <w:noWrap/>
          </w:tcPr>
          <w:p>
            <w:pPr>
              <w:pStyle w:val="yTableNAm"/>
              <w:rPr>
                <w:szCs w:val="22"/>
              </w:rPr>
            </w:pPr>
            <w:r>
              <w:rPr>
                <w:szCs w:val="22"/>
              </w:rPr>
              <w:t>227.15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56228</w:t>
            </w:r>
          </w:p>
        </w:tc>
        <w:tc>
          <w:tcPr>
            <w:tcW w:w="1134" w:type="dxa"/>
            <w:noWrap/>
          </w:tcPr>
          <w:p>
            <w:pPr>
              <w:pStyle w:val="yTableNAm"/>
              <w:rPr>
                <w:szCs w:val="22"/>
              </w:rPr>
            </w:pPr>
            <w:r>
              <w:rPr>
                <w:szCs w:val="22"/>
              </w:rPr>
              <w:t>227.15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56229</w:t>
            </w:r>
          </w:p>
        </w:tc>
        <w:tc>
          <w:tcPr>
            <w:tcW w:w="1134" w:type="dxa"/>
            <w:noWrap/>
          </w:tcPr>
          <w:p>
            <w:pPr>
              <w:pStyle w:val="yTableNAm"/>
              <w:rPr>
                <w:szCs w:val="22"/>
              </w:rPr>
            </w:pPr>
            <w:r>
              <w:rPr>
                <w:szCs w:val="22"/>
              </w:rPr>
              <w:t>227.15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56230</w:t>
            </w:r>
          </w:p>
        </w:tc>
        <w:tc>
          <w:tcPr>
            <w:tcW w:w="1134" w:type="dxa"/>
            <w:noWrap/>
          </w:tcPr>
          <w:p>
            <w:pPr>
              <w:pStyle w:val="yTableNAm"/>
              <w:rPr>
                <w:szCs w:val="22"/>
              </w:rPr>
            </w:pPr>
            <w:r>
              <w:rPr>
                <w:szCs w:val="22"/>
              </w:rPr>
              <w:t>329.15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56231</w:t>
            </w:r>
          </w:p>
        </w:tc>
        <w:tc>
          <w:tcPr>
            <w:tcW w:w="1134" w:type="dxa"/>
            <w:noWrap/>
          </w:tcPr>
          <w:p>
            <w:pPr>
              <w:pStyle w:val="yTableNAm"/>
              <w:rPr>
                <w:szCs w:val="22"/>
              </w:rPr>
            </w:pPr>
            <w:r>
              <w:rPr>
                <w:szCs w:val="22"/>
              </w:rPr>
              <w:t>329.15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56232</w:t>
            </w:r>
          </w:p>
        </w:tc>
        <w:tc>
          <w:tcPr>
            <w:tcW w:w="1134" w:type="dxa"/>
            <w:noWrap/>
          </w:tcPr>
          <w:p>
            <w:pPr>
              <w:pStyle w:val="yTableNAm"/>
              <w:rPr>
                <w:szCs w:val="22"/>
              </w:rPr>
            </w:pPr>
            <w:r>
              <w:rPr>
                <w:szCs w:val="22"/>
              </w:rPr>
              <w:t>329.15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56233</w:t>
            </w:r>
          </w:p>
        </w:tc>
        <w:tc>
          <w:tcPr>
            <w:tcW w:w="1134" w:type="dxa"/>
            <w:noWrap/>
          </w:tcPr>
          <w:p>
            <w:pPr>
              <w:pStyle w:val="yTableNAm"/>
              <w:rPr>
                <w:szCs w:val="22"/>
              </w:rPr>
            </w:pPr>
            <w:r>
              <w:rPr>
                <w:szCs w:val="22"/>
              </w:rPr>
              <w:t>445.20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56234</w:t>
            </w:r>
          </w:p>
        </w:tc>
        <w:tc>
          <w:tcPr>
            <w:tcW w:w="1134" w:type="dxa"/>
            <w:noWrap/>
          </w:tcPr>
          <w:p>
            <w:pPr>
              <w:pStyle w:val="yTableNAm"/>
              <w:rPr>
                <w:szCs w:val="22"/>
              </w:rPr>
            </w:pPr>
            <w:r>
              <w:rPr>
                <w:szCs w:val="22"/>
              </w:rPr>
              <w:t>651.80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56235</w:t>
            </w:r>
          </w:p>
        </w:tc>
        <w:tc>
          <w:tcPr>
            <w:tcW w:w="1134" w:type="dxa"/>
            <w:noWrap/>
          </w:tcPr>
          <w:p>
            <w:pPr>
              <w:pStyle w:val="yTableNAm"/>
              <w:rPr>
                <w:szCs w:val="22"/>
              </w:rPr>
            </w:pPr>
            <w:r>
              <w:rPr>
                <w:szCs w:val="22"/>
              </w:rPr>
              <w:t>227.10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56236</w:t>
            </w:r>
          </w:p>
        </w:tc>
        <w:tc>
          <w:tcPr>
            <w:tcW w:w="1134" w:type="dxa"/>
            <w:noWrap/>
          </w:tcPr>
          <w:p>
            <w:pPr>
              <w:pStyle w:val="yTableNAm"/>
              <w:rPr>
                <w:szCs w:val="22"/>
              </w:rPr>
            </w:pPr>
            <w:r>
              <w:rPr>
                <w:szCs w:val="22"/>
              </w:rPr>
              <w:t>329.15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56237</w:t>
            </w:r>
          </w:p>
        </w:tc>
        <w:tc>
          <w:tcPr>
            <w:tcW w:w="1134" w:type="dxa"/>
            <w:noWrap/>
          </w:tcPr>
          <w:p>
            <w:pPr>
              <w:pStyle w:val="yTableNAm"/>
              <w:rPr>
                <w:szCs w:val="22"/>
              </w:rPr>
            </w:pPr>
            <w:r>
              <w:rPr>
                <w:szCs w:val="22"/>
              </w:rPr>
              <w:t>445.20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56238</w:t>
            </w:r>
          </w:p>
        </w:tc>
        <w:tc>
          <w:tcPr>
            <w:tcW w:w="1134" w:type="dxa"/>
            <w:noWrap/>
          </w:tcPr>
          <w:p>
            <w:pPr>
              <w:pStyle w:val="yTableNAm"/>
              <w:rPr>
                <w:szCs w:val="22"/>
              </w:rPr>
            </w:pPr>
            <w:r>
              <w:rPr>
                <w:szCs w:val="22"/>
              </w:rPr>
              <w:t>651.80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56239</w:t>
            </w:r>
          </w:p>
        </w:tc>
        <w:tc>
          <w:tcPr>
            <w:tcW w:w="1134" w:type="dxa"/>
            <w:noWrap/>
          </w:tcPr>
          <w:p>
            <w:pPr>
              <w:pStyle w:val="yTableNAm"/>
              <w:rPr>
                <w:szCs w:val="22"/>
              </w:rPr>
            </w:pPr>
            <w:r>
              <w:rPr>
                <w:szCs w:val="22"/>
              </w:rPr>
              <w:t>227.10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56240</w:t>
            </w:r>
          </w:p>
        </w:tc>
        <w:tc>
          <w:tcPr>
            <w:tcW w:w="1134" w:type="dxa"/>
            <w:noWrap/>
          </w:tcPr>
          <w:p>
            <w:pPr>
              <w:pStyle w:val="yTableNAm"/>
              <w:rPr>
                <w:szCs w:val="22"/>
              </w:rPr>
            </w:pPr>
            <w:r>
              <w:rPr>
                <w:szCs w:val="22"/>
              </w:rPr>
              <w:t>329.15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56259</w:t>
            </w:r>
          </w:p>
        </w:tc>
        <w:tc>
          <w:tcPr>
            <w:tcW w:w="1134" w:type="dxa"/>
            <w:noWrap/>
          </w:tcPr>
          <w:p>
            <w:pPr>
              <w:pStyle w:val="yTableNAm"/>
              <w:rPr>
                <w:szCs w:val="22"/>
              </w:rPr>
            </w:pPr>
            <w:r>
              <w:rPr>
                <w:szCs w:val="22"/>
              </w:rPr>
              <w:t>305.60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56301</w:t>
            </w:r>
          </w:p>
        </w:tc>
        <w:tc>
          <w:tcPr>
            <w:tcW w:w="1134" w:type="dxa"/>
            <w:noWrap/>
          </w:tcPr>
          <w:p>
            <w:pPr>
              <w:pStyle w:val="yTableNAm"/>
              <w:rPr>
                <w:szCs w:val="22"/>
              </w:rPr>
            </w:pPr>
            <w:r>
              <w:rPr>
                <w:szCs w:val="22"/>
              </w:rPr>
              <w:t>547.20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56307</w:t>
            </w:r>
          </w:p>
        </w:tc>
        <w:tc>
          <w:tcPr>
            <w:tcW w:w="1134" w:type="dxa"/>
            <w:noWrap/>
          </w:tcPr>
          <w:p>
            <w:pPr>
              <w:pStyle w:val="yTableNAm"/>
              <w:rPr>
                <w:szCs w:val="22"/>
              </w:rPr>
            </w:pPr>
            <w:r>
              <w:rPr>
                <w:szCs w:val="22"/>
              </w:rPr>
              <w:t>741.80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56341</w:t>
            </w:r>
          </w:p>
        </w:tc>
        <w:tc>
          <w:tcPr>
            <w:tcW w:w="1134" w:type="dxa"/>
            <w:noWrap/>
          </w:tcPr>
          <w:p>
            <w:pPr>
              <w:pStyle w:val="yTableNAm"/>
              <w:rPr>
                <w:szCs w:val="22"/>
              </w:rPr>
            </w:pPr>
            <w:r>
              <w:rPr>
                <w:szCs w:val="22"/>
              </w:rPr>
              <w:t>277.25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56347</w:t>
            </w:r>
          </w:p>
        </w:tc>
        <w:tc>
          <w:tcPr>
            <w:tcW w:w="1134" w:type="dxa"/>
            <w:noWrap/>
          </w:tcPr>
          <w:p>
            <w:pPr>
              <w:pStyle w:val="yTableNAm"/>
              <w:rPr>
                <w:szCs w:val="22"/>
              </w:rPr>
            </w:pPr>
            <w:r>
              <w:rPr>
                <w:szCs w:val="22"/>
              </w:rPr>
              <w:t>374.65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56401</w:t>
            </w:r>
          </w:p>
        </w:tc>
        <w:tc>
          <w:tcPr>
            <w:tcW w:w="1134" w:type="dxa"/>
            <w:noWrap/>
          </w:tcPr>
          <w:p>
            <w:pPr>
              <w:pStyle w:val="yTableNAm"/>
              <w:rPr>
                <w:szCs w:val="22"/>
              </w:rPr>
            </w:pPr>
            <w:r>
              <w:rPr>
                <w:szCs w:val="22"/>
              </w:rPr>
              <w:t>463.70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56407</w:t>
            </w:r>
          </w:p>
        </w:tc>
        <w:tc>
          <w:tcPr>
            <w:tcW w:w="1134" w:type="dxa"/>
            <w:noWrap/>
          </w:tcPr>
          <w:p>
            <w:pPr>
              <w:pStyle w:val="yTableNAm"/>
              <w:rPr>
                <w:szCs w:val="22"/>
              </w:rPr>
            </w:pPr>
            <w:r>
              <w:rPr>
                <w:szCs w:val="22"/>
              </w:rPr>
              <w:t>667.75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56409</w:t>
            </w:r>
          </w:p>
        </w:tc>
        <w:tc>
          <w:tcPr>
            <w:tcW w:w="1134" w:type="dxa"/>
            <w:noWrap/>
          </w:tcPr>
          <w:p>
            <w:pPr>
              <w:pStyle w:val="yTableNAm"/>
              <w:rPr>
                <w:szCs w:val="22"/>
              </w:rPr>
            </w:pPr>
            <w:r>
              <w:rPr>
                <w:szCs w:val="22"/>
              </w:rPr>
              <w:t>463.70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56412</w:t>
            </w:r>
          </w:p>
        </w:tc>
        <w:tc>
          <w:tcPr>
            <w:tcW w:w="1134" w:type="dxa"/>
            <w:noWrap/>
          </w:tcPr>
          <w:p>
            <w:pPr>
              <w:pStyle w:val="yTableNAm"/>
              <w:rPr>
                <w:szCs w:val="22"/>
              </w:rPr>
            </w:pPr>
            <w:r>
              <w:rPr>
                <w:szCs w:val="22"/>
              </w:rPr>
              <w:t>667.75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56441</w:t>
            </w:r>
          </w:p>
        </w:tc>
        <w:tc>
          <w:tcPr>
            <w:tcW w:w="1134" w:type="dxa"/>
            <w:noWrap/>
          </w:tcPr>
          <w:p>
            <w:pPr>
              <w:pStyle w:val="yTableNAm"/>
              <w:rPr>
                <w:szCs w:val="22"/>
              </w:rPr>
            </w:pPr>
            <w:r>
              <w:rPr>
                <w:szCs w:val="22"/>
              </w:rPr>
              <w:t>235.10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56447</w:t>
            </w:r>
          </w:p>
        </w:tc>
        <w:tc>
          <w:tcPr>
            <w:tcW w:w="1134" w:type="dxa"/>
            <w:noWrap/>
          </w:tcPr>
          <w:p>
            <w:pPr>
              <w:pStyle w:val="yTableNAm"/>
              <w:rPr>
                <w:szCs w:val="22"/>
              </w:rPr>
            </w:pPr>
            <w:r>
              <w:rPr>
                <w:szCs w:val="22"/>
              </w:rPr>
              <w:t>336.60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56449</w:t>
            </w:r>
          </w:p>
        </w:tc>
        <w:tc>
          <w:tcPr>
            <w:tcW w:w="1134" w:type="dxa"/>
            <w:noWrap/>
          </w:tcPr>
          <w:p>
            <w:pPr>
              <w:pStyle w:val="yTableNAm"/>
              <w:rPr>
                <w:szCs w:val="22"/>
              </w:rPr>
            </w:pPr>
            <w:r>
              <w:rPr>
                <w:szCs w:val="22"/>
              </w:rPr>
              <w:t>235.10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56452</w:t>
            </w:r>
          </w:p>
        </w:tc>
        <w:tc>
          <w:tcPr>
            <w:tcW w:w="1134" w:type="dxa"/>
            <w:noWrap/>
          </w:tcPr>
          <w:p>
            <w:pPr>
              <w:pStyle w:val="yTableNAm"/>
              <w:rPr>
                <w:szCs w:val="22"/>
              </w:rPr>
            </w:pPr>
            <w:r>
              <w:rPr>
                <w:szCs w:val="22"/>
              </w:rPr>
              <w:t>336.60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56501</w:t>
            </w:r>
          </w:p>
        </w:tc>
        <w:tc>
          <w:tcPr>
            <w:tcW w:w="1134" w:type="dxa"/>
            <w:noWrap/>
          </w:tcPr>
          <w:p>
            <w:pPr>
              <w:pStyle w:val="yTableNAm"/>
              <w:rPr>
                <w:szCs w:val="22"/>
              </w:rPr>
            </w:pPr>
            <w:r>
              <w:rPr>
                <w:szCs w:val="22"/>
              </w:rPr>
              <w:t>714.15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56507</w:t>
            </w:r>
          </w:p>
        </w:tc>
        <w:tc>
          <w:tcPr>
            <w:tcW w:w="1134" w:type="dxa"/>
            <w:noWrap/>
          </w:tcPr>
          <w:p>
            <w:pPr>
              <w:pStyle w:val="yTableNAm"/>
              <w:rPr>
                <w:szCs w:val="22"/>
              </w:rPr>
            </w:pPr>
            <w:r>
              <w:rPr>
                <w:szCs w:val="22"/>
              </w:rPr>
              <w:t>890.30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56541</w:t>
            </w:r>
          </w:p>
        </w:tc>
        <w:tc>
          <w:tcPr>
            <w:tcW w:w="1134" w:type="dxa"/>
            <w:noWrap/>
          </w:tcPr>
          <w:p>
            <w:pPr>
              <w:pStyle w:val="yTableNAm"/>
              <w:rPr>
                <w:szCs w:val="22"/>
              </w:rPr>
            </w:pPr>
            <w:r>
              <w:rPr>
                <w:szCs w:val="22"/>
              </w:rPr>
              <w:t>358.20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56547</w:t>
            </w:r>
          </w:p>
        </w:tc>
        <w:tc>
          <w:tcPr>
            <w:tcW w:w="1134" w:type="dxa"/>
            <w:noWrap/>
          </w:tcPr>
          <w:p>
            <w:pPr>
              <w:pStyle w:val="yTableNAm"/>
              <w:rPr>
                <w:szCs w:val="22"/>
              </w:rPr>
            </w:pPr>
            <w:r>
              <w:rPr>
                <w:szCs w:val="22"/>
              </w:rPr>
              <w:t>452.15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56619</w:t>
            </w:r>
          </w:p>
        </w:tc>
        <w:tc>
          <w:tcPr>
            <w:tcW w:w="1134" w:type="dxa"/>
            <w:noWrap/>
          </w:tcPr>
          <w:p>
            <w:pPr>
              <w:pStyle w:val="yTableNAm"/>
              <w:rPr>
                <w:szCs w:val="22"/>
              </w:rPr>
            </w:pPr>
            <w:r>
              <w:rPr>
                <w:szCs w:val="22"/>
              </w:rPr>
              <w:t>408.05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56625</w:t>
            </w:r>
          </w:p>
        </w:tc>
        <w:tc>
          <w:tcPr>
            <w:tcW w:w="1134" w:type="dxa"/>
            <w:noWrap/>
          </w:tcPr>
          <w:p>
            <w:pPr>
              <w:pStyle w:val="yTableNAm"/>
              <w:rPr>
                <w:szCs w:val="22"/>
              </w:rPr>
            </w:pPr>
            <w:r>
              <w:rPr>
                <w:szCs w:val="22"/>
              </w:rPr>
              <w:t>620.70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56659</w:t>
            </w:r>
          </w:p>
        </w:tc>
        <w:tc>
          <w:tcPr>
            <w:tcW w:w="1134" w:type="dxa"/>
            <w:noWrap/>
          </w:tcPr>
          <w:p>
            <w:pPr>
              <w:pStyle w:val="yTableNAm"/>
              <w:rPr>
                <w:szCs w:val="22"/>
              </w:rPr>
            </w:pPr>
            <w:r>
              <w:rPr>
                <w:szCs w:val="22"/>
              </w:rPr>
              <w:t>207.95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56665</w:t>
            </w:r>
          </w:p>
        </w:tc>
        <w:tc>
          <w:tcPr>
            <w:tcW w:w="1134" w:type="dxa"/>
            <w:noWrap/>
          </w:tcPr>
          <w:p>
            <w:pPr>
              <w:pStyle w:val="yTableNAm"/>
              <w:rPr>
                <w:szCs w:val="22"/>
              </w:rPr>
            </w:pPr>
            <w:r>
              <w:rPr>
                <w:szCs w:val="22"/>
              </w:rPr>
              <w:t>310.60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56801</w:t>
            </w:r>
          </w:p>
        </w:tc>
        <w:tc>
          <w:tcPr>
            <w:tcW w:w="1134" w:type="dxa"/>
            <w:noWrap/>
          </w:tcPr>
          <w:p>
            <w:pPr>
              <w:pStyle w:val="yTableNAm"/>
              <w:rPr>
                <w:szCs w:val="22"/>
              </w:rPr>
            </w:pPr>
            <w:r>
              <w:rPr>
                <w:szCs w:val="22"/>
              </w:rPr>
              <w:t>865.50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56807</w:t>
            </w:r>
          </w:p>
        </w:tc>
        <w:tc>
          <w:tcPr>
            <w:tcW w:w="1134" w:type="dxa"/>
            <w:noWrap/>
          </w:tcPr>
          <w:p>
            <w:pPr>
              <w:pStyle w:val="yTableNAm"/>
              <w:rPr>
                <w:szCs w:val="22"/>
              </w:rPr>
            </w:pPr>
            <w:r>
              <w:rPr>
                <w:szCs w:val="22"/>
              </w:rPr>
              <w:t>1 038.85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56841</w:t>
            </w:r>
          </w:p>
        </w:tc>
        <w:tc>
          <w:tcPr>
            <w:tcW w:w="1134" w:type="dxa"/>
            <w:noWrap/>
          </w:tcPr>
          <w:p>
            <w:pPr>
              <w:pStyle w:val="yTableNAm"/>
              <w:rPr>
                <w:szCs w:val="22"/>
              </w:rPr>
            </w:pPr>
            <w:r>
              <w:rPr>
                <w:szCs w:val="22"/>
              </w:rPr>
              <w:t>432.75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56847</w:t>
            </w:r>
          </w:p>
        </w:tc>
        <w:tc>
          <w:tcPr>
            <w:tcW w:w="1134" w:type="dxa"/>
            <w:noWrap/>
          </w:tcPr>
          <w:p>
            <w:pPr>
              <w:pStyle w:val="yTableNAm"/>
              <w:rPr>
                <w:szCs w:val="22"/>
              </w:rPr>
            </w:pPr>
            <w:r>
              <w:rPr>
                <w:szCs w:val="22"/>
              </w:rPr>
              <w:t>526.55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57001</w:t>
            </w:r>
          </w:p>
        </w:tc>
        <w:tc>
          <w:tcPr>
            <w:tcW w:w="1134" w:type="dxa"/>
            <w:noWrap/>
          </w:tcPr>
          <w:p>
            <w:pPr>
              <w:pStyle w:val="yTableNAm"/>
              <w:rPr>
                <w:szCs w:val="22"/>
              </w:rPr>
            </w:pPr>
            <w:r>
              <w:rPr>
                <w:szCs w:val="22"/>
              </w:rPr>
              <w:t>865.65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57007</w:t>
            </w:r>
          </w:p>
        </w:tc>
        <w:tc>
          <w:tcPr>
            <w:tcW w:w="1134" w:type="dxa"/>
            <w:noWrap/>
          </w:tcPr>
          <w:p>
            <w:pPr>
              <w:pStyle w:val="yTableNAm"/>
              <w:rPr>
                <w:szCs w:val="22"/>
              </w:rPr>
            </w:pPr>
            <w:r>
              <w:rPr>
                <w:szCs w:val="22"/>
              </w:rPr>
              <w:t>1 053.15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57041</w:t>
            </w:r>
          </w:p>
        </w:tc>
        <w:tc>
          <w:tcPr>
            <w:tcW w:w="1134" w:type="dxa"/>
            <w:noWrap/>
          </w:tcPr>
          <w:p>
            <w:pPr>
              <w:pStyle w:val="yTableNAm"/>
              <w:rPr>
                <w:szCs w:val="22"/>
              </w:rPr>
            </w:pPr>
            <w:r>
              <w:rPr>
                <w:szCs w:val="22"/>
              </w:rPr>
              <w:t>432.85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57047</w:t>
            </w:r>
          </w:p>
        </w:tc>
        <w:tc>
          <w:tcPr>
            <w:tcW w:w="1134" w:type="dxa"/>
            <w:noWrap/>
          </w:tcPr>
          <w:p>
            <w:pPr>
              <w:pStyle w:val="yTableNAm"/>
              <w:rPr>
                <w:szCs w:val="22"/>
              </w:rPr>
            </w:pPr>
            <w:r>
              <w:rPr>
                <w:szCs w:val="22"/>
              </w:rPr>
              <w:t>526.60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57201</w:t>
            </w:r>
          </w:p>
        </w:tc>
        <w:tc>
          <w:tcPr>
            <w:tcW w:w="1134" w:type="dxa"/>
            <w:noWrap/>
          </w:tcPr>
          <w:p>
            <w:pPr>
              <w:pStyle w:val="yTableNAm"/>
              <w:rPr>
                <w:szCs w:val="22"/>
              </w:rPr>
            </w:pPr>
            <w:r>
              <w:rPr>
                <w:szCs w:val="22"/>
              </w:rPr>
              <w:t>287.85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57247</w:t>
            </w:r>
          </w:p>
        </w:tc>
        <w:tc>
          <w:tcPr>
            <w:tcW w:w="1134" w:type="dxa"/>
            <w:noWrap/>
          </w:tcPr>
          <w:p>
            <w:pPr>
              <w:pStyle w:val="yTableNAm"/>
              <w:rPr>
                <w:szCs w:val="22"/>
              </w:rPr>
            </w:pPr>
            <w:r>
              <w:rPr>
                <w:szCs w:val="22"/>
              </w:rPr>
              <w:t>143.75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57341</w:t>
            </w:r>
          </w:p>
        </w:tc>
        <w:tc>
          <w:tcPr>
            <w:tcW w:w="1134" w:type="dxa"/>
            <w:noWrap/>
          </w:tcPr>
          <w:p>
            <w:pPr>
              <w:pStyle w:val="yTableNAm"/>
              <w:rPr>
                <w:szCs w:val="22"/>
              </w:rPr>
            </w:pPr>
            <w:r>
              <w:rPr>
                <w:szCs w:val="22"/>
              </w:rPr>
              <w:t>871.85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57345</w:t>
            </w:r>
          </w:p>
        </w:tc>
        <w:tc>
          <w:tcPr>
            <w:tcW w:w="1134" w:type="dxa"/>
            <w:noWrap/>
          </w:tcPr>
          <w:p>
            <w:pPr>
              <w:pStyle w:val="yTableNAm"/>
              <w:rPr>
                <w:szCs w:val="22"/>
              </w:rPr>
            </w:pPr>
            <w:r>
              <w:rPr>
                <w:szCs w:val="22"/>
              </w:rPr>
              <w:t>448.20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57350</w:t>
            </w:r>
          </w:p>
        </w:tc>
        <w:tc>
          <w:tcPr>
            <w:tcW w:w="1134" w:type="dxa"/>
            <w:noWrap/>
          </w:tcPr>
          <w:p>
            <w:pPr>
              <w:pStyle w:val="yTableNAm"/>
              <w:rPr>
                <w:szCs w:val="22"/>
              </w:rPr>
            </w:pPr>
            <w:r>
              <w:rPr>
                <w:szCs w:val="22"/>
              </w:rPr>
              <w:t>946.00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57351</w:t>
            </w:r>
          </w:p>
        </w:tc>
        <w:tc>
          <w:tcPr>
            <w:tcW w:w="1134" w:type="dxa"/>
            <w:noWrap/>
          </w:tcPr>
          <w:p>
            <w:pPr>
              <w:pStyle w:val="yTableNAm"/>
              <w:rPr>
                <w:szCs w:val="22"/>
              </w:rPr>
            </w:pPr>
            <w:r>
              <w:rPr>
                <w:szCs w:val="22"/>
              </w:rPr>
              <w:t>946.00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57355</w:t>
            </w:r>
          </w:p>
        </w:tc>
        <w:tc>
          <w:tcPr>
            <w:tcW w:w="1134" w:type="dxa"/>
            <w:noWrap/>
          </w:tcPr>
          <w:p>
            <w:pPr>
              <w:pStyle w:val="yTableNAm"/>
              <w:rPr>
                <w:szCs w:val="22"/>
              </w:rPr>
            </w:pPr>
            <w:r>
              <w:rPr>
                <w:szCs w:val="22"/>
              </w:rPr>
              <w:t>490.00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57356</w:t>
            </w:r>
          </w:p>
        </w:tc>
        <w:tc>
          <w:tcPr>
            <w:tcW w:w="1134" w:type="dxa"/>
            <w:noWrap/>
          </w:tcPr>
          <w:p>
            <w:pPr>
              <w:pStyle w:val="yTableNAm"/>
              <w:rPr>
                <w:szCs w:val="22"/>
              </w:rPr>
            </w:pPr>
            <w:r>
              <w:rPr>
                <w:szCs w:val="22"/>
              </w:rPr>
              <w:t>490.00</w:t>
            </w:r>
          </w:p>
        </w:tc>
      </w:tr>
    </w:tbl>
    <w:p>
      <w:pPr>
        <w:pStyle w:val="yMiscellaneousBody"/>
        <w:keepNext/>
        <w:ind w:left="709"/>
      </w:pPr>
      <w:r>
        <w:t>DIAGNOSTIC RADIOLOGY</w:t>
      </w:r>
    </w:p>
    <w:tbl>
      <w:tblPr>
        <w:tblW w:w="0" w:type="auto"/>
        <w:jc w:val="center"/>
        <w:tblInd w:w="299" w:type="dxa"/>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tcPr>
          <w:p>
            <w:pPr>
              <w:pStyle w:val="yTableNAm"/>
              <w:keepNext/>
              <w:rPr>
                <w:b/>
                <w:bCs/>
              </w:rPr>
            </w:pPr>
            <w:r>
              <w:rPr>
                <w:b/>
                <w:bCs/>
              </w:rPr>
              <w:t>MBS item number</w:t>
            </w:r>
          </w:p>
        </w:tc>
        <w:tc>
          <w:tcPr>
            <w:tcW w:w="1134" w:type="dxa"/>
            <w:tcBorders>
              <w:top w:val="single" w:sz="4" w:space="0" w:color="auto"/>
              <w:bottom w:val="single" w:sz="4" w:space="0" w:color="auto"/>
            </w:tcBorders>
          </w:tcPr>
          <w:p>
            <w:pPr>
              <w:pStyle w:val="yTableNAm"/>
              <w:rPr>
                <w:b/>
                <w:bCs/>
              </w:rPr>
            </w:pPr>
            <w:r>
              <w:rPr>
                <w:b/>
                <w:bCs/>
              </w:rPr>
              <w:t>Fee ($)</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57506</w:t>
            </w:r>
          </w:p>
        </w:tc>
        <w:tc>
          <w:tcPr>
            <w:tcW w:w="1134" w:type="dxa"/>
            <w:tcBorders>
              <w:top w:val="single" w:sz="4" w:space="0" w:color="auto"/>
            </w:tcBorders>
            <w:noWrap/>
          </w:tcPr>
          <w:p>
            <w:pPr>
              <w:pStyle w:val="yTableNAm"/>
              <w:rPr>
                <w:szCs w:val="22"/>
              </w:rPr>
            </w:pPr>
            <w:r>
              <w:rPr>
                <w:szCs w:val="22"/>
              </w:rPr>
              <w:t>63.65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57509</w:t>
            </w:r>
          </w:p>
        </w:tc>
        <w:tc>
          <w:tcPr>
            <w:tcW w:w="1134" w:type="dxa"/>
            <w:noWrap/>
          </w:tcPr>
          <w:p>
            <w:pPr>
              <w:pStyle w:val="yTableNAm"/>
              <w:rPr>
                <w:szCs w:val="22"/>
              </w:rPr>
            </w:pPr>
            <w:r>
              <w:rPr>
                <w:szCs w:val="22"/>
              </w:rPr>
              <w:t>85.15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57512</w:t>
            </w:r>
          </w:p>
        </w:tc>
        <w:tc>
          <w:tcPr>
            <w:tcW w:w="1134" w:type="dxa"/>
            <w:noWrap/>
          </w:tcPr>
          <w:p>
            <w:pPr>
              <w:pStyle w:val="yTableNAm"/>
              <w:rPr>
                <w:szCs w:val="22"/>
              </w:rPr>
            </w:pPr>
            <w:r>
              <w:rPr>
                <w:szCs w:val="22"/>
              </w:rPr>
              <w:t>86.80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57515</w:t>
            </w:r>
          </w:p>
        </w:tc>
        <w:tc>
          <w:tcPr>
            <w:tcW w:w="1134" w:type="dxa"/>
            <w:noWrap/>
          </w:tcPr>
          <w:p>
            <w:pPr>
              <w:pStyle w:val="yTableNAm"/>
              <w:rPr>
                <w:szCs w:val="22"/>
              </w:rPr>
            </w:pPr>
            <w:r>
              <w:rPr>
                <w:szCs w:val="22"/>
              </w:rPr>
              <w:t>115.60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57518</w:t>
            </w:r>
          </w:p>
        </w:tc>
        <w:tc>
          <w:tcPr>
            <w:tcW w:w="1134" w:type="dxa"/>
            <w:noWrap/>
          </w:tcPr>
          <w:p>
            <w:pPr>
              <w:pStyle w:val="yTableNAm"/>
              <w:rPr>
                <w:szCs w:val="22"/>
              </w:rPr>
            </w:pPr>
            <w:r>
              <w:rPr>
                <w:szCs w:val="22"/>
              </w:rPr>
              <w:t>69.50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57521</w:t>
            </w:r>
          </w:p>
        </w:tc>
        <w:tc>
          <w:tcPr>
            <w:tcW w:w="1134" w:type="dxa"/>
            <w:noWrap/>
          </w:tcPr>
          <w:p>
            <w:pPr>
              <w:pStyle w:val="yTableNAm"/>
              <w:rPr>
                <w:szCs w:val="22"/>
              </w:rPr>
            </w:pPr>
            <w:r>
              <w:rPr>
                <w:szCs w:val="22"/>
              </w:rPr>
              <w:t>92.95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57524</w:t>
            </w:r>
          </w:p>
        </w:tc>
        <w:tc>
          <w:tcPr>
            <w:tcW w:w="1134" w:type="dxa"/>
            <w:noWrap/>
          </w:tcPr>
          <w:p>
            <w:pPr>
              <w:pStyle w:val="yTableNAm"/>
              <w:rPr>
                <w:szCs w:val="22"/>
              </w:rPr>
            </w:pPr>
            <w:r>
              <w:rPr>
                <w:szCs w:val="22"/>
              </w:rPr>
              <w:t>105.90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57527</w:t>
            </w:r>
          </w:p>
        </w:tc>
        <w:tc>
          <w:tcPr>
            <w:tcW w:w="1134" w:type="dxa"/>
            <w:noWrap/>
          </w:tcPr>
          <w:p>
            <w:pPr>
              <w:pStyle w:val="yTableNAm"/>
              <w:rPr>
                <w:szCs w:val="22"/>
              </w:rPr>
            </w:pPr>
            <w:r>
              <w:rPr>
                <w:szCs w:val="22"/>
              </w:rPr>
              <w:t>140.90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57700</w:t>
            </w:r>
          </w:p>
        </w:tc>
        <w:tc>
          <w:tcPr>
            <w:tcW w:w="1134" w:type="dxa"/>
            <w:noWrap/>
          </w:tcPr>
          <w:p>
            <w:pPr>
              <w:pStyle w:val="yTableNAm"/>
              <w:rPr>
                <w:szCs w:val="22"/>
              </w:rPr>
            </w:pPr>
            <w:r>
              <w:rPr>
                <w:szCs w:val="22"/>
              </w:rPr>
              <w:t>86.80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57703</w:t>
            </w:r>
          </w:p>
        </w:tc>
        <w:tc>
          <w:tcPr>
            <w:tcW w:w="1134" w:type="dxa"/>
            <w:noWrap/>
          </w:tcPr>
          <w:p>
            <w:pPr>
              <w:pStyle w:val="yTableNAm"/>
              <w:rPr>
                <w:szCs w:val="22"/>
              </w:rPr>
            </w:pPr>
            <w:r>
              <w:rPr>
                <w:szCs w:val="22"/>
              </w:rPr>
              <w:t>115.60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57706</w:t>
            </w:r>
          </w:p>
        </w:tc>
        <w:tc>
          <w:tcPr>
            <w:tcW w:w="1134" w:type="dxa"/>
            <w:noWrap/>
          </w:tcPr>
          <w:p>
            <w:pPr>
              <w:pStyle w:val="yTableNAm"/>
              <w:rPr>
                <w:szCs w:val="22"/>
              </w:rPr>
            </w:pPr>
            <w:r>
              <w:rPr>
                <w:szCs w:val="22"/>
              </w:rPr>
              <w:t>69.50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57709</w:t>
            </w:r>
          </w:p>
        </w:tc>
        <w:tc>
          <w:tcPr>
            <w:tcW w:w="1134" w:type="dxa"/>
            <w:noWrap/>
          </w:tcPr>
          <w:p>
            <w:pPr>
              <w:pStyle w:val="yTableNAm"/>
              <w:rPr>
                <w:szCs w:val="22"/>
              </w:rPr>
            </w:pPr>
            <w:r>
              <w:rPr>
                <w:szCs w:val="22"/>
              </w:rPr>
              <w:t>92.95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57712</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57715</w:t>
            </w:r>
          </w:p>
        </w:tc>
        <w:tc>
          <w:tcPr>
            <w:tcW w:w="1134" w:type="dxa"/>
            <w:noWrap/>
          </w:tcPr>
          <w:p>
            <w:pPr>
              <w:pStyle w:val="yTableNAm"/>
              <w:rPr>
                <w:szCs w:val="22"/>
              </w:rPr>
            </w:pPr>
            <w:r>
              <w:rPr>
                <w:szCs w:val="22"/>
              </w:rPr>
              <w:t>130.55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57721</w:t>
            </w:r>
          </w:p>
        </w:tc>
        <w:tc>
          <w:tcPr>
            <w:tcW w:w="1134" w:type="dxa"/>
            <w:noWrap/>
          </w:tcPr>
          <w:p>
            <w:pPr>
              <w:pStyle w:val="yTableNAm"/>
              <w:rPr>
                <w:szCs w:val="22"/>
              </w:rPr>
            </w:pPr>
            <w:r>
              <w:rPr>
                <w:szCs w:val="22"/>
              </w:rPr>
              <w:t>212.55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57901</w:t>
            </w:r>
          </w:p>
        </w:tc>
        <w:tc>
          <w:tcPr>
            <w:tcW w:w="1134" w:type="dxa"/>
            <w:noWrap/>
          </w:tcPr>
          <w:p>
            <w:pPr>
              <w:pStyle w:val="yTableNAm"/>
              <w:rPr>
                <w:szCs w:val="22"/>
              </w:rPr>
            </w:pPr>
            <w:r>
              <w:rPr>
                <w:szCs w:val="22"/>
              </w:rPr>
              <w:t>138.10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57902</w:t>
            </w:r>
          </w:p>
        </w:tc>
        <w:tc>
          <w:tcPr>
            <w:tcW w:w="1134" w:type="dxa"/>
            <w:noWrap/>
          </w:tcPr>
          <w:p>
            <w:pPr>
              <w:pStyle w:val="yTableNAm"/>
              <w:rPr>
                <w:szCs w:val="22"/>
              </w:rPr>
            </w:pPr>
            <w:r>
              <w:rPr>
                <w:szCs w:val="22"/>
              </w:rPr>
              <w:t>138.10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57903</w:t>
            </w:r>
          </w:p>
        </w:tc>
        <w:tc>
          <w:tcPr>
            <w:tcW w:w="1134" w:type="dxa"/>
            <w:noWrap/>
          </w:tcPr>
          <w:p>
            <w:pPr>
              <w:pStyle w:val="yTableNAm"/>
              <w:rPr>
                <w:szCs w:val="22"/>
              </w:rPr>
            </w:pPr>
            <w:r>
              <w:rPr>
                <w:szCs w:val="22"/>
              </w:rPr>
              <w:t>101.25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57906</w:t>
            </w:r>
          </w:p>
        </w:tc>
        <w:tc>
          <w:tcPr>
            <w:tcW w:w="1134" w:type="dxa"/>
            <w:noWrap/>
          </w:tcPr>
          <w:p>
            <w:pPr>
              <w:pStyle w:val="yTableNAm"/>
              <w:rPr>
                <w:szCs w:val="22"/>
              </w:rPr>
            </w:pPr>
            <w:r>
              <w:rPr>
                <w:szCs w:val="22"/>
              </w:rPr>
              <w:t>138.10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57909</w:t>
            </w:r>
          </w:p>
        </w:tc>
        <w:tc>
          <w:tcPr>
            <w:tcW w:w="1134" w:type="dxa"/>
            <w:noWrap/>
          </w:tcPr>
          <w:p>
            <w:pPr>
              <w:pStyle w:val="yTableNAm"/>
              <w:rPr>
                <w:szCs w:val="22"/>
              </w:rPr>
            </w:pPr>
            <w:r>
              <w:rPr>
                <w:szCs w:val="22"/>
              </w:rPr>
              <w:t>138.10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57912</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57915</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57918</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57921</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57924</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57927</w:t>
            </w:r>
          </w:p>
        </w:tc>
        <w:tc>
          <w:tcPr>
            <w:tcW w:w="1134" w:type="dxa"/>
            <w:noWrap/>
          </w:tcPr>
          <w:p>
            <w:pPr>
              <w:pStyle w:val="yTableNAm"/>
              <w:rPr>
                <w:szCs w:val="22"/>
              </w:rPr>
            </w:pPr>
            <w:r>
              <w:rPr>
                <w:szCs w:val="22"/>
              </w:rPr>
              <w:t>106.20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57930</w:t>
            </w:r>
          </w:p>
        </w:tc>
        <w:tc>
          <w:tcPr>
            <w:tcW w:w="1134" w:type="dxa"/>
            <w:noWrap/>
          </w:tcPr>
          <w:p>
            <w:pPr>
              <w:pStyle w:val="yTableNAm"/>
              <w:rPr>
                <w:szCs w:val="22"/>
              </w:rPr>
            </w:pPr>
            <w:r>
              <w:rPr>
                <w:szCs w:val="22"/>
              </w:rPr>
              <w:t>70.50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57933</w:t>
            </w:r>
          </w:p>
        </w:tc>
        <w:tc>
          <w:tcPr>
            <w:tcW w:w="1134" w:type="dxa"/>
            <w:noWrap/>
          </w:tcPr>
          <w:p>
            <w:pPr>
              <w:pStyle w:val="yTableNAm"/>
              <w:rPr>
                <w:szCs w:val="22"/>
              </w:rPr>
            </w:pPr>
            <w:r>
              <w:rPr>
                <w:szCs w:val="22"/>
              </w:rPr>
              <w:t>167.60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57939</w:t>
            </w:r>
          </w:p>
        </w:tc>
        <w:tc>
          <w:tcPr>
            <w:tcW w:w="1134" w:type="dxa"/>
            <w:noWrap/>
          </w:tcPr>
          <w:p>
            <w:pPr>
              <w:pStyle w:val="yTableNAm"/>
              <w:rPr>
                <w:szCs w:val="22"/>
              </w:rPr>
            </w:pPr>
            <w:r>
              <w:rPr>
                <w:szCs w:val="22"/>
              </w:rPr>
              <w:t>138.10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57942</w:t>
            </w:r>
          </w:p>
        </w:tc>
        <w:tc>
          <w:tcPr>
            <w:tcW w:w="1134" w:type="dxa"/>
            <w:noWrap/>
          </w:tcPr>
          <w:p>
            <w:pPr>
              <w:pStyle w:val="yTableNAm"/>
              <w:rPr>
                <w:szCs w:val="22"/>
              </w:rPr>
            </w:pPr>
            <w:r>
              <w:rPr>
                <w:szCs w:val="22"/>
              </w:rPr>
              <w:t>106.20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57945</w:t>
            </w:r>
          </w:p>
        </w:tc>
        <w:tc>
          <w:tcPr>
            <w:tcW w:w="1134" w:type="dxa"/>
            <w:noWrap/>
          </w:tcPr>
          <w:p>
            <w:pPr>
              <w:pStyle w:val="yTableNAm"/>
              <w:rPr>
                <w:szCs w:val="22"/>
              </w:rPr>
            </w:pPr>
            <w:r>
              <w:rPr>
                <w:szCs w:val="22"/>
              </w:rPr>
              <w:t>92.95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57960</w:t>
            </w:r>
          </w:p>
        </w:tc>
        <w:tc>
          <w:tcPr>
            <w:tcW w:w="1134" w:type="dxa"/>
            <w:noWrap/>
          </w:tcPr>
          <w:p>
            <w:pPr>
              <w:pStyle w:val="yTableNAm"/>
              <w:rPr>
                <w:szCs w:val="22"/>
              </w:rPr>
            </w:pPr>
            <w:r>
              <w:rPr>
                <w:szCs w:val="22"/>
              </w:rPr>
              <w:t>101.65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57963</w:t>
            </w:r>
          </w:p>
        </w:tc>
        <w:tc>
          <w:tcPr>
            <w:tcW w:w="1134" w:type="dxa"/>
            <w:noWrap/>
          </w:tcPr>
          <w:p>
            <w:pPr>
              <w:pStyle w:val="yTableNAm"/>
              <w:rPr>
                <w:szCs w:val="22"/>
              </w:rPr>
            </w:pPr>
            <w:r>
              <w:rPr>
                <w:szCs w:val="22"/>
              </w:rPr>
              <w:t>101.65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57966</w:t>
            </w:r>
          </w:p>
        </w:tc>
        <w:tc>
          <w:tcPr>
            <w:tcW w:w="1134" w:type="dxa"/>
            <w:noWrap/>
          </w:tcPr>
          <w:p>
            <w:pPr>
              <w:pStyle w:val="yTableNAm"/>
              <w:rPr>
                <w:szCs w:val="22"/>
              </w:rPr>
            </w:pPr>
            <w:r>
              <w:rPr>
                <w:szCs w:val="22"/>
              </w:rPr>
              <w:t>101.65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57969</w:t>
            </w:r>
          </w:p>
        </w:tc>
        <w:tc>
          <w:tcPr>
            <w:tcW w:w="1134" w:type="dxa"/>
            <w:noWrap/>
          </w:tcPr>
          <w:p>
            <w:pPr>
              <w:pStyle w:val="yTableNAm"/>
              <w:rPr>
                <w:szCs w:val="22"/>
              </w:rPr>
            </w:pPr>
            <w:r>
              <w:rPr>
                <w:szCs w:val="22"/>
              </w:rPr>
              <w:t>101.65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58100</w:t>
            </w:r>
          </w:p>
        </w:tc>
        <w:tc>
          <w:tcPr>
            <w:tcW w:w="1134" w:type="dxa"/>
            <w:noWrap/>
          </w:tcPr>
          <w:p>
            <w:pPr>
              <w:pStyle w:val="yTableNAm"/>
              <w:rPr>
                <w:szCs w:val="22"/>
              </w:rPr>
            </w:pPr>
            <w:r>
              <w:rPr>
                <w:szCs w:val="22"/>
              </w:rPr>
              <w:t>143.75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58103</w:t>
            </w:r>
          </w:p>
        </w:tc>
        <w:tc>
          <w:tcPr>
            <w:tcW w:w="1134" w:type="dxa"/>
            <w:noWrap/>
          </w:tcPr>
          <w:p>
            <w:pPr>
              <w:pStyle w:val="yTableNAm"/>
              <w:rPr>
                <w:szCs w:val="22"/>
              </w:rPr>
            </w:pPr>
            <w:r>
              <w:rPr>
                <w:szCs w:val="22"/>
              </w:rPr>
              <w:t>118.05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58106</w:t>
            </w:r>
          </w:p>
        </w:tc>
        <w:tc>
          <w:tcPr>
            <w:tcW w:w="1134" w:type="dxa"/>
            <w:noWrap/>
          </w:tcPr>
          <w:p>
            <w:pPr>
              <w:pStyle w:val="yTableNAm"/>
              <w:rPr>
                <w:szCs w:val="22"/>
              </w:rPr>
            </w:pPr>
            <w:r>
              <w:rPr>
                <w:szCs w:val="22"/>
              </w:rPr>
              <w:t>164.90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58108</w:t>
            </w:r>
          </w:p>
        </w:tc>
        <w:tc>
          <w:tcPr>
            <w:tcW w:w="1134" w:type="dxa"/>
            <w:noWrap/>
          </w:tcPr>
          <w:p>
            <w:pPr>
              <w:pStyle w:val="yTableNAm"/>
              <w:rPr>
                <w:szCs w:val="22"/>
              </w:rPr>
            </w:pPr>
            <w:r>
              <w:rPr>
                <w:szCs w:val="22"/>
              </w:rPr>
              <w:t>284.65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58109</w:t>
            </w:r>
          </w:p>
        </w:tc>
        <w:tc>
          <w:tcPr>
            <w:tcW w:w="1134" w:type="dxa"/>
            <w:noWrap/>
          </w:tcPr>
          <w:p>
            <w:pPr>
              <w:pStyle w:val="yTableNAm"/>
              <w:rPr>
                <w:szCs w:val="22"/>
              </w:rPr>
            </w:pPr>
            <w:r>
              <w:rPr>
                <w:szCs w:val="22"/>
              </w:rPr>
              <w:t>100.75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58112</w:t>
            </w:r>
          </w:p>
        </w:tc>
        <w:tc>
          <w:tcPr>
            <w:tcW w:w="1134" w:type="dxa"/>
            <w:noWrap/>
          </w:tcPr>
          <w:p>
            <w:pPr>
              <w:pStyle w:val="yTableNAm"/>
              <w:rPr>
                <w:szCs w:val="22"/>
              </w:rPr>
            </w:pPr>
            <w:r>
              <w:rPr>
                <w:szCs w:val="22"/>
              </w:rPr>
              <w:t>208.35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58115</w:t>
            </w:r>
          </w:p>
        </w:tc>
        <w:tc>
          <w:tcPr>
            <w:tcW w:w="1134" w:type="dxa"/>
            <w:noWrap/>
          </w:tcPr>
          <w:p>
            <w:pPr>
              <w:pStyle w:val="yTableNAm"/>
              <w:rPr>
                <w:szCs w:val="22"/>
              </w:rPr>
            </w:pPr>
            <w:r>
              <w:rPr>
                <w:szCs w:val="22"/>
              </w:rPr>
              <w:t>284.65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58300</w:t>
            </w:r>
          </w:p>
        </w:tc>
        <w:tc>
          <w:tcPr>
            <w:tcW w:w="1134" w:type="dxa"/>
            <w:noWrap/>
          </w:tcPr>
          <w:p>
            <w:pPr>
              <w:pStyle w:val="yTableNAm"/>
              <w:rPr>
                <w:szCs w:val="22"/>
              </w:rPr>
            </w:pPr>
            <w:r>
              <w:rPr>
                <w:szCs w:val="22"/>
              </w:rPr>
              <w:t>85.95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58306</w:t>
            </w:r>
          </w:p>
        </w:tc>
        <w:tc>
          <w:tcPr>
            <w:tcW w:w="1134" w:type="dxa"/>
            <w:noWrap/>
          </w:tcPr>
          <w:p>
            <w:pPr>
              <w:pStyle w:val="yTableNAm"/>
              <w:rPr>
                <w:szCs w:val="22"/>
              </w:rPr>
            </w:pPr>
            <w:r>
              <w:rPr>
                <w:szCs w:val="22"/>
              </w:rPr>
              <w:t>191.35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58500</w:t>
            </w:r>
          </w:p>
        </w:tc>
        <w:tc>
          <w:tcPr>
            <w:tcW w:w="1134" w:type="dxa"/>
            <w:noWrap/>
          </w:tcPr>
          <w:p>
            <w:pPr>
              <w:pStyle w:val="yTableNAm"/>
              <w:rPr>
                <w:szCs w:val="22"/>
              </w:rPr>
            </w:pPr>
            <w:r>
              <w:rPr>
                <w:szCs w:val="22"/>
              </w:rPr>
              <w:t>75.70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58503</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58506</w:t>
            </w:r>
          </w:p>
        </w:tc>
        <w:tc>
          <w:tcPr>
            <w:tcW w:w="1134" w:type="dxa"/>
            <w:noWrap/>
          </w:tcPr>
          <w:p>
            <w:pPr>
              <w:pStyle w:val="yTableNAm"/>
              <w:rPr>
                <w:szCs w:val="22"/>
              </w:rPr>
            </w:pPr>
            <w:r>
              <w:rPr>
                <w:szCs w:val="22"/>
              </w:rPr>
              <w:t>130.35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58509</w:t>
            </w:r>
          </w:p>
        </w:tc>
        <w:tc>
          <w:tcPr>
            <w:tcW w:w="1134" w:type="dxa"/>
            <w:noWrap/>
          </w:tcPr>
          <w:p>
            <w:pPr>
              <w:pStyle w:val="yTableNAm"/>
              <w:rPr>
                <w:szCs w:val="22"/>
              </w:rPr>
            </w:pPr>
            <w:r>
              <w:rPr>
                <w:szCs w:val="22"/>
              </w:rPr>
              <w:t>85.15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58521</w:t>
            </w:r>
          </w:p>
        </w:tc>
        <w:tc>
          <w:tcPr>
            <w:tcW w:w="1134" w:type="dxa"/>
            <w:noWrap/>
          </w:tcPr>
          <w:p>
            <w:pPr>
              <w:pStyle w:val="yTableNAm"/>
              <w:rPr>
                <w:szCs w:val="22"/>
              </w:rPr>
            </w:pPr>
            <w:r>
              <w:rPr>
                <w:szCs w:val="22"/>
              </w:rPr>
              <w:t>92.95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58524</w:t>
            </w:r>
          </w:p>
        </w:tc>
        <w:tc>
          <w:tcPr>
            <w:tcW w:w="1134" w:type="dxa"/>
            <w:noWrap/>
          </w:tcPr>
          <w:p>
            <w:pPr>
              <w:pStyle w:val="yTableNAm"/>
              <w:rPr>
                <w:szCs w:val="22"/>
              </w:rPr>
            </w:pPr>
            <w:r>
              <w:rPr>
                <w:szCs w:val="22"/>
              </w:rPr>
              <w:t>121.05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58527</w:t>
            </w:r>
          </w:p>
        </w:tc>
        <w:tc>
          <w:tcPr>
            <w:tcW w:w="1134" w:type="dxa"/>
            <w:noWrap/>
          </w:tcPr>
          <w:p>
            <w:pPr>
              <w:pStyle w:val="yTableNAm"/>
              <w:rPr>
                <w:szCs w:val="22"/>
              </w:rPr>
            </w:pPr>
            <w:r>
              <w:rPr>
                <w:szCs w:val="22"/>
              </w:rPr>
              <w:t>148.60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58700</w:t>
            </w:r>
          </w:p>
        </w:tc>
        <w:tc>
          <w:tcPr>
            <w:tcW w:w="1134" w:type="dxa"/>
            <w:noWrap/>
          </w:tcPr>
          <w:p>
            <w:pPr>
              <w:pStyle w:val="yTableNAm"/>
              <w:rPr>
                <w:szCs w:val="22"/>
              </w:rPr>
            </w:pPr>
            <w:r>
              <w:rPr>
                <w:szCs w:val="22"/>
              </w:rPr>
              <w:t>98.80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58706</w:t>
            </w:r>
          </w:p>
        </w:tc>
        <w:tc>
          <w:tcPr>
            <w:tcW w:w="1134" w:type="dxa"/>
            <w:noWrap/>
          </w:tcPr>
          <w:p>
            <w:pPr>
              <w:pStyle w:val="yTableNAm"/>
              <w:rPr>
                <w:szCs w:val="22"/>
              </w:rPr>
            </w:pPr>
            <w:r>
              <w:rPr>
                <w:szCs w:val="22"/>
              </w:rPr>
              <w:t>338.20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58715</w:t>
            </w:r>
          </w:p>
        </w:tc>
        <w:tc>
          <w:tcPr>
            <w:tcW w:w="1134" w:type="dxa"/>
            <w:noWrap/>
          </w:tcPr>
          <w:p>
            <w:pPr>
              <w:pStyle w:val="yTableNAm"/>
              <w:rPr>
                <w:szCs w:val="22"/>
              </w:rPr>
            </w:pPr>
            <w:r>
              <w:rPr>
                <w:szCs w:val="22"/>
              </w:rPr>
              <w:t>324.65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58718</w:t>
            </w:r>
          </w:p>
        </w:tc>
        <w:tc>
          <w:tcPr>
            <w:tcW w:w="1134" w:type="dxa"/>
            <w:noWrap/>
          </w:tcPr>
          <w:p>
            <w:pPr>
              <w:pStyle w:val="yTableNAm"/>
              <w:rPr>
                <w:szCs w:val="22"/>
              </w:rPr>
            </w:pPr>
            <w:r>
              <w:rPr>
                <w:szCs w:val="22"/>
              </w:rPr>
              <w:t>270.30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58721</w:t>
            </w:r>
          </w:p>
        </w:tc>
        <w:tc>
          <w:tcPr>
            <w:tcW w:w="1134" w:type="dxa"/>
            <w:noWrap/>
          </w:tcPr>
          <w:p>
            <w:pPr>
              <w:pStyle w:val="yTableNAm"/>
              <w:rPr>
                <w:szCs w:val="22"/>
              </w:rPr>
            </w:pPr>
            <w:r>
              <w:rPr>
                <w:szCs w:val="22"/>
              </w:rPr>
              <w:t>296.20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58900</w:t>
            </w:r>
          </w:p>
        </w:tc>
        <w:tc>
          <w:tcPr>
            <w:tcW w:w="1134" w:type="dxa"/>
            <w:noWrap/>
          </w:tcPr>
          <w:p>
            <w:pPr>
              <w:pStyle w:val="yTableNAm"/>
              <w:rPr>
                <w:szCs w:val="22"/>
              </w:rPr>
            </w:pPr>
            <w:r>
              <w:rPr>
                <w:szCs w:val="22"/>
              </w:rPr>
              <w:t>76.40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58903</w:t>
            </w:r>
          </w:p>
        </w:tc>
        <w:tc>
          <w:tcPr>
            <w:tcW w:w="1134" w:type="dxa"/>
            <w:noWrap/>
          </w:tcPr>
          <w:p>
            <w:pPr>
              <w:pStyle w:val="yTableNAm"/>
              <w:rPr>
                <w:szCs w:val="22"/>
              </w:rPr>
            </w:pPr>
            <w:r>
              <w:rPr>
                <w:szCs w:val="22"/>
              </w:rPr>
              <w:t>101.90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58909</w:t>
            </w:r>
          </w:p>
        </w:tc>
        <w:tc>
          <w:tcPr>
            <w:tcW w:w="1134" w:type="dxa"/>
            <w:noWrap/>
          </w:tcPr>
          <w:p>
            <w:pPr>
              <w:pStyle w:val="yTableNAm"/>
              <w:rPr>
                <w:szCs w:val="22"/>
              </w:rPr>
            </w:pPr>
            <w:r>
              <w:rPr>
                <w:szCs w:val="22"/>
              </w:rPr>
              <w:t>192.60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58912</w:t>
            </w:r>
          </w:p>
        </w:tc>
        <w:tc>
          <w:tcPr>
            <w:tcW w:w="1134" w:type="dxa"/>
            <w:noWrap/>
          </w:tcPr>
          <w:p>
            <w:pPr>
              <w:pStyle w:val="yTableNAm"/>
              <w:rPr>
                <w:szCs w:val="22"/>
              </w:rPr>
            </w:pPr>
            <w:r>
              <w:rPr>
                <w:szCs w:val="22"/>
              </w:rPr>
              <w:t>236.20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58915</w:t>
            </w:r>
          </w:p>
        </w:tc>
        <w:tc>
          <w:tcPr>
            <w:tcW w:w="1134" w:type="dxa"/>
            <w:noWrap/>
          </w:tcPr>
          <w:p>
            <w:pPr>
              <w:pStyle w:val="yTableNAm"/>
              <w:rPr>
                <w:szCs w:val="22"/>
              </w:rPr>
            </w:pPr>
            <w:r>
              <w:rPr>
                <w:szCs w:val="22"/>
              </w:rPr>
              <w:t>169.05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58916</w:t>
            </w:r>
          </w:p>
        </w:tc>
        <w:tc>
          <w:tcPr>
            <w:tcW w:w="1134" w:type="dxa"/>
            <w:noWrap/>
          </w:tcPr>
          <w:p>
            <w:pPr>
              <w:pStyle w:val="yTableNAm"/>
              <w:rPr>
                <w:szCs w:val="22"/>
              </w:rPr>
            </w:pPr>
            <w:r>
              <w:rPr>
                <w:szCs w:val="22"/>
              </w:rPr>
              <w:t>296.65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58921</w:t>
            </w:r>
          </w:p>
        </w:tc>
        <w:tc>
          <w:tcPr>
            <w:tcW w:w="1134" w:type="dxa"/>
            <w:noWrap/>
          </w:tcPr>
          <w:p>
            <w:pPr>
              <w:pStyle w:val="yTableNAm"/>
              <w:rPr>
                <w:szCs w:val="22"/>
              </w:rPr>
            </w:pPr>
            <w:r>
              <w:rPr>
                <w:szCs w:val="22"/>
              </w:rPr>
              <w:t>289.75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58927</w:t>
            </w:r>
          </w:p>
        </w:tc>
        <w:tc>
          <w:tcPr>
            <w:tcW w:w="1134" w:type="dxa"/>
            <w:noWrap/>
          </w:tcPr>
          <w:p>
            <w:pPr>
              <w:pStyle w:val="yTableNAm"/>
              <w:rPr>
                <w:szCs w:val="22"/>
              </w:rPr>
            </w:pPr>
            <w:r>
              <w:rPr>
                <w:szCs w:val="22"/>
              </w:rPr>
              <w:t>163.75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58933</w:t>
            </w:r>
          </w:p>
        </w:tc>
        <w:tc>
          <w:tcPr>
            <w:tcW w:w="1134" w:type="dxa"/>
            <w:noWrap/>
          </w:tcPr>
          <w:p>
            <w:pPr>
              <w:pStyle w:val="yTableNAm"/>
              <w:rPr>
                <w:szCs w:val="22"/>
              </w:rPr>
            </w:pPr>
            <w:r>
              <w:rPr>
                <w:szCs w:val="22"/>
              </w:rPr>
              <w:t>440.50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58936</w:t>
            </w:r>
          </w:p>
        </w:tc>
        <w:tc>
          <w:tcPr>
            <w:tcW w:w="1134" w:type="dxa"/>
            <w:noWrap/>
          </w:tcPr>
          <w:p>
            <w:pPr>
              <w:pStyle w:val="yTableNAm"/>
              <w:rPr>
                <w:szCs w:val="22"/>
              </w:rPr>
            </w:pPr>
            <w:r>
              <w:rPr>
                <w:szCs w:val="22"/>
              </w:rPr>
              <w:t>419.80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58939</w:t>
            </w:r>
          </w:p>
        </w:tc>
        <w:tc>
          <w:tcPr>
            <w:tcW w:w="1134" w:type="dxa"/>
            <w:noWrap/>
          </w:tcPr>
          <w:p>
            <w:pPr>
              <w:pStyle w:val="yTableNAm"/>
              <w:rPr>
                <w:szCs w:val="22"/>
              </w:rPr>
            </w:pPr>
            <w:r>
              <w:rPr>
                <w:szCs w:val="22"/>
              </w:rPr>
              <w:t>298.35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59103</w:t>
            </w:r>
          </w:p>
        </w:tc>
        <w:tc>
          <w:tcPr>
            <w:tcW w:w="1134" w:type="dxa"/>
            <w:noWrap/>
          </w:tcPr>
          <w:p>
            <w:pPr>
              <w:pStyle w:val="yTableNAm"/>
              <w:rPr>
                <w:szCs w:val="22"/>
              </w:rPr>
            </w:pPr>
            <w:r>
              <w:rPr>
                <w:szCs w:val="22"/>
              </w:rPr>
              <w:t>45.70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59300</w:t>
            </w:r>
          </w:p>
        </w:tc>
        <w:tc>
          <w:tcPr>
            <w:tcW w:w="1134" w:type="dxa"/>
            <w:noWrap/>
          </w:tcPr>
          <w:p>
            <w:pPr>
              <w:pStyle w:val="yTableNAm"/>
              <w:rPr>
                <w:szCs w:val="22"/>
              </w:rPr>
            </w:pPr>
            <w:r>
              <w:rPr>
                <w:szCs w:val="22"/>
              </w:rPr>
              <w:t>191.80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59303</w:t>
            </w:r>
          </w:p>
        </w:tc>
        <w:tc>
          <w:tcPr>
            <w:tcW w:w="1134" w:type="dxa"/>
            <w:noWrap/>
          </w:tcPr>
          <w:p>
            <w:pPr>
              <w:pStyle w:val="yTableNAm"/>
              <w:rPr>
                <w:szCs w:val="22"/>
              </w:rPr>
            </w:pPr>
            <w:r>
              <w:rPr>
                <w:szCs w:val="22"/>
              </w:rPr>
              <w:t>115.50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59306</w:t>
            </w:r>
          </w:p>
        </w:tc>
        <w:tc>
          <w:tcPr>
            <w:tcW w:w="1134" w:type="dxa"/>
            <w:noWrap/>
          </w:tcPr>
          <w:p>
            <w:pPr>
              <w:pStyle w:val="yTableNAm"/>
              <w:rPr>
                <w:szCs w:val="22"/>
              </w:rPr>
            </w:pPr>
            <w:r>
              <w:rPr>
                <w:szCs w:val="22"/>
              </w:rPr>
              <w:t>214.90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59309</w:t>
            </w:r>
          </w:p>
        </w:tc>
        <w:tc>
          <w:tcPr>
            <w:tcW w:w="1134" w:type="dxa"/>
            <w:noWrap/>
          </w:tcPr>
          <w:p>
            <w:pPr>
              <w:pStyle w:val="yTableNAm"/>
              <w:rPr>
                <w:szCs w:val="22"/>
              </w:rPr>
            </w:pPr>
            <w:r>
              <w:rPr>
                <w:szCs w:val="22"/>
              </w:rPr>
              <w:t>429.55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59312</w:t>
            </w:r>
          </w:p>
        </w:tc>
        <w:tc>
          <w:tcPr>
            <w:tcW w:w="1134" w:type="dxa"/>
            <w:noWrap/>
          </w:tcPr>
          <w:p>
            <w:pPr>
              <w:pStyle w:val="yTableNAm"/>
              <w:rPr>
                <w:szCs w:val="22"/>
              </w:rPr>
            </w:pPr>
            <w:r>
              <w:rPr>
                <w:szCs w:val="22"/>
              </w:rPr>
              <w:t>186.40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59314</w:t>
            </w:r>
          </w:p>
        </w:tc>
        <w:tc>
          <w:tcPr>
            <w:tcW w:w="1134" w:type="dxa"/>
            <w:noWrap/>
          </w:tcPr>
          <w:p>
            <w:pPr>
              <w:pStyle w:val="yTableNAm"/>
              <w:rPr>
                <w:szCs w:val="22"/>
              </w:rPr>
            </w:pPr>
            <w:r>
              <w:rPr>
                <w:szCs w:val="22"/>
              </w:rPr>
              <w:t>112.40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59318</w:t>
            </w:r>
          </w:p>
        </w:tc>
        <w:tc>
          <w:tcPr>
            <w:tcW w:w="1134" w:type="dxa"/>
            <w:noWrap/>
          </w:tcPr>
          <w:p>
            <w:pPr>
              <w:pStyle w:val="yTableNAm"/>
              <w:rPr>
                <w:szCs w:val="22"/>
              </w:rPr>
            </w:pPr>
            <w:r>
              <w:rPr>
                <w:szCs w:val="22"/>
              </w:rPr>
              <w:t>100.80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59700</w:t>
            </w:r>
          </w:p>
        </w:tc>
        <w:tc>
          <w:tcPr>
            <w:tcW w:w="1134" w:type="dxa"/>
            <w:noWrap/>
          </w:tcPr>
          <w:p>
            <w:pPr>
              <w:pStyle w:val="yTableNAm"/>
              <w:rPr>
                <w:szCs w:val="22"/>
              </w:rPr>
            </w:pPr>
            <w:r>
              <w:rPr>
                <w:szCs w:val="22"/>
              </w:rPr>
              <w:t>206.80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59703</w:t>
            </w:r>
          </w:p>
        </w:tc>
        <w:tc>
          <w:tcPr>
            <w:tcW w:w="1134" w:type="dxa"/>
            <w:noWrap/>
          </w:tcPr>
          <w:p>
            <w:pPr>
              <w:pStyle w:val="yTableNAm"/>
              <w:rPr>
                <w:szCs w:val="22"/>
              </w:rPr>
            </w:pPr>
            <w:r>
              <w:rPr>
                <w:szCs w:val="22"/>
              </w:rPr>
              <w:t>162.65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59712</w:t>
            </w:r>
          </w:p>
        </w:tc>
        <w:tc>
          <w:tcPr>
            <w:tcW w:w="1134" w:type="dxa"/>
            <w:noWrap/>
          </w:tcPr>
          <w:p>
            <w:pPr>
              <w:pStyle w:val="yTableNAm"/>
              <w:rPr>
                <w:szCs w:val="22"/>
              </w:rPr>
            </w:pPr>
            <w:r>
              <w:rPr>
                <w:szCs w:val="22"/>
              </w:rPr>
              <w:t>243.60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59715</w:t>
            </w:r>
          </w:p>
        </w:tc>
        <w:tc>
          <w:tcPr>
            <w:tcW w:w="1134" w:type="dxa"/>
            <w:noWrap/>
          </w:tcPr>
          <w:p>
            <w:pPr>
              <w:pStyle w:val="yTableNAm"/>
              <w:rPr>
                <w:szCs w:val="22"/>
              </w:rPr>
            </w:pPr>
            <w:r>
              <w:rPr>
                <w:szCs w:val="22"/>
              </w:rPr>
              <w:t>307.55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59718</w:t>
            </w:r>
          </w:p>
        </w:tc>
        <w:tc>
          <w:tcPr>
            <w:tcW w:w="1134" w:type="dxa"/>
            <w:noWrap/>
          </w:tcPr>
          <w:p>
            <w:pPr>
              <w:pStyle w:val="yTableNAm"/>
              <w:rPr>
                <w:szCs w:val="22"/>
              </w:rPr>
            </w:pPr>
            <w:r>
              <w:rPr>
                <w:szCs w:val="22"/>
              </w:rPr>
              <w:t>288.45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59724</w:t>
            </w:r>
          </w:p>
        </w:tc>
        <w:tc>
          <w:tcPr>
            <w:tcW w:w="1134" w:type="dxa"/>
            <w:noWrap/>
          </w:tcPr>
          <w:p>
            <w:pPr>
              <w:pStyle w:val="yTableNAm"/>
              <w:rPr>
                <w:szCs w:val="22"/>
              </w:rPr>
            </w:pPr>
            <w:r>
              <w:rPr>
                <w:szCs w:val="22"/>
              </w:rPr>
              <w:t>485.15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59733</w:t>
            </w:r>
          </w:p>
        </w:tc>
        <w:tc>
          <w:tcPr>
            <w:tcW w:w="1134" w:type="dxa"/>
            <w:noWrap/>
          </w:tcPr>
          <w:p>
            <w:pPr>
              <w:pStyle w:val="yTableNAm"/>
              <w:rPr>
                <w:szCs w:val="22"/>
              </w:rPr>
            </w:pPr>
            <w:r>
              <w:rPr>
                <w:szCs w:val="22"/>
              </w:rPr>
              <w:t>230.75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59739</w:t>
            </w:r>
          </w:p>
        </w:tc>
        <w:tc>
          <w:tcPr>
            <w:tcW w:w="1134" w:type="dxa"/>
            <w:noWrap/>
          </w:tcPr>
          <w:p>
            <w:pPr>
              <w:pStyle w:val="yTableNAm"/>
              <w:rPr>
                <w:szCs w:val="22"/>
              </w:rPr>
            </w:pPr>
            <w:r>
              <w:rPr>
                <w:szCs w:val="22"/>
              </w:rPr>
              <w:t>158.15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59751</w:t>
            </w:r>
          </w:p>
        </w:tc>
        <w:tc>
          <w:tcPr>
            <w:tcW w:w="1134" w:type="dxa"/>
            <w:noWrap/>
          </w:tcPr>
          <w:p>
            <w:pPr>
              <w:pStyle w:val="yTableNAm"/>
              <w:rPr>
                <w:szCs w:val="22"/>
              </w:rPr>
            </w:pPr>
            <w:r>
              <w:rPr>
                <w:szCs w:val="22"/>
              </w:rPr>
              <w:t>298.10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59754</w:t>
            </w:r>
          </w:p>
        </w:tc>
        <w:tc>
          <w:tcPr>
            <w:tcW w:w="1134" w:type="dxa"/>
            <w:noWrap/>
          </w:tcPr>
          <w:p>
            <w:pPr>
              <w:pStyle w:val="yTableNAm"/>
              <w:rPr>
                <w:szCs w:val="22"/>
              </w:rPr>
            </w:pPr>
            <w:r>
              <w:rPr>
                <w:szCs w:val="22"/>
              </w:rPr>
              <w:t>469.85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59760</w:t>
            </w:r>
          </w:p>
        </w:tc>
        <w:tc>
          <w:tcPr>
            <w:tcW w:w="1134" w:type="dxa"/>
            <w:noWrap/>
          </w:tcPr>
          <w:p>
            <w:pPr>
              <w:pStyle w:val="yTableNAm"/>
              <w:rPr>
                <w:szCs w:val="22"/>
              </w:rPr>
            </w:pPr>
            <w:r>
              <w:rPr>
                <w:szCs w:val="22"/>
              </w:rPr>
              <w:t>246.65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59763</w:t>
            </w:r>
          </w:p>
        </w:tc>
        <w:tc>
          <w:tcPr>
            <w:tcW w:w="1134" w:type="dxa"/>
            <w:noWrap/>
          </w:tcPr>
          <w:p>
            <w:pPr>
              <w:pStyle w:val="yTableNAm"/>
              <w:rPr>
                <w:szCs w:val="22"/>
              </w:rPr>
            </w:pPr>
            <w:r>
              <w:rPr>
                <w:szCs w:val="22"/>
              </w:rPr>
              <w:t>286.90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59903</w:t>
            </w:r>
          </w:p>
        </w:tc>
        <w:tc>
          <w:tcPr>
            <w:tcW w:w="1134" w:type="dxa"/>
            <w:noWrap/>
          </w:tcPr>
          <w:p>
            <w:pPr>
              <w:pStyle w:val="yTableNAm"/>
              <w:rPr>
                <w:szCs w:val="22"/>
              </w:rPr>
            </w:pPr>
            <w:r>
              <w:rPr>
                <w:szCs w:val="22"/>
              </w:rPr>
              <w:t>245.40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59912</w:t>
            </w:r>
          </w:p>
        </w:tc>
        <w:tc>
          <w:tcPr>
            <w:tcW w:w="1134" w:type="dxa"/>
            <w:noWrap/>
          </w:tcPr>
          <w:p>
            <w:pPr>
              <w:pStyle w:val="yTableNAm"/>
              <w:rPr>
                <w:szCs w:val="22"/>
              </w:rPr>
            </w:pPr>
            <w:r>
              <w:rPr>
                <w:szCs w:val="22"/>
              </w:rPr>
              <w:t>653.80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59925</w:t>
            </w:r>
          </w:p>
        </w:tc>
        <w:tc>
          <w:tcPr>
            <w:tcW w:w="1134" w:type="dxa"/>
            <w:noWrap/>
          </w:tcPr>
          <w:p>
            <w:pPr>
              <w:pStyle w:val="yTableNAm"/>
              <w:rPr>
                <w:szCs w:val="22"/>
              </w:rPr>
            </w:pPr>
            <w:r>
              <w:rPr>
                <w:szCs w:val="22"/>
              </w:rPr>
              <w:t>776.35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59970</w:t>
            </w:r>
          </w:p>
        </w:tc>
        <w:tc>
          <w:tcPr>
            <w:tcW w:w="1134" w:type="dxa"/>
            <w:noWrap/>
          </w:tcPr>
          <w:p>
            <w:pPr>
              <w:pStyle w:val="yTableNAm"/>
              <w:rPr>
                <w:szCs w:val="22"/>
              </w:rPr>
            </w:pPr>
            <w:r>
              <w:rPr>
                <w:szCs w:val="22"/>
              </w:rPr>
              <w:t>360.60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59971</w:t>
            </w:r>
          </w:p>
        </w:tc>
        <w:tc>
          <w:tcPr>
            <w:tcW w:w="1134" w:type="dxa"/>
            <w:noWrap/>
          </w:tcPr>
          <w:p>
            <w:pPr>
              <w:pStyle w:val="yTableNAm"/>
              <w:rPr>
                <w:szCs w:val="22"/>
              </w:rPr>
            </w:pPr>
            <w:r>
              <w:rPr>
                <w:szCs w:val="22"/>
              </w:rPr>
              <w:t>122.80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59972</w:t>
            </w:r>
          </w:p>
        </w:tc>
        <w:tc>
          <w:tcPr>
            <w:tcW w:w="1134" w:type="dxa"/>
            <w:noWrap/>
          </w:tcPr>
          <w:p>
            <w:pPr>
              <w:pStyle w:val="yTableNAm"/>
              <w:rPr>
                <w:szCs w:val="22"/>
              </w:rPr>
            </w:pPr>
            <w:r>
              <w:rPr>
                <w:szCs w:val="22"/>
              </w:rPr>
              <w:t>326.75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59973</w:t>
            </w:r>
          </w:p>
        </w:tc>
        <w:tc>
          <w:tcPr>
            <w:tcW w:w="1134" w:type="dxa"/>
            <w:noWrap/>
          </w:tcPr>
          <w:p>
            <w:pPr>
              <w:pStyle w:val="yTableNAm"/>
              <w:rPr>
                <w:szCs w:val="22"/>
              </w:rPr>
            </w:pPr>
            <w:r>
              <w:rPr>
                <w:szCs w:val="22"/>
              </w:rPr>
              <w:t>388.20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59974</w:t>
            </w:r>
          </w:p>
        </w:tc>
        <w:tc>
          <w:tcPr>
            <w:tcW w:w="1134" w:type="dxa"/>
            <w:noWrap/>
          </w:tcPr>
          <w:p>
            <w:pPr>
              <w:pStyle w:val="yTableNAm"/>
              <w:rPr>
                <w:szCs w:val="22"/>
              </w:rPr>
            </w:pPr>
            <w:r>
              <w:rPr>
                <w:szCs w:val="22"/>
              </w:rPr>
              <w:t>180.30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60000</w:t>
            </w:r>
          </w:p>
        </w:tc>
        <w:tc>
          <w:tcPr>
            <w:tcW w:w="1134" w:type="dxa"/>
            <w:noWrap/>
          </w:tcPr>
          <w:p>
            <w:pPr>
              <w:pStyle w:val="y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60003</w:t>
            </w:r>
          </w:p>
        </w:tc>
        <w:tc>
          <w:tcPr>
            <w:tcW w:w="1134" w:type="dxa"/>
            <w:noWrap/>
          </w:tcPr>
          <w:p>
            <w:pPr>
              <w:pStyle w:val="y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60006</w:t>
            </w:r>
          </w:p>
        </w:tc>
        <w:tc>
          <w:tcPr>
            <w:tcW w:w="1134" w:type="dxa"/>
            <w:noWrap/>
          </w:tcPr>
          <w:p>
            <w:pPr>
              <w:pStyle w:val="yTableNAm"/>
              <w:rPr>
                <w:szCs w:val="22"/>
              </w:rPr>
            </w:pPr>
            <w:r>
              <w:rPr>
                <w:szCs w:val="22"/>
              </w:rPr>
              <w:t>2 519.40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60009</w:t>
            </w:r>
          </w:p>
        </w:tc>
        <w:tc>
          <w:tcPr>
            <w:tcW w:w="1134" w:type="dxa"/>
            <w:noWrap/>
          </w:tcPr>
          <w:p>
            <w:pPr>
              <w:pStyle w:val="y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60012</w:t>
            </w:r>
          </w:p>
        </w:tc>
        <w:tc>
          <w:tcPr>
            <w:tcW w:w="1134" w:type="dxa"/>
            <w:noWrap/>
          </w:tcPr>
          <w:p>
            <w:pPr>
              <w:pStyle w:val="y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60015</w:t>
            </w:r>
          </w:p>
        </w:tc>
        <w:tc>
          <w:tcPr>
            <w:tcW w:w="1134" w:type="dxa"/>
            <w:noWrap/>
          </w:tcPr>
          <w:p>
            <w:pPr>
              <w:pStyle w:val="y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60018</w:t>
            </w:r>
          </w:p>
        </w:tc>
        <w:tc>
          <w:tcPr>
            <w:tcW w:w="1134" w:type="dxa"/>
            <w:noWrap/>
          </w:tcPr>
          <w:p>
            <w:pPr>
              <w:pStyle w:val="yTableNAm"/>
              <w:rPr>
                <w:szCs w:val="22"/>
              </w:rPr>
            </w:pPr>
            <w:r>
              <w:rPr>
                <w:szCs w:val="22"/>
              </w:rPr>
              <w:t>2 519.40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60021</w:t>
            </w:r>
          </w:p>
        </w:tc>
        <w:tc>
          <w:tcPr>
            <w:tcW w:w="1134" w:type="dxa"/>
            <w:noWrap/>
          </w:tcPr>
          <w:p>
            <w:pPr>
              <w:pStyle w:val="y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60024</w:t>
            </w:r>
          </w:p>
        </w:tc>
        <w:tc>
          <w:tcPr>
            <w:tcW w:w="1134" w:type="dxa"/>
            <w:noWrap/>
          </w:tcPr>
          <w:p>
            <w:pPr>
              <w:pStyle w:val="y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60027</w:t>
            </w:r>
          </w:p>
        </w:tc>
        <w:tc>
          <w:tcPr>
            <w:tcW w:w="1134" w:type="dxa"/>
            <w:noWrap/>
          </w:tcPr>
          <w:p>
            <w:pPr>
              <w:pStyle w:val="y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60030</w:t>
            </w:r>
          </w:p>
        </w:tc>
        <w:tc>
          <w:tcPr>
            <w:tcW w:w="1134" w:type="dxa"/>
            <w:noWrap/>
          </w:tcPr>
          <w:p>
            <w:pPr>
              <w:pStyle w:val="yTableNAm"/>
              <w:rPr>
                <w:b/>
                <w:szCs w:val="22"/>
              </w:rPr>
            </w:pPr>
            <w:r>
              <w:rPr>
                <w:szCs w:val="22"/>
              </w:rPr>
              <w:t>2 519.40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60033</w:t>
            </w:r>
          </w:p>
        </w:tc>
        <w:tc>
          <w:tcPr>
            <w:tcW w:w="1134" w:type="dxa"/>
            <w:noWrap/>
          </w:tcPr>
          <w:p>
            <w:pPr>
              <w:pStyle w:val="y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60036</w:t>
            </w:r>
          </w:p>
        </w:tc>
        <w:tc>
          <w:tcPr>
            <w:tcW w:w="1134" w:type="dxa"/>
            <w:noWrap/>
          </w:tcPr>
          <w:p>
            <w:pPr>
              <w:pStyle w:val="y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60039</w:t>
            </w:r>
          </w:p>
        </w:tc>
        <w:tc>
          <w:tcPr>
            <w:tcW w:w="1134" w:type="dxa"/>
            <w:noWrap/>
          </w:tcPr>
          <w:p>
            <w:pPr>
              <w:pStyle w:val="y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60042</w:t>
            </w:r>
          </w:p>
        </w:tc>
        <w:tc>
          <w:tcPr>
            <w:tcW w:w="1134" w:type="dxa"/>
            <w:noWrap/>
          </w:tcPr>
          <w:p>
            <w:pPr>
              <w:pStyle w:val="yTableNAm"/>
              <w:rPr>
                <w:szCs w:val="22"/>
              </w:rPr>
            </w:pPr>
            <w:r>
              <w:rPr>
                <w:szCs w:val="22"/>
              </w:rPr>
              <w:t>2 519.40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60045</w:t>
            </w:r>
          </w:p>
        </w:tc>
        <w:tc>
          <w:tcPr>
            <w:tcW w:w="1134" w:type="dxa"/>
            <w:noWrap/>
          </w:tcPr>
          <w:p>
            <w:pPr>
              <w:pStyle w:val="y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60048</w:t>
            </w:r>
          </w:p>
        </w:tc>
        <w:tc>
          <w:tcPr>
            <w:tcW w:w="1134" w:type="dxa"/>
            <w:noWrap/>
          </w:tcPr>
          <w:p>
            <w:pPr>
              <w:pStyle w:val="y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60051</w:t>
            </w:r>
          </w:p>
        </w:tc>
        <w:tc>
          <w:tcPr>
            <w:tcW w:w="1134" w:type="dxa"/>
            <w:noWrap/>
          </w:tcPr>
          <w:p>
            <w:pPr>
              <w:pStyle w:val="y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60054</w:t>
            </w:r>
          </w:p>
        </w:tc>
        <w:tc>
          <w:tcPr>
            <w:tcW w:w="1134" w:type="dxa"/>
            <w:noWrap/>
          </w:tcPr>
          <w:p>
            <w:pPr>
              <w:pStyle w:val="yTableNAm"/>
              <w:rPr>
                <w:szCs w:val="22"/>
              </w:rPr>
            </w:pPr>
            <w:r>
              <w:rPr>
                <w:szCs w:val="22"/>
              </w:rPr>
              <w:t>2 519.40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60057</w:t>
            </w:r>
          </w:p>
        </w:tc>
        <w:tc>
          <w:tcPr>
            <w:tcW w:w="1134" w:type="dxa"/>
            <w:noWrap/>
          </w:tcPr>
          <w:p>
            <w:pPr>
              <w:pStyle w:val="y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60060</w:t>
            </w:r>
          </w:p>
        </w:tc>
        <w:tc>
          <w:tcPr>
            <w:tcW w:w="1134" w:type="dxa"/>
            <w:noWrap/>
          </w:tcPr>
          <w:p>
            <w:pPr>
              <w:pStyle w:val="y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60063</w:t>
            </w:r>
          </w:p>
        </w:tc>
        <w:tc>
          <w:tcPr>
            <w:tcW w:w="1134" w:type="dxa"/>
            <w:noWrap/>
          </w:tcPr>
          <w:p>
            <w:pPr>
              <w:pStyle w:val="y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60066</w:t>
            </w:r>
          </w:p>
        </w:tc>
        <w:tc>
          <w:tcPr>
            <w:tcW w:w="1134" w:type="dxa"/>
            <w:noWrap/>
          </w:tcPr>
          <w:p>
            <w:pPr>
              <w:pStyle w:val="yTableNAm"/>
              <w:rPr>
                <w:szCs w:val="22"/>
              </w:rPr>
            </w:pPr>
            <w:r>
              <w:rPr>
                <w:szCs w:val="22"/>
              </w:rPr>
              <w:t>2 519.40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60069</w:t>
            </w:r>
          </w:p>
        </w:tc>
        <w:tc>
          <w:tcPr>
            <w:tcW w:w="1134" w:type="dxa"/>
            <w:noWrap/>
          </w:tcPr>
          <w:p>
            <w:pPr>
              <w:pStyle w:val="y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60072</w:t>
            </w:r>
          </w:p>
        </w:tc>
        <w:tc>
          <w:tcPr>
            <w:tcW w:w="1134" w:type="dxa"/>
            <w:noWrap/>
          </w:tcPr>
          <w:p>
            <w:pPr>
              <w:pStyle w:val="yTableNAm"/>
              <w:rPr>
                <w:szCs w:val="22"/>
              </w:rPr>
            </w:pPr>
            <w:r>
              <w:rPr>
                <w:szCs w:val="22"/>
              </w:rPr>
              <w:t>103.20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60075</w:t>
            </w:r>
          </w:p>
        </w:tc>
        <w:tc>
          <w:tcPr>
            <w:tcW w:w="1134" w:type="dxa"/>
            <w:noWrap/>
          </w:tcPr>
          <w:p>
            <w:pPr>
              <w:pStyle w:val="yTableNAm"/>
              <w:rPr>
                <w:szCs w:val="22"/>
              </w:rPr>
            </w:pPr>
            <w:r>
              <w:rPr>
                <w:szCs w:val="22"/>
              </w:rPr>
              <w:t>205.90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60078</w:t>
            </w:r>
          </w:p>
        </w:tc>
        <w:tc>
          <w:tcPr>
            <w:tcW w:w="1134" w:type="dxa"/>
            <w:noWrap/>
          </w:tcPr>
          <w:p>
            <w:pPr>
              <w:pStyle w:val="yTableNAm"/>
              <w:rPr>
                <w:szCs w:val="22"/>
              </w:rPr>
            </w:pPr>
            <w:r>
              <w:rPr>
                <w:szCs w:val="22"/>
              </w:rPr>
              <w:t>308.85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60100</w:t>
            </w:r>
          </w:p>
        </w:tc>
        <w:tc>
          <w:tcPr>
            <w:tcW w:w="1134" w:type="dxa"/>
            <w:noWrap/>
          </w:tcPr>
          <w:p>
            <w:pPr>
              <w:pStyle w:val="yTableNAm"/>
              <w:rPr>
                <w:szCs w:val="22"/>
              </w:rPr>
            </w:pPr>
            <w:r>
              <w:rPr>
                <w:szCs w:val="22"/>
              </w:rPr>
              <w:t>130.35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60500</w:t>
            </w:r>
          </w:p>
        </w:tc>
        <w:tc>
          <w:tcPr>
            <w:tcW w:w="1134" w:type="dxa"/>
            <w:noWrap/>
          </w:tcPr>
          <w:p>
            <w:pPr>
              <w:pStyle w:val="yTableNAm"/>
              <w:rPr>
                <w:szCs w:val="22"/>
              </w:rPr>
            </w:pPr>
            <w:r>
              <w:rPr>
                <w:szCs w:val="22"/>
              </w:rPr>
              <w:t>92.95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60503</w:t>
            </w:r>
          </w:p>
        </w:tc>
        <w:tc>
          <w:tcPr>
            <w:tcW w:w="1134" w:type="dxa"/>
            <w:noWrap/>
          </w:tcPr>
          <w:p>
            <w:pPr>
              <w:pStyle w:val="yTableNAm"/>
              <w:rPr>
                <w:szCs w:val="22"/>
              </w:rPr>
            </w:pPr>
            <w:r>
              <w:rPr>
                <w:szCs w:val="22"/>
              </w:rPr>
              <w:t>63.65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60506</w:t>
            </w:r>
          </w:p>
        </w:tc>
        <w:tc>
          <w:tcPr>
            <w:tcW w:w="1134" w:type="dxa"/>
            <w:noWrap/>
          </w:tcPr>
          <w:p>
            <w:pPr>
              <w:pStyle w:val="yTableNAm"/>
              <w:rPr>
                <w:szCs w:val="22"/>
              </w:rPr>
            </w:pPr>
            <w:r>
              <w:rPr>
                <w:szCs w:val="22"/>
              </w:rPr>
              <w:t>136.65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60509</w:t>
            </w:r>
          </w:p>
        </w:tc>
        <w:tc>
          <w:tcPr>
            <w:tcW w:w="1134" w:type="dxa"/>
            <w:noWrap/>
          </w:tcPr>
          <w:p>
            <w:pPr>
              <w:pStyle w:val="yTableNAm"/>
              <w:rPr>
                <w:szCs w:val="22"/>
              </w:rPr>
            </w:pPr>
            <w:r>
              <w:rPr>
                <w:szCs w:val="22"/>
              </w:rPr>
              <w:t>211.80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60918</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60927</w:t>
            </w:r>
          </w:p>
        </w:tc>
        <w:tc>
          <w:tcPr>
            <w:tcW w:w="1134" w:type="dxa"/>
            <w:noWrap/>
          </w:tcPr>
          <w:p>
            <w:pPr>
              <w:pStyle w:val="yTableNAm"/>
              <w:rPr>
                <w:szCs w:val="22"/>
              </w:rPr>
            </w:pPr>
            <w:r>
              <w:rPr>
                <w:szCs w:val="22"/>
              </w:rPr>
              <w:t>81.55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61109</w:t>
            </w:r>
          </w:p>
        </w:tc>
        <w:tc>
          <w:tcPr>
            <w:tcW w:w="1134" w:type="dxa"/>
            <w:noWrap/>
          </w:tcPr>
          <w:p>
            <w:pPr>
              <w:pStyle w:val="yTableNAm"/>
              <w:rPr>
                <w:szCs w:val="22"/>
              </w:rPr>
            </w:pPr>
            <w:r>
              <w:rPr>
                <w:szCs w:val="22"/>
              </w:rPr>
              <w:t>554.60</w:t>
            </w:r>
          </w:p>
        </w:tc>
      </w:tr>
    </w:tbl>
    <w:p>
      <w:pPr>
        <w:pStyle w:val="yMiscellaneousBody"/>
        <w:ind w:left="709"/>
      </w:pPr>
      <w:r>
        <w:t>NUCLEAR MEDICINE IMAGING</w:t>
      </w:r>
    </w:p>
    <w:tbl>
      <w:tblPr>
        <w:tblW w:w="5669" w:type="dxa"/>
        <w:jc w:val="center"/>
        <w:tblInd w:w="1629" w:type="dxa"/>
        <w:tblLayout w:type="fixed"/>
        <w:tblCellMar>
          <w:left w:w="113" w:type="dxa"/>
          <w:right w:w="113" w:type="dxa"/>
        </w:tblCellMar>
        <w:tblLook w:val="0000" w:firstRow="0" w:lastRow="0" w:firstColumn="0" w:lastColumn="0" w:noHBand="0" w:noVBand="0"/>
      </w:tblPr>
      <w:tblGrid>
        <w:gridCol w:w="4535"/>
        <w:gridCol w:w="1134"/>
      </w:tblGrid>
      <w:tr>
        <w:trPr>
          <w:tblHeader/>
          <w:jc w:val="center"/>
        </w:trPr>
        <w:tc>
          <w:tcPr>
            <w:tcW w:w="4535" w:type="dxa"/>
            <w:tcBorders>
              <w:top w:val="single" w:sz="4" w:space="0" w:color="auto"/>
              <w:bottom w:val="single" w:sz="4" w:space="0" w:color="auto"/>
            </w:tcBorders>
          </w:tcPr>
          <w:p>
            <w:pPr>
              <w:pStyle w:val="yTableNAm"/>
              <w:rPr>
                <w:b/>
                <w:bCs/>
              </w:rPr>
            </w:pPr>
            <w:r>
              <w:rPr>
                <w:b/>
                <w:bCs/>
              </w:rPr>
              <w:t>MBS item number</w:t>
            </w:r>
          </w:p>
        </w:tc>
        <w:tc>
          <w:tcPr>
            <w:tcW w:w="1134" w:type="dxa"/>
            <w:tcBorders>
              <w:top w:val="single" w:sz="4" w:space="0" w:color="auto"/>
              <w:bottom w:val="single" w:sz="4" w:space="0" w:color="auto"/>
            </w:tcBorders>
          </w:tcPr>
          <w:p>
            <w:pPr>
              <w:pStyle w:val="yTableNAm"/>
              <w:rPr>
                <w:b/>
                <w:bCs/>
              </w:rPr>
            </w:pPr>
            <w:r>
              <w:rPr>
                <w:b/>
                <w:bCs/>
              </w:rPr>
              <w:t>Fee ($)</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61302</w:t>
            </w:r>
          </w:p>
        </w:tc>
        <w:tc>
          <w:tcPr>
            <w:tcW w:w="1134" w:type="dxa"/>
            <w:tcBorders>
              <w:top w:val="single" w:sz="4" w:space="0" w:color="auto"/>
            </w:tcBorders>
            <w:noWrap/>
          </w:tcPr>
          <w:p>
            <w:pPr>
              <w:pStyle w:val="yTableNAm"/>
              <w:rPr>
                <w:szCs w:val="22"/>
              </w:rPr>
            </w:pPr>
            <w:r>
              <w:rPr>
                <w:szCs w:val="22"/>
              </w:rPr>
              <w:t>740.65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61303</w:t>
            </w:r>
          </w:p>
        </w:tc>
        <w:tc>
          <w:tcPr>
            <w:tcW w:w="1134" w:type="dxa"/>
            <w:noWrap/>
          </w:tcPr>
          <w:p>
            <w:pPr>
              <w:pStyle w:val="yTableNAm"/>
              <w:rPr>
                <w:szCs w:val="22"/>
              </w:rPr>
            </w:pPr>
            <w:r>
              <w:rPr>
                <w:szCs w:val="22"/>
              </w:rPr>
              <w:t>932.70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61306</w:t>
            </w:r>
          </w:p>
        </w:tc>
        <w:tc>
          <w:tcPr>
            <w:tcW w:w="1134" w:type="dxa"/>
            <w:noWrap/>
          </w:tcPr>
          <w:p>
            <w:pPr>
              <w:pStyle w:val="yTableNAm"/>
              <w:rPr>
                <w:szCs w:val="22"/>
              </w:rPr>
            </w:pPr>
            <w:r>
              <w:rPr>
                <w:szCs w:val="22"/>
              </w:rPr>
              <w:t>1 170.95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61307</w:t>
            </w:r>
          </w:p>
        </w:tc>
        <w:tc>
          <w:tcPr>
            <w:tcW w:w="1134" w:type="dxa"/>
            <w:noWrap/>
          </w:tcPr>
          <w:p>
            <w:pPr>
              <w:pStyle w:val="yTableNAm"/>
              <w:rPr>
                <w:szCs w:val="22"/>
              </w:rPr>
            </w:pPr>
            <w:r>
              <w:rPr>
                <w:szCs w:val="22"/>
              </w:rPr>
              <w:t>1 377.65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61310</w:t>
            </w:r>
          </w:p>
        </w:tc>
        <w:tc>
          <w:tcPr>
            <w:tcW w:w="1134" w:type="dxa"/>
            <w:noWrap/>
          </w:tcPr>
          <w:p>
            <w:pPr>
              <w:pStyle w:val="yTableNAm"/>
              <w:rPr>
                <w:szCs w:val="22"/>
              </w:rPr>
            </w:pPr>
            <w:r>
              <w:rPr>
                <w:szCs w:val="22"/>
              </w:rPr>
              <w:t>606.00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61313</w:t>
            </w:r>
          </w:p>
        </w:tc>
        <w:tc>
          <w:tcPr>
            <w:tcW w:w="1134" w:type="dxa"/>
            <w:noWrap/>
          </w:tcPr>
          <w:p>
            <w:pPr>
              <w:pStyle w:val="yTableNAm"/>
              <w:rPr>
                <w:szCs w:val="22"/>
              </w:rPr>
            </w:pPr>
            <w:r>
              <w:rPr>
                <w:szCs w:val="22"/>
              </w:rPr>
              <w:t>500.60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61314</w:t>
            </w:r>
          </w:p>
        </w:tc>
        <w:tc>
          <w:tcPr>
            <w:tcW w:w="1134" w:type="dxa"/>
            <w:noWrap/>
          </w:tcPr>
          <w:p>
            <w:pPr>
              <w:pStyle w:val="yTableNAm"/>
              <w:rPr>
                <w:szCs w:val="22"/>
              </w:rPr>
            </w:pPr>
            <w:r>
              <w:rPr>
                <w:szCs w:val="22"/>
              </w:rPr>
              <w:t>692.95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61316</w:t>
            </w:r>
          </w:p>
        </w:tc>
        <w:tc>
          <w:tcPr>
            <w:tcW w:w="1134" w:type="dxa"/>
            <w:noWrap/>
          </w:tcPr>
          <w:p>
            <w:pPr>
              <w:pStyle w:val="yTableNAm"/>
              <w:rPr>
                <w:szCs w:val="22"/>
              </w:rPr>
            </w:pPr>
            <w:r>
              <w:rPr>
                <w:szCs w:val="22"/>
              </w:rPr>
              <w:t>628.95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61317</w:t>
            </w:r>
          </w:p>
        </w:tc>
        <w:tc>
          <w:tcPr>
            <w:tcW w:w="1134" w:type="dxa"/>
            <w:noWrap/>
          </w:tcPr>
          <w:p>
            <w:pPr>
              <w:pStyle w:val="yTableNAm"/>
              <w:rPr>
                <w:szCs w:val="22"/>
              </w:rPr>
            </w:pPr>
            <w:r>
              <w:rPr>
                <w:szCs w:val="22"/>
              </w:rPr>
              <w:t>812.40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61320</w:t>
            </w:r>
          </w:p>
        </w:tc>
        <w:tc>
          <w:tcPr>
            <w:tcW w:w="1134" w:type="dxa"/>
            <w:noWrap/>
          </w:tcPr>
          <w:p>
            <w:pPr>
              <w:pStyle w:val="yTableNAm"/>
              <w:rPr>
                <w:szCs w:val="22"/>
              </w:rPr>
            </w:pPr>
            <w:r>
              <w:rPr>
                <w:szCs w:val="22"/>
              </w:rPr>
              <w:t>377.60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61328</w:t>
            </w:r>
          </w:p>
        </w:tc>
        <w:tc>
          <w:tcPr>
            <w:tcW w:w="1134" w:type="dxa"/>
            <w:noWrap/>
          </w:tcPr>
          <w:p>
            <w:pPr>
              <w:pStyle w:val="yTableNAm"/>
              <w:rPr>
                <w:szCs w:val="22"/>
              </w:rPr>
            </w:pPr>
            <w:r>
              <w:rPr>
                <w:szCs w:val="22"/>
              </w:rPr>
              <w:t>375.65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61340</w:t>
            </w:r>
          </w:p>
        </w:tc>
        <w:tc>
          <w:tcPr>
            <w:tcW w:w="1134" w:type="dxa"/>
            <w:noWrap/>
          </w:tcPr>
          <w:p>
            <w:pPr>
              <w:pStyle w:val="yTableNAm"/>
              <w:rPr>
                <w:szCs w:val="22"/>
              </w:rPr>
            </w:pPr>
            <w:r>
              <w:rPr>
                <w:szCs w:val="22"/>
              </w:rPr>
              <w:t>417.45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61348</w:t>
            </w:r>
          </w:p>
        </w:tc>
        <w:tc>
          <w:tcPr>
            <w:tcW w:w="1134" w:type="dxa"/>
            <w:noWrap/>
          </w:tcPr>
          <w:p>
            <w:pPr>
              <w:pStyle w:val="yTableNAm"/>
              <w:rPr>
                <w:szCs w:val="22"/>
              </w:rPr>
            </w:pPr>
            <w:r>
              <w:rPr>
                <w:szCs w:val="22"/>
              </w:rPr>
              <w:t>731.60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61352</w:t>
            </w:r>
          </w:p>
        </w:tc>
        <w:tc>
          <w:tcPr>
            <w:tcW w:w="1134" w:type="dxa"/>
            <w:noWrap/>
          </w:tcPr>
          <w:p>
            <w:pPr>
              <w:pStyle w:val="yTableNAm"/>
              <w:rPr>
                <w:szCs w:val="22"/>
              </w:rPr>
            </w:pPr>
            <w:r>
              <w:rPr>
                <w:szCs w:val="22"/>
              </w:rPr>
              <w:t>427.85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61353</w:t>
            </w:r>
          </w:p>
        </w:tc>
        <w:tc>
          <w:tcPr>
            <w:tcW w:w="1134" w:type="dxa"/>
            <w:noWrap/>
          </w:tcPr>
          <w:p>
            <w:pPr>
              <w:pStyle w:val="yTableNAm"/>
              <w:rPr>
                <w:szCs w:val="22"/>
              </w:rPr>
            </w:pPr>
            <w:r>
              <w:rPr>
                <w:szCs w:val="22"/>
              </w:rPr>
              <w:t>637.80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61356</w:t>
            </w:r>
          </w:p>
        </w:tc>
        <w:tc>
          <w:tcPr>
            <w:tcW w:w="1134" w:type="dxa"/>
            <w:noWrap/>
          </w:tcPr>
          <w:p>
            <w:pPr>
              <w:pStyle w:val="yTableNAm"/>
              <w:rPr>
                <w:szCs w:val="22"/>
              </w:rPr>
            </w:pPr>
            <w:r>
              <w:rPr>
                <w:szCs w:val="22"/>
              </w:rPr>
              <w:t>648.10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61360</w:t>
            </w:r>
          </w:p>
        </w:tc>
        <w:tc>
          <w:tcPr>
            <w:tcW w:w="1134" w:type="dxa"/>
            <w:noWrap/>
          </w:tcPr>
          <w:p>
            <w:pPr>
              <w:pStyle w:val="yTableNAm"/>
              <w:rPr>
                <w:szCs w:val="22"/>
              </w:rPr>
            </w:pPr>
            <w:r>
              <w:rPr>
                <w:szCs w:val="22"/>
              </w:rPr>
              <w:t>665.55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61361</w:t>
            </w:r>
          </w:p>
        </w:tc>
        <w:tc>
          <w:tcPr>
            <w:tcW w:w="1134" w:type="dxa"/>
            <w:noWrap/>
          </w:tcPr>
          <w:p>
            <w:pPr>
              <w:pStyle w:val="yTableNAm"/>
              <w:rPr>
                <w:szCs w:val="22"/>
              </w:rPr>
            </w:pPr>
            <w:r>
              <w:rPr>
                <w:szCs w:val="22"/>
              </w:rPr>
              <w:t>761.35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61364</w:t>
            </w:r>
          </w:p>
        </w:tc>
        <w:tc>
          <w:tcPr>
            <w:tcW w:w="1134" w:type="dxa"/>
            <w:noWrap/>
          </w:tcPr>
          <w:p>
            <w:pPr>
              <w:pStyle w:val="yTableNAm"/>
              <w:rPr>
                <w:szCs w:val="22"/>
              </w:rPr>
            </w:pPr>
            <w:r>
              <w:rPr>
                <w:szCs w:val="22"/>
              </w:rPr>
              <w:t>820.05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61368</w:t>
            </w:r>
          </w:p>
        </w:tc>
        <w:tc>
          <w:tcPr>
            <w:tcW w:w="1134" w:type="dxa"/>
            <w:noWrap/>
          </w:tcPr>
          <w:p>
            <w:pPr>
              <w:pStyle w:val="yTableNAm"/>
              <w:rPr>
                <w:szCs w:val="22"/>
              </w:rPr>
            </w:pPr>
            <w:r>
              <w:rPr>
                <w:szCs w:val="22"/>
              </w:rPr>
              <w:t>368.20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61369</w:t>
            </w:r>
          </w:p>
        </w:tc>
        <w:tc>
          <w:tcPr>
            <w:tcW w:w="1134" w:type="dxa"/>
            <w:noWrap/>
          </w:tcPr>
          <w:p>
            <w:pPr>
              <w:pStyle w:val="yTableNAm"/>
              <w:rPr>
                <w:szCs w:val="22"/>
              </w:rPr>
            </w:pPr>
            <w:r>
              <w:rPr>
                <w:szCs w:val="22"/>
              </w:rPr>
              <w:t>3 325.90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61372</w:t>
            </w:r>
          </w:p>
        </w:tc>
        <w:tc>
          <w:tcPr>
            <w:tcW w:w="1134" w:type="dxa"/>
            <w:noWrap/>
          </w:tcPr>
          <w:p>
            <w:pPr>
              <w:pStyle w:val="yTableNAm"/>
              <w:rPr>
                <w:szCs w:val="22"/>
              </w:rPr>
            </w:pPr>
            <w:r>
              <w:rPr>
                <w:szCs w:val="22"/>
              </w:rPr>
              <w:t>368.20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61373</w:t>
            </w:r>
          </w:p>
        </w:tc>
        <w:tc>
          <w:tcPr>
            <w:tcW w:w="1134" w:type="dxa"/>
            <w:noWrap/>
          </w:tcPr>
          <w:p>
            <w:pPr>
              <w:pStyle w:val="yTableNAm"/>
              <w:rPr>
                <w:szCs w:val="22"/>
              </w:rPr>
            </w:pPr>
            <w:r>
              <w:rPr>
                <w:szCs w:val="22"/>
              </w:rPr>
              <w:t>808.00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61376</w:t>
            </w:r>
          </w:p>
        </w:tc>
        <w:tc>
          <w:tcPr>
            <w:tcW w:w="1134" w:type="dxa"/>
            <w:noWrap/>
          </w:tcPr>
          <w:p>
            <w:pPr>
              <w:pStyle w:val="yTableNAm"/>
              <w:rPr>
                <w:szCs w:val="22"/>
              </w:rPr>
            </w:pPr>
            <w:r>
              <w:rPr>
                <w:szCs w:val="22"/>
              </w:rPr>
              <w:t>236.55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61381</w:t>
            </w:r>
          </w:p>
        </w:tc>
        <w:tc>
          <w:tcPr>
            <w:tcW w:w="1134" w:type="dxa"/>
            <w:noWrap/>
          </w:tcPr>
          <w:p>
            <w:pPr>
              <w:pStyle w:val="yTableNAm"/>
              <w:rPr>
                <w:szCs w:val="22"/>
              </w:rPr>
            </w:pPr>
            <w:r>
              <w:rPr>
                <w:szCs w:val="22"/>
              </w:rPr>
              <w:t>947.60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61383</w:t>
            </w:r>
          </w:p>
        </w:tc>
        <w:tc>
          <w:tcPr>
            <w:tcW w:w="1134" w:type="dxa"/>
            <w:noWrap/>
          </w:tcPr>
          <w:p>
            <w:pPr>
              <w:pStyle w:val="yTableNAm"/>
              <w:rPr>
                <w:szCs w:val="22"/>
              </w:rPr>
            </w:pPr>
            <w:r>
              <w:rPr>
                <w:szCs w:val="22"/>
              </w:rPr>
              <w:t>1 031.05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61384</w:t>
            </w:r>
          </w:p>
        </w:tc>
        <w:tc>
          <w:tcPr>
            <w:tcW w:w="1134" w:type="dxa"/>
            <w:noWrap/>
          </w:tcPr>
          <w:p>
            <w:pPr>
              <w:pStyle w:val="yTableNAm"/>
              <w:rPr>
                <w:szCs w:val="22"/>
              </w:rPr>
            </w:pPr>
            <w:r>
              <w:rPr>
                <w:szCs w:val="22"/>
              </w:rPr>
              <w:t>1 134.70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61386</w:t>
            </w:r>
          </w:p>
        </w:tc>
        <w:tc>
          <w:tcPr>
            <w:tcW w:w="1134" w:type="dxa"/>
            <w:noWrap/>
          </w:tcPr>
          <w:p>
            <w:pPr>
              <w:pStyle w:val="yTableNAm"/>
              <w:rPr>
                <w:szCs w:val="22"/>
              </w:rPr>
            </w:pPr>
            <w:r>
              <w:rPr>
                <w:szCs w:val="22"/>
              </w:rPr>
              <w:t>548.70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61387</w:t>
            </w:r>
          </w:p>
        </w:tc>
        <w:tc>
          <w:tcPr>
            <w:tcW w:w="1134" w:type="dxa"/>
            <w:noWrap/>
          </w:tcPr>
          <w:p>
            <w:pPr>
              <w:pStyle w:val="yTableNAm"/>
              <w:rPr>
                <w:szCs w:val="22"/>
              </w:rPr>
            </w:pPr>
            <w:r>
              <w:rPr>
                <w:szCs w:val="22"/>
              </w:rPr>
              <w:t>710.80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61389</w:t>
            </w:r>
          </w:p>
        </w:tc>
        <w:tc>
          <w:tcPr>
            <w:tcW w:w="1134" w:type="dxa"/>
            <w:noWrap/>
          </w:tcPr>
          <w:p>
            <w:pPr>
              <w:pStyle w:val="yTableNAm"/>
              <w:rPr>
                <w:szCs w:val="22"/>
              </w:rPr>
            </w:pPr>
            <w:r>
              <w:rPr>
                <w:szCs w:val="22"/>
              </w:rPr>
              <w:t>611.40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61390</w:t>
            </w:r>
          </w:p>
        </w:tc>
        <w:tc>
          <w:tcPr>
            <w:tcW w:w="1134" w:type="dxa"/>
            <w:noWrap/>
          </w:tcPr>
          <w:p>
            <w:pPr>
              <w:pStyle w:val="yTableNAm"/>
              <w:rPr>
                <w:szCs w:val="22"/>
              </w:rPr>
            </w:pPr>
            <w:r>
              <w:rPr>
                <w:szCs w:val="22"/>
              </w:rPr>
              <w:t>676.45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61393</w:t>
            </w:r>
          </w:p>
        </w:tc>
        <w:tc>
          <w:tcPr>
            <w:tcW w:w="1134" w:type="dxa"/>
            <w:noWrap/>
          </w:tcPr>
          <w:p>
            <w:pPr>
              <w:pStyle w:val="yTableNAm"/>
              <w:rPr>
                <w:szCs w:val="22"/>
              </w:rPr>
            </w:pPr>
            <w:r>
              <w:rPr>
                <w:szCs w:val="22"/>
              </w:rPr>
              <w:t>999.05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61397</w:t>
            </w:r>
          </w:p>
        </w:tc>
        <w:tc>
          <w:tcPr>
            <w:tcW w:w="1134" w:type="dxa"/>
            <w:noWrap/>
          </w:tcPr>
          <w:p>
            <w:pPr>
              <w:pStyle w:val="yTableNAm"/>
              <w:rPr>
                <w:szCs w:val="22"/>
              </w:rPr>
            </w:pPr>
            <w:r>
              <w:rPr>
                <w:szCs w:val="22"/>
              </w:rPr>
              <w:t>407.25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61401</w:t>
            </w:r>
          </w:p>
        </w:tc>
        <w:tc>
          <w:tcPr>
            <w:tcW w:w="1134" w:type="dxa"/>
            <w:noWrap/>
          </w:tcPr>
          <w:p>
            <w:pPr>
              <w:pStyle w:val="yTableNAm"/>
              <w:rPr>
                <w:szCs w:val="22"/>
              </w:rPr>
            </w:pPr>
            <w:r>
              <w:rPr>
                <w:szCs w:val="22"/>
              </w:rPr>
              <w:t>267.85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61402</w:t>
            </w:r>
          </w:p>
        </w:tc>
        <w:tc>
          <w:tcPr>
            <w:tcW w:w="1134" w:type="dxa"/>
            <w:noWrap/>
          </w:tcPr>
          <w:p>
            <w:pPr>
              <w:pStyle w:val="yTableNAm"/>
              <w:rPr>
                <w:szCs w:val="22"/>
              </w:rPr>
            </w:pPr>
            <w:r>
              <w:rPr>
                <w:szCs w:val="22"/>
              </w:rPr>
              <w:t>998.35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61405</w:t>
            </w:r>
          </w:p>
        </w:tc>
        <w:tc>
          <w:tcPr>
            <w:tcW w:w="1134" w:type="dxa"/>
            <w:noWrap/>
          </w:tcPr>
          <w:p>
            <w:pPr>
              <w:pStyle w:val="yTableNAm"/>
              <w:rPr>
                <w:szCs w:val="22"/>
              </w:rPr>
            </w:pPr>
            <w:r>
              <w:rPr>
                <w:szCs w:val="22"/>
              </w:rPr>
              <w:t>570.85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61409</w:t>
            </w:r>
          </w:p>
        </w:tc>
        <w:tc>
          <w:tcPr>
            <w:tcW w:w="1134" w:type="dxa"/>
            <w:noWrap/>
          </w:tcPr>
          <w:p>
            <w:pPr>
              <w:pStyle w:val="yTableNAm"/>
              <w:rPr>
                <w:szCs w:val="22"/>
              </w:rPr>
            </w:pPr>
            <w:r>
              <w:rPr>
                <w:szCs w:val="22"/>
              </w:rPr>
              <w:t>1 441.35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61413</w:t>
            </w:r>
          </w:p>
        </w:tc>
        <w:tc>
          <w:tcPr>
            <w:tcW w:w="1134" w:type="dxa"/>
            <w:noWrap/>
          </w:tcPr>
          <w:p>
            <w:pPr>
              <w:pStyle w:val="yTableNAm"/>
              <w:rPr>
                <w:szCs w:val="22"/>
              </w:rPr>
            </w:pPr>
            <w:r>
              <w:rPr>
                <w:szCs w:val="22"/>
              </w:rPr>
              <w:t>372.80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61417</w:t>
            </w:r>
          </w:p>
        </w:tc>
        <w:tc>
          <w:tcPr>
            <w:tcW w:w="1134" w:type="dxa"/>
            <w:noWrap/>
          </w:tcPr>
          <w:p>
            <w:pPr>
              <w:pStyle w:val="yTableNAm"/>
              <w:rPr>
                <w:szCs w:val="22"/>
              </w:rPr>
            </w:pPr>
            <w:r>
              <w:rPr>
                <w:szCs w:val="22"/>
              </w:rPr>
              <w:t>196.10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61421</w:t>
            </w:r>
          </w:p>
        </w:tc>
        <w:tc>
          <w:tcPr>
            <w:tcW w:w="1134" w:type="dxa"/>
            <w:noWrap/>
          </w:tcPr>
          <w:p>
            <w:pPr>
              <w:pStyle w:val="yTableNAm"/>
              <w:rPr>
                <w:szCs w:val="22"/>
              </w:rPr>
            </w:pPr>
            <w:r>
              <w:rPr>
                <w:szCs w:val="22"/>
              </w:rPr>
              <w:t>791.70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61425</w:t>
            </w:r>
          </w:p>
        </w:tc>
        <w:tc>
          <w:tcPr>
            <w:tcW w:w="1134" w:type="dxa"/>
            <w:noWrap/>
          </w:tcPr>
          <w:p>
            <w:pPr>
              <w:pStyle w:val="yTableNAm"/>
              <w:rPr>
                <w:szCs w:val="22"/>
              </w:rPr>
            </w:pPr>
            <w:r>
              <w:rPr>
                <w:szCs w:val="22"/>
              </w:rPr>
              <w:t>991.15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61426</w:t>
            </w:r>
          </w:p>
        </w:tc>
        <w:tc>
          <w:tcPr>
            <w:tcW w:w="1134" w:type="dxa"/>
            <w:noWrap/>
          </w:tcPr>
          <w:p>
            <w:pPr>
              <w:pStyle w:val="yTableNAm"/>
              <w:rPr>
                <w:szCs w:val="22"/>
              </w:rPr>
            </w:pPr>
            <w:r>
              <w:rPr>
                <w:szCs w:val="22"/>
              </w:rPr>
              <w:t>915.40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61429</w:t>
            </w:r>
          </w:p>
        </w:tc>
        <w:tc>
          <w:tcPr>
            <w:tcW w:w="1134" w:type="dxa"/>
            <w:noWrap/>
          </w:tcPr>
          <w:p>
            <w:pPr>
              <w:pStyle w:val="yTableNAm"/>
              <w:rPr>
                <w:szCs w:val="22"/>
              </w:rPr>
            </w:pPr>
            <w:r>
              <w:rPr>
                <w:szCs w:val="22"/>
              </w:rPr>
              <w:t>895.90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61430</w:t>
            </w:r>
          </w:p>
        </w:tc>
        <w:tc>
          <w:tcPr>
            <w:tcW w:w="1134" w:type="dxa"/>
            <w:noWrap/>
          </w:tcPr>
          <w:p>
            <w:pPr>
              <w:pStyle w:val="yTableNAm"/>
              <w:rPr>
                <w:szCs w:val="22"/>
              </w:rPr>
            </w:pPr>
            <w:r>
              <w:rPr>
                <w:szCs w:val="22"/>
              </w:rPr>
              <w:t>1 088.15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61433</w:t>
            </w:r>
          </w:p>
        </w:tc>
        <w:tc>
          <w:tcPr>
            <w:tcW w:w="1134" w:type="dxa"/>
            <w:noWrap/>
          </w:tcPr>
          <w:p>
            <w:pPr>
              <w:pStyle w:val="yTableNAm"/>
              <w:rPr>
                <w:szCs w:val="22"/>
              </w:rPr>
            </w:pPr>
            <w:r>
              <w:rPr>
                <w:szCs w:val="22"/>
              </w:rPr>
              <w:t>820.05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61434</w:t>
            </w:r>
          </w:p>
        </w:tc>
        <w:tc>
          <w:tcPr>
            <w:tcW w:w="1134" w:type="dxa"/>
            <w:noWrap/>
          </w:tcPr>
          <w:p>
            <w:pPr>
              <w:pStyle w:val="yTableNAm"/>
              <w:rPr>
                <w:szCs w:val="22"/>
              </w:rPr>
            </w:pPr>
            <w:r>
              <w:rPr>
                <w:szCs w:val="22"/>
              </w:rPr>
              <w:t>1 015.40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61437</w:t>
            </w:r>
          </w:p>
        </w:tc>
        <w:tc>
          <w:tcPr>
            <w:tcW w:w="1134" w:type="dxa"/>
            <w:noWrap/>
          </w:tcPr>
          <w:p>
            <w:pPr>
              <w:pStyle w:val="yTableNAm"/>
              <w:rPr>
                <w:szCs w:val="22"/>
              </w:rPr>
            </w:pPr>
            <w:r>
              <w:rPr>
                <w:szCs w:val="22"/>
              </w:rPr>
              <w:t>895.65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61438</w:t>
            </w:r>
          </w:p>
        </w:tc>
        <w:tc>
          <w:tcPr>
            <w:tcW w:w="1134" w:type="dxa"/>
            <w:noWrap/>
          </w:tcPr>
          <w:p>
            <w:pPr>
              <w:pStyle w:val="yTableNAm"/>
              <w:rPr>
                <w:szCs w:val="22"/>
              </w:rPr>
            </w:pPr>
            <w:r>
              <w:rPr>
                <w:szCs w:val="22"/>
              </w:rPr>
              <w:t>1 110.40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61441</w:t>
            </w:r>
          </w:p>
        </w:tc>
        <w:tc>
          <w:tcPr>
            <w:tcW w:w="1134" w:type="dxa"/>
            <w:noWrap/>
          </w:tcPr>
          <w:p>
            <w:pPr>
              <w:pStyle w:val="yTableNAm"/>
              <w:rPr>
                <w:szCs w:val="22"/>
              </w:rPr>
            </w:pPr>
            <w:r>
              <w:rPr>
                <w:szCs w:val="22"/>
              </w:rPr>
              <w:t>808.00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61442</w:t>
            </w:r>
          </w:p>
        </w:tc>
        <w:tc>
          <w:tcPr>
            <w:tcW w:w="1134" w:type="dxa"/>
            <w:noWrap/>
          </w:tcPr>
          <w:p>
            <w:pPr>
              <w:pStyle w:val="yTableNAm"/>
              <w:rPr>
                <w:szCs w:val="22"/>
              </w:rPr>
            </w:pPr>
            <w:r>
              <w:rPr>
                <w:szCs w:val="22"/>
              </w:rPr>
              <w:t>1 241.40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61445</w:t>
            </w:r>
          </w:p>
        </w:tc>
        <w:tc>
          <w:tcPr>
            <w:tcW w:w="1134" w:type="dxa"/>
            <w:noWrap/>
          </w:tcPr>
          <w:p>
            <w:pPr>
              <w:pStyle w:val="yTableNAm"/>
              <w:rPr>
                <w:szCs w:val="22"/>
              </w:rPr>
            </w:pPr>
            <w:r>
              <w:rPr>
                <w:szCs w:val="22"/>
              </w:rPr>
              <w:t>473.20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61446</w:t>
            </w:r>
          </w:p>
        </w:tc>
        <w:tc>
          <w:tcPr>
            <w:tcW w:w="1134" w:type="dxa"/>
            <w:noWrap/>
          </w:tcPr>
          <w:p>
            <w:pPr>
              <w:pStyle w:val="yTableNAm"/>
              <w:rPr>
                <w:szCs w:val="22"/>
              </w:rPr>
            </w:pPr>
            <w:r>
              <w:rPr>
                <w:szCs w:val="22"/>
              </w:rPr>
              <w:t>550.45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61449</w:t>
            </w:r>
          </w:p>
        </w:tc>
        <w:tc>
          <w:tcPr>
            <w:tcW w:w="1134" w:type="dxa"/>
            <w:noWrap/>
          </w:tcPr>
          <w:p>
            <w:pPr>
              <w:pStyle w:val="yTableNAm"/>
              <w:rPr>
                <w:szCs w:val="22"/>
              </w:rPr>
            </w:pPr>
            <w:r>
              <w:rPr>
                <w:szCs w:val="22"/>
              </w:rPr>
              <w:t>752.70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61450</w:t>
            </w:r>
          </w:p>
        </w:tc>
        <w:tc>
          <w:tcPr>
            <w:tcW w:w="1134" w:type="dxa"/>
            <w:noWrap/>
          </w:tcPr>
          <w:p>
            <w:pPr>
              <w:pStyle w:val="yTableNAm"/>
              <w:rPr>
                <w:szCs w:val="22"/>
              </w:rPr>
            </w:pPr>
            <w:r>
              <w:rPr>
                <w:szCs w:val="22"/>
              </w:rPr>
              <w:t>655.90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61453</w:t>
            </w:r>
          </w:p>
        </w:tc>
        <w:tc>
          <w:tcPr>
            <w:tcW w:w="1134" w:type="dxa"/>
            <w:noWrap/>
          </w:tcPr>
          <w:p>
            <w:pPr>
              <w:pStyle w:val="yTableNAm"/>
              <w:rPr>
                <w:szCs w:val="22"/>
              </w:rPr>
            </w:pPr>
            <w:r>
              <w:rPr>
                <w:szCs w:val="22"/>
              </w:rPr>
              <w:t>849.25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61454</w:t>
            </w:r>
          </w:p>
        </w:tc>
        <w:tc>
          <w:tcPr>
            <w:tcW w:w="1134" w:type="dxa"/>
            <w:noWrap/>
          </w:tcPr>
          <w:p>
            <w:pPr>
              <w:pStyle w:val="yTableNAm"/>
              <w:rPr>
                <w:szCs w:val="22"/>
              </w:rPr>
            </w:pPr>
            <w:r>
              <w:rPr>
                <w:szCs w:val="22"/>
              </w:rPr>
              <w:t>574.30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61457</w:t>
            </w:r>
          </w:p>
        </w:tc>
        <w:tc>
          <w:tcPr>
            <w:tcW w:w="1134" w:type="dxa"/>
            <w:noWrap/>
          </w:tcPr>
          <w:p>
            <w:pPr>
              <w:pStyle w:val="yTableNAm"/>
              <w:rPr>
                <w:szCs w:val="22"/>
              </w:rPr>
            </w:pPr>
            <w:r>
              <w:rPr>
                <w:szCs w:val="22"/>
              </w:rPr>
              <w:t>776.25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61458</w:t>
            </w:r>
          </w:p>
        </w:tc>
        <w:tc>
          <w:tcPr>
            <w:tcW w:w="1134" w:type="dxa"/>
            <w:noWrap/>
          </w:tcPr>
          <w:p>
            <w:pPr>
              <w:pStyle w:val="yTableNAm"/>
              <w:rPr>
                <w:szCs w:val="22"/>
              </w:rPr>
            </w:pPr>
            <w:r>
              <w:rPr>
                <w:szCs w:val="22"/>
              </w:rPr>
              <w:t>654.85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61461</w:t>
            </w:r>
          </w:p>
        </w:tc>
        <w:tc>
          <w:tcPr>
            <w:tcW w:w="1134" w:type="dxa"/>
            <w:noWrap/>
          </w:tcPr>
          <w:p>
            <w:pPr>
              <w:pStyle w:val="yTableNAm"/>
              <w:rPr>
                <w:szCs w:val="22"/>
              </w:rPr>
            </w:pPr>
            <w:r>
              <w:rPr>
                <w:szCs w:val="22"/>
              </w:rPr>
              <w:t>870.80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61462</w:t>
            </w:r>
          </w:p>
        </w:tc>
        <w:tc>
          <w:tcPr>
            <w:tcW w:w="1134" w:type="dxa"/>
            <w:noWrap/>
          </w:tcPr>
          <w:p>
            <w:pPr>
              <w:pStyle w:val="yTableNAm"/>
              <w:rPr>
                <w:szCs w:val="22"/>
              </w:rPr>
            </w:pPr>
            <w:r>
              <w:rPr>
                <w:szCs w:val="22"/>
              </w:rPr>
              <w:t>215.00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61469</w:t>
            </w:r>
          </w:p>
        </w:tc>
        <w:tc>
          <w:tcPr>
            <w:tcW w:w="1134" w:type="dxa"/>
            <w:noWrap/>
          </w:tcPr>
          <w:p>
            <w:pPr>
              <w:pStyle w:val="yTableNAm"/>
              <w:rPr>
                <w:szCs w:val="22"/>
              </w:rPr>
            </w:pPr>
            <w:r>
              <w:rPr>
                <w:szCs w:val="22"/>
              </w:rPr>
              <w:t>574.30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61473</w:t>
            </w:r>
          </w:p>
        </w:tc>
        <w:tc>
          <w:tcPr>
            <w:tcW w:w="1134" w:type="dxa"/>
            <w:noWrap/>
          </w:tcPr>
          <w:p>
            <w:pPr>
              <w:pStyle w:val="yTableNAm"/>
              <w:rPr>
                <w:szCs w:val="22"/>
              </w:rPr>
            </w:pPr>
            <w:r>
              <w:rPr>
                <w:szCs w:val="22"/>
              </w:rPr>
              <w:t>289.30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61480</w:t>
            </w:r>
          </w:p>
        </w:tc>
        <w:tc>
          <w:tcPr>
            <w:tcW w:w="1134" w:type="dxa"/>
            <w:noWrap/>
          </w:tcPr>
          <w:p>
            <w:pPr>
              <w:pStyle w:val="yTableNAm"/>
              <w:rPr>
                <w:szCs w:val="22"/>
              </w:rPr>
            </w:pPr>
            <w:r>
              <w:rPr>
                <w:szCs w:val="22"/>
              </w:rPr>
              <w:t>638.35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61484</w:t>
            </w:r>
          </w:p>
        </w:tc>
        <w:tc>
          <w:tcPr>
            <w:tcW w:w="1134" w:type="dxa"/>
            <w:noWrap/>
          </w:tcPr>
          <w:p>
            <w:pPr>
              <w:pStyle w:val="yTableNAm"/>
              <w:rPr>
                <w:szCs w:val="22"/>
              </w:rPr>
            </w:pPr>
            <w:r>
              <w:rPr>
                <w:szCs w:val="22"/>
              </w:rPr>
              <w:t>1 453.45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61485</w:t>
            </w:r>
          </w:p>
        </w:tc>
        <w:tc>
          <w:tcPr>
            <w:tcW w:w="1134" w:type="dxa"/>
            <w:noWrap/>
          </w:tcPr>
          <w:p>
            <w:pPr>
              <w:pStyle w:val="yTableNAm"/>
              <w:rPr>
                <w:szCs w:val="22"/>
              </w:rPr>
            </w:pPr>
            <w:r>
              <w:rPr>
                <w:szCs w:val="22"/>
              </w:rPr>
              <w:t>1 648.70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61495</w:t>
            </w:r>
          </w:p>
        </w:tc>
        <w:tc>
          <w:tcPr>
            <w:tcW w:w="1134" w:type="dxa"/>
            <w:noWrap/>
          </w:tcPr>
          <w:p>
            <w:pPr>
              <w:pStyle w:val="yTableNAm"/>
              <w:rPr>
                <w:szCs w:val="22"/>
              </w:rPr>
            </w:pPr>
            <w:r>
              <w:rPr>
                <w:szCs w:val="22"/>
              </w:rPr>
              <w:t>368.20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61499</w:t>
            </w:r>
          </w:p>
        </w:tc>
        <w:tc>
          <w:tcPr>
            <w:tcW w:w="1134" w:type="dxa"/>
            <w:noWrap/>
          </w:tcPr>
          <w:p>
            <w:pPr>
              <w:pStyle w:val="yTableNAm"/>
              <w:rPr>
                <w:szCs w:val="22"/>
              </w:rPr>
            </w:pPr>
            <w:r>
              <w:rPr>
                <w:szCs w:val="22"/>
              </w:rPr>
              <w:t>417.45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61650</w:t>
            </w:r>
          </w:p>
        </w:tc>
        <w:tc>
          <w:tcPr>
            <w:tcW w:w="1134" w:type="dxa"/>
            <w:noWrap/>
          </w:tcPr>
          <w:p>
            <w:pPr>
              <w:pStyle w:val="yTableNAm"/>
              <w:rPr>
                <w:szCs w:val="22"/>
              </w:rPr>
            </w:pPr>
            <w:r>
              <w:rPr>
                <w:szCs w:val="22"/>
              </w:rPr>
              <w:t>1 449.75</w:t>
            </w:r>
          </w:p>
        </w:tc>
      </w:tr>
    </w:tbl>
    <w:p>
      <w:pPr>
        <w:pStyle w:val="yMiscellaneousBody"/>
        <w:keepNext/>
        <w:ind w:left="709"/>
      </w:pPr>
      <w:r>
        <w:t>MAGNETIC RESONANCE IMAGING</w:t>
      </w:r>
    </w:p>
    <w:tbl>
      <w:tblPr>
        <w:tblW w:w="0" w:type="auto"/>
        <w:jc w:val="center"/>
        <w:tblInd w:w="113" w:type="dxa"/>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tcPr>
          <w:p>
            <w:pPr>
              <w:pStyle w:val="yTableNAm"/>
              <w:rPr>
                <w:b/>
                <w:bCs/>
              </w:rPr>
            </w:pPr>
            <w:r>
              <w:rPr>
                <w:b/>
                <w:bCs/>
              </w:rPr>
              <w:t>MBS item number</w:t>
            </w:r>
          </w:p>
        </w:tc>
        <w:tc>
          <w:tcPr>
            <w:tcW w:w="1134" w:type="dxa"/>
            <w:tcBorders>
              <w:top w:val="single" w:sz="4" w:space="0" w:color="auto"/>
              <w:bottom w:val="single" w:sz="4" w:space="0" w:color="auto"/>
            </w:tcBorders>
          </w:tcPr>
          <w:p>
            <w:pPr>
              <w:pStyle w:val="yTableNAm"/>
              <w:rPr>
                <w:b/>
                <w:bCs/>
              </w:rPr>
            </w:pPr>
            <w:r>
              <w:rPr>
                <w:b/>
                <w:bCs/>
              </w:rPr>
              <w:t>Fee ($)</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pPr>
            <w:r>
              <w:t>63000-63200</w:t>
            </w:r>
          </w:p>
        </w:tc>
        <w:tc>
          <w:tcPr>
            <w:tcW w:w="1134" w:type="dxa"/>
            <w:tcBorders>
              <w:top w:val="single" w:sz="4" w:space="0" w:color="auto"/>
            </w:tcBorders>
            <w:noWrap/>
          </w:tcPr>
          <w:p>
            <w:pPr>
              <w:pStyle w:val="yTableNAm"/>
            </w:pPr>
            <w:r>
              <w:t>1 074.45</w:t>
            </w:r>
          </w:p>
        </w:tc>
      </w:tr>
      <w:tr>
        <w:tblPrEx>
          <w:tblCellMar>
            <w:left w:w="108" w:type="dxa"/>
            <w:right w:w="108" w:type="dxa"/>
          </w:tblCellMar>
        </w:tblPrEx>
        <w:trPr>
          <w:trHeight w:val="312"/>
          <w:jc w:val="center"/>
        </w:trPr>
        <w:tc>
          <w:tcPr>
            <w:tcW w:w="4535" w:type="dxa"/>
            <w:noWrap/>
          </w:tcPr>
          <w:p>
            <w:pPr>
              <w:pStyle w:val="yTableNAm"/>
            </w:pPr>
            <w:r>
              <w:t>63201</w:t>
            </w:r>
          </w:p>
        </w:tc>
        <w:tc>
          <w:tcPr>
            <w:tcW w:w="1134" w:type="dxa"/>
            <w:noWrap/>
          </w:tcPr>
          <w:p>
            <w:pPr>
              <w:pStyle w:val="yTableNAm"/>
            </w:pPr>
            <w:r>
              <w:t>1 611.65</w:t>
            </w:r>
          </w:p>
        </w:tc>
      </w:tr>
      <w:tr>
        <w:tblPrEx>
          <w:tblCellMar>
            <w:left w:w="108" w:type="dxa"/>
            <w:right w:w="108" w:type="dxa"/>
          </w:tblCellMar>
        </w:tblPrEx>
        <w:trPr>
          <w:trHeight w:val="312"/>
          <w:jc w:val="center"/>
        </w:trPr>
        <w:tc>
          <w:tcPr>
            <w:tcW w:w="4535" w:type="dxa"/>
            <w:noWrap/>
          </w:tcPr>
          <w:p>
            <w:pPr>
              <w:pStyle w:val="yTableNAm"/>
            </w:pPr>
            <w:r>
              <w:t xml:space="preserve">63202  </w:t>
            </w:r>
          </w:p>
        </w:tc>
        <w:tc>
          <w:tcPr>
            <w:tcW w:w="1134" w:type="dxa"/>
            <w:noWrap/>
          </w:tcPr>
          <w:p>
            <w:pPr>
              <w:pStyle w:val="yTableNAm"/>
            </w:pPr>
            <w:r>
              <w:t>1 074.45</w:t>
            </w:r>
          </w:p>
        </w:tc>
      </w:tr>
      <w:tr>
        <w:tblPrEx>
          <w:tblCellMar>
            <w:left w:w="108" w:type="dxa"/>
            <w:right w:w="108" w:type="dxa"/>
          </w:tblCellMar>
        </w:tblPrEx>
        <w:trPr>
          <w:trHeight w:val="312"/>
          <w:jc w:val="center"/>
        </w:trPr>
        <w:tc>
          <w:tcPr>
            <w:tcW w:w="4535" w:type="dxa"/>
            <w:noWrap/>
          </w:tcPr>
          <w:p>
            <w:pPr>
              <w:pStyle w:val="yTableNAm"/>
            </w:pPr>
            <w:r>
              <w:t>63203</w:t>
            </w:r>
          </w:p>
        </w:tc>
        <w:tc>
          <w:tcPr>
            <w:tcW w:w="1134" w:type="dxa"/>
            <w:noWrap/>
          </w:tcPr>
          <w:p>
            <w:pPr>
              <w:pStyle w:val="yTableNAm"/>
            </w:pPr>
            <w:r>
              <w:t>1 074.45</w:t>
            </w:r>
          </w:p>
        </w:tc>
      </w:tr>
      <w:tr>
        <w:tblPrEx>
          <w:tblCellMar>
            <w:left w:w="108" w:type="dxa"/>
            <w:right w:w="108" w:type="dxa"/>
          </w:tblCellMar>
        </w:tblPrEx>
        <w:trPr>
          <w:trHeight w:val="312"/>
          <w:jc w:val="center"/>
        </w:trPr>
        <w:tc>
          <w:tcPr>
            <w:tcW w:w="4535" w:type="dxa"/>
            <w:noWrap/>
          </w:tcPr>
          <w:p>
            <w:pPr>
              <w:pStyle w:val="yTableNAm"/>
            </w:pPr>
            <w:r>
              <w:t>63204</w:t>
            </w:r>
          </w:p>
        </w:tc>
        <w:tc>
          <w:tcPr>
            <w:tcW w:w="1134" w:type="dxa"/>
            <w:noWrap/>
          </w:tcPr>
          <w:p>
            <w:pPr>
              <w:pStyle w:val="yTableNAm"/>
            </w:pPr>
            <w:r>
              <w:t>1 611.65</w:t>
            </w:r>
          </w:p>
        </w:tc>
      </w:tr>
      <w:tr>
        <w:tblPrEx>
          <w:tblCellMar>
            <w:left w:w="108" w:type="dxa"/>
            <w:right w:w="108" w:type="dxa"/>
          </w:tblCellMar>
        </w:tblPrEx>
        <w:trPr>
          <w:trHeight w:val="312"/>
          <w:jc w:val="center"/>
        </w:trPr>
        <w:tc>
          <w:tcPr>
            <w:tcW w:w="4535" w:type="dxa"/>
            <w:noWrap/>
          </w:tcPr>
          <w:p>
            <w:pPr>
              <w:pStyle w:val="yTableNAm"/>
            </w:pPr>
            <w:r>
              <w:t>63219-63243</w:t>
            </w:r>
          </w:p>
        </w:tc>
        <w:tc>
          <w:tcPr>
            <w:tcW w:w="1134" w:type="dxa"/>
            <w:noWrap/>
          </w:tcPr>
          <w:p>
            <w:pPr>
              <w:pStyle w:val="yTableNAm"/>
            </w:pPr>
            <w:r>
              <w:t>1 611.65</w:t>
            </w:r>
          </w:p>
        </w:tc>
      </w:tr>
      <w:tr>
        <w:tblPrEx>
          <w:tblCellMar>
            <w:left w:w="108" w:type="dxa"/>
            <w:right w:w="108" w:type="dxa"/>
          </w:tblCellMar>
        </w:tblPrEx>
        <w:trPr>
          <w:trHeight w:val="312"/>
          <w:jc w:val="center"/>
        </w:trPr>
        <w:tc>
          <w:tcPr>
            <w:tcW w:w="4535" w:type="dxa"/>
            <w:noWrap/>
          </w:tcPr>
          <w:p>
            <w:pPr>
              <w:pStyle w:val="yTableNAm"/>
            </w:pPr>
            <w:r>
              <w:t>63271-63473</w:t>
            </w:r>
          </w:p>
        </w:tc>
        <w:tc>
          <w:tcPr>
            <w:tcW w:w="1134" w:type="dxa"/>
            <w:noWrap/>
          </w:tcPr>
          <w:p>
            <w:pPr>
              <w:pStyle w:val="yTableNAm"/>
            </w:pPr>
            <w:r>
              <w:t>1 074.45</w:t>
            </w:r>
          </w:p>
        </w:tc>
      </w:tr>
      <w:tr>
        <w:tblPrEx>
          <w:tblCellMar>
            <w:left w:w="108" w:type="dxa"/>
            <w:right w:w="108" w:type="dxa"/>
          </w:tblCellMar>
        </w:tblPrEx>
        <w:trPr>
          <w:trHeight w:val="312"/>
          <w:jc w:val="center"/>
        </w:trPr>
        <w:tc>
          <w:tcPr>
            <w:tcW w:w="4535" w:type="dxa"/>
            <w:noWrap/>
          </w:tcPr>
          <w:p>
            <w:pPr>
              <w:pStyle w:val="yTableNAm"/>
            </w:pPr>
            <w:r>
              <w:t>63491-63494</w:t>
            </w:r>
          </w:p>
        </w:tc>
        <w:tc>
          <w:tcPr>
            <w:tcW w:w="1134" w:type="dxa"/>
            <w:noWrap/>
          </w:tcPr>
          <w:p>
            <w:pPr>
              <w:pStyle w:val="yTableNAm"/>
            </w:pPr>
            <w:r>
              <w:t>122.85</w:t>
            </w:r>
          </w:p>
        </w:tc>
      </w:tr>
      <w:tr>
        <w:tblPrEx>
          <w:tblCellMar>
            <w:left w:w="108" w:type="dxa"/>
            <w:right w:w="108" w:type="dxa"/>
          </w:tblCellMar>
        </w:tblPrEx>
        <w:trPr>
          <w:trHeight w:val="312"/>
          <w:jc w:val="center"/>
        </w:trPr>
        <w:tc>
          <w:tcPr>
            <w:tcW w:w="4535" w:type="dxa"/>
            <w:noWrap/>
          </w:tcPr>
          <w:p>
            <w:pPr>
              <w:pStyle w:val="yTableNAm"/>
            </w:pPr>
            <w:r>
              <w:t>63497</w:t>
            </w:r>
          </w:p>
        </w:tc>
        <w:tc>
          <w:tcPr>
            <w:tcW w:w="1134" w:type="dxa"/>
            <w:noWrap/>
          </w:tcPr>
          <w:p>
            <w:pPr>
              <w:pStyle w:val="yTableNAm"/>
            </w:pPr>
            <w:r>
              <w:t>368.75</w:t>
            </w:r>
          </w:p>
        </w:tc>
      </w:tr>
    </w:tbl>
    <w:p>
      <w:pPr>
        <w:pStyle w:val="yFootnotesection"/>
      </w:pPr>
      <w:r>
        <w:tab/>
        <w:t>[Part 3 inserted: Gazette 22 Oct 2019 p. 3739</w:t>
      </w:r>
      <w:r>
        <w:noBreakHyphen/>
        <w:t>49.]</w:t>
      </w:r>
    </w:p>
    <w:p>
      <w:pPr>
        <w:pStyle w:val="yScheduleHeading"/>
      </w:pPr>
      <w:bookmarkStart w:id="43" w:name="_Toc22638153"/>
      <w:bookmarkStart w:id="44" w:name="_Toc22641913"/>
      <w:bookmarkStart w:id="45" w:name="_Toc23242895"/>
      <w:bookmarkStart w:id="46" w:name="_Toc23326470"/>
      <w:bookmarkEnd w:id="41"/>
      <w:bookmarkEnd w:id="42"/>
      <w:r>
        <w:rPr>
          <w:rStyle w:val="CharSchNo"/>
        </w:rPr>
        <w:t>Schedule 2</w:t>
      </w:r>
      <w:r>
        <w:t> — </w:t>
      </w:r>
      <w:r>
        <w:rPr>
          <w:rStyle w:val="CharSchText"/>
        </w:rPr>
        <w:t>Scale of fees: physiotherapists</w:t>
      </w:r>
      <w:bookmarkEnd w:id="43"/>
      <w:bookmarkEnd w:id="44"/>
      <w:bookmarkEnd w:id="45"/>
      <w:bookmarkEnd w:id="46"/>
    </w:p>
    <w:p>
      <w:pPr>
        <w:pStyle w:val="yShoulderClause"/>
      </w:pPr>
      <w:r>
        <w:t>[r. 3]</w:t>
      </w:r>
    </w:p>
    <w:p>
      <w:pPr>
        <w:pStyle w:val="yFootnoteheading"/>
      </w:pPr>
      <w:r>
        <w:tab/>
        <w:t>[Heading inserted: Gazette 21 Oct 2016 p. 4845.]</w:t>
      </w:r>
    </w:p>
    <w:p>
      <w:pPr>
        <w:pStyle w:val="yHeading3"/>
      </w:pPr>
      <w:bookmarkStart w:id="47" w:name="_Toc22638154"/>
      <w:bookmarkStart w:id="48" w:name="_Toc22641914"/>
      <w:bookmarkStart w:id="49" w:name="_Toc23242896"/>
      <w:bookmarkStart w:id="50" w:name="_Toc23326471"/>
      <w:r>
        <w:rPr>
          <w:rStyle w:val="CharSDivNo"/>
        </w:rPr>
        <w:t>Part 1</w:t>
      </w:r>
      <w:r>
        <w:t> — </w:t>
      </w:r>
      <w:r>
        <w:rPr>
          <w:rStyle w:val="CharSDivText"/>
        </w:rPr>
        <w:t>General</w:t>
      </w:r>
      <w:bookmarkEnd w:id="47"/>
      <w:bookmarkEnd w:id="48"/>
      <w:bookmarkEnd w:id="49"/>
      <w:bookmarkEnd w:id="50"/>
    </w:p>
    <w:p>
      <w:pPr>
        <w:pStyle w:val="yFootnoteheading"/>
        <w:spacing w:after="60"/>
      </w:pPr>
      <w:r>
        <w:tab/>
        <w:t>[Heading inserted: Gazette 21 Oct 2016 p. 4845.]</w:t>
      </w:r>
    </w:p>
    <w:tbl>
      <w:tblPr>
        <w:tblW w:w="7088" w:type="dxa"/>
        <w:tblInd w:w="108" w:type="dxa"/>
        <w:tblLayout w:type="fixed"/>
        <w:tblLook w:val="0000" w:firstRow="0" w:lastRow="0" w:firstColumn="0" w:lastColumn="0" w:noHBand="0" w:noVBand="0"/>
      </w:tblPr>
      <w:tblGrid>
        <w:gridCol w:w="1560"/>
        <w:gridCol w:w="4110"/>
        <w:gridCol w:w="1418"/>
      </w:tblGrid>
      <w:tr>
        <w:trPr>
          <w:cantSplit/>
          <w:tblHeader/>
        </w:trPr>
        <w:tc>
          <w:tcPr>
            <w:tcW w:w="1560" w:type="dxa"/>
            <w:tcBorders>
              <w:top w:val="single" w:sz="4" w:space="0" w:color="auto"/>
              <w:bottom w:val="single" w:sz="4" w:space="0" w:color="auto"/>
            </w:tcBorders>
          </w:tcPr>
          <w:p>
            <w:pPr>
              <w:pStyle w:val="yTableNAm"/>
            </w:pPr>
            <w:r>
              <w:rPr>
                <w:b/>
              </w:rPr>
              <w:t>Service Code</w:t>
            </w:r>
          </w:p>
        </w:tc>
        <w:tc>
          <w:tcPr>
            <w:tcW w:w="4110"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1560" w:type="dxa"/>
            <w:tcBorders>
              <w:top w:val="single" w:sz="4" w:space="0" w:color="auto"/>
            </w:tcBorders>
          </w:tcPr>
          <w:p>
            <w:pPr>
              <w:pStyle w:val="yTableNAm"/>
            </w:pPr>
            <w:r>
              <w:t>PA001</w:t>
            </w:r>
          </w:p>
        </w:tc>
        <w:tc>
          <w:tcPr>
            <w:tcW w:w="4110"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t>$87.85</w:t>
            </w:r>
          </w:p>
        </w:tc>
      </w:tr>
      <w:tr>
        <w:trPr>
          <w:cantSplit/>
        </w:trPr>
        <w:tc>
          <w:tcPr>
            <w:tcW w:w="1560" w:type="dxa"/>
          </w:tcPr>
          <w:p>
            <w:pPr>
              <w:pStyle w:val="zyTableNAm"/>
            </w:pPr>
          </w:p>
        </w:tc>
        <w:tc>
          <w:tcPr>
            <w:tcW w:w="4110"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programme to be followed.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Includes:</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Courtesy communication by the physiotherapist with the medical practitioner such as acknowledgment of referral.</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The physiotherapist’s notes of the consultation.</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Does not include:</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1560" w:type="dxa"/>
            <w:tcBorders>
              <w:bottom w:val="single" w:sz="4" w:space="0" w:color="auto"/>
            </w:tcBorders>
          </w:tcPr>
          <w:p>
            <w:pPr>
              <w:pStyle w:val="zyTableNAm"/>
            </w:pPr>
          </w:p>
        </w:tc>
        <w:tc>
          <w:tcPr>
            <w:tcW w:w="4110" w:type="dxa"/>
            <w:tcBorders>
              <w:bottom w:val="single" w:sz="4" w:space="0" w:color="auto"/>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1560" w:type="dxa"/>
            <w:tcBorders>
              <w:top w:val="single" w:sz="4" w:space="0" w:color="auto"/>
            </w:tcBorders>
          </w:tcPr>
          <w:p>
            <w:pPr>
              <w:pStyle w:val="yTableNAm"/>
            </w:pPr>
            <w:r>
              <w:t>PB001</w:t>
            </w:r>
          </w:p>
        </w:tc>
        <w:tc>
          <w:tcPr>
            <w:tcW w:w="4110" w:type="dxa"/>
            <w:tcBorders>
              <w:top w:val="single" w:sz="4" w:space="0" w:color="auto"/>
            </w:tcBorders>
          </w:tcPr>
          <w:p>
            <w:pPr>
              <w:pStyle w:val="yTableNAm"/>
            </w:pPr>
            <w:r>
              <w:rPr>
                <w:b/>
              </w:rPr>
              <w:t>Standard Consultation</w:t>
            </w:r>
          </w:p>
          <w:p>
            <w:pPr>
              <w:pStyle w:val="yTableNAm"/>
            </w:pPr>
            <w:r>
              <w:t xml:space="preserve">Consultation for one body area or condition including the following elements — </w:t>
            </w:r>
          </w:p>
        </w:tc>
        <w:tc>
          <w:tcPr>
            <w:tcW w:w="1418" w:type="dxa"/>
            <w:tcBorders>
              <w:top w:val="single" w:sz="4" w:space="0" w:color="auto"/>
            </w:tcBorders>
          </w:tcPr>
          <w:p>
            <w:pPr>
              <w:pStyle w:val="yTableNAm"/>
            </w:pPr>
            <w:r>
              <w:rPr>
                <w:b/>
              </w:rPr>
              <w:t>Set Fee</w:t>
            </w:r>
          </w:p>
          <w:p>
            <w:pPr>
              <w:pStyle w:val="yTableNAm"/>
            </w:pPr>
            <w:r>
              <w:t>$70.55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subjective re</w:t>
            </w:r>
            <w:r>
              <w:noBreakHyphen/>
              <w:t>assessment;</w:t>
            </w:r>
          </w:p>
          <w:p>
            <w:pPr>
              <w:pStyle w:val="yTableNAm"/>
              <w:tabs>
                <w:tab w:val="clear" w:pos="567"/>
                <w:tab w:val="left" w:pos="460"/>
              </w:tabs>
              <w:ind w:left="488" w:hanging="488"/>
            </w:pPr>
            <w:r>
              <w:t>•</w:t>
            </w:r>
            <w:r>
              <w:tab/>
              <w:t>objective re</w:t>
            </w:r>
            <w:r>
              <w:noBreakHyphen/>
              <w:t>assessment;</w:t>
            </w:r>
          </w:p>
          <w:p>
            <w:pPr>
              <w:pStyle w:val="yTableNAm"/>
              <w:tabs>
                <w:tab w:val="clear" w:pos="567"/>
                <w:tab w:val="left" w:pos="460"/>
              </w:tabs>
              <w:ind w:left="488" w:hanging="488"/>
            </w:pPr>
            <w:r>
              <w:t>•</w:t>
            </w:r>
            <w:r>
              <w:tab/>
              <w:t>appropriate management, intervention or advice;</w:t>
            </w:r>
          </w:p>
          <w:p>
            <w:pPr>
              <w:pStyle w:val="yTableNAm"/>
              <w:tabs>
                <w:tab w:val="clear" w:pos="567"/>
                <w:tab w:val="left" w:pos="460"/>
              </w:tabs>
              <w:ind w:left="488" w:hanging="488"/>
            </w:pPr>
            <w:r>
              <w:t>•</w:t>
            </w:r>
            <w: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Includes</w:t>
            </w:r>
            <w:r>
              <w:t>:</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Does not include</w:t>
            </w:r>
            <w:r>
              <w:t>:</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PC001</w:t>
            </w:r>
          </w:p>
        </w:tc>
        <w:tc>
          <w:tcPr>
            <w:tcW w:w="4110"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t>$89.15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PG001</w:t>
            </w:r>
          </w:p>
        </w:tc>
        <w:tc>
          <w:tcPr>
            <w:tcW w:w="4110"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p>
            <w:pPr>
              <w:pStyle w:val="yTableNAm"/>
              <w:tabs>
                <w:tab w:val="clear" w:pos="567"/>
                <w:tab w:val="left" w:pos="460"/>
              </w:tabs>
              <w:ind w:left="488" w:hanging="488"/>
            </w:pPr>
            <w:r>
              <w:t>•</w:t>
            </w:r>
            <w:r>
              <w:tab/>
              <w:t>in rooms, home or hospital;</w:t>
            </w:r>
          </w:p>
        </w:tc>
        <w:tc>
          <w:tcPr>
            <w:tcW w:w="1418" w:type="dxa"/>
            <w:tcBorders>
              <w:left w:val="nil"/>
              <w:bottom w:val="nil"/>
              <w:right w:val="nil"/>
            </w:tcBorders>
          </w:tcPr>
          <w:p>
            <w:pPr>
              <w:pStyle w:val="yTableNAm"/>
            </w:pPr>
            <w:r>
              <w:rPr>
                <w:b/>
              </w:rPr>
              <w:t>Cost per participant</w:t>
            </w:r>
          </w:p>
          <w:p>
            <w:pPr>
              <w:pStyle w:val="yTableNAm"/>
            </w:pPr>
            <w:r>
              <w:t>$21.75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hydrotherapy treatment;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extended treatments;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PE001</w:t>
            </w:r>
          </w:p>
        </w:tc>
        <w:tc>
          <w:tcPr>
            <w:tcW w:w="4110" w:type="dxa"/>
            <w:tcBorders>
              <w:left w:val="nil"/>
              <w:bottom w:val="single" w:sz="4" w:space="0" w:color="auto"/>
              <w:right w:val="nil"/>
            </w:tcBorders>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t>$200.25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PR001</w:t>
            </w:r>
          </w:p>
        </w:tc>
        <w:tc>
          <w:tcPr>
            <w:tcW w:w="4110" w:type="dxa"/>
            <w:tcBorders>
              <w:top w:val="nil"/>
              <w:left w:val="nil"/>
              <w:bottom w:val="nil"/>
              <w:right w:val="nil"/>
            </w:tcBorders>
          </w:tcPr>
          <w:p>
            <w:pPr>
              <w:pStyle w:val="yTableNAm"/>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 w:val="left" w:pos="460"/>
              </w:tabs>
              <w:ind w:left="488" w:hanging="488"/>
            </w:pPr>
            <w:r>
              <w:t>•</w:t>
            </w:r>
            <w:r>
              <w:tab/>
              <w:t>a summary of assessment findings;</w:t>
            </w:r>
          </w:p>
        </w:tc>
        <w:tc>
          <w:tcPr>
            <w:tcW w:w="1418" w:type="dxa"/>
            <w:tcBorders>
              <w:top w:val="nil"/>
              <w:left w:val="nil"/>
              <w:bottom w:val="nil"/>
              <w:right w:val="nil"/>
            </w:tcBorders>
          </w:tcPr>
          <w:p>
            <w:pPr>
              <w:pStyle w:val="yTableNAm"/>
            </w:pPr>
            <w:r>
              <w:rPr>
                <w:b/>
              </w:rPr>
              <w:t>Set Fee</w:t>
            </w:r>
          </w:p>
          <w:p>
            <w:pPr>
              <w:pStyle w:val="yTableNAm"/>
            </w:pPr>
            <w:r>
              <w:t>$87.85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treatment/management services provided and results obtained;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recommendations for further treatment/management;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functional and objective improvements;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treatment duration required;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barriers to return to work;</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questionnaire results and implications.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rPr>
                <w:b/>
              </w:rPr>
              <w:t>Does not include</w:t>
            </w:r>
            <w:r>
              <w:t>:</w:t>
            </w:r>
          </w:p>
          <w:p>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PR002</w:t>
            </w:r>
          </w:p>
        </w:tc>
        <w:tc>
          <w:tcPr>
            <w:tcW w:w="4110" w:type="dxa"/>
            <w:tcBorders>
              <w:top w:val="nil"/>
              <w:left w:val="nil"/>
              <w:bottom w:val="nil"/>
              <w:right w:val="nil"/>
            </w:tcBorders>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t>$200.25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PR003</w:t>
            </w:r>
          </w:p>
        </w:tc>
        <w:tc>
          <w:tcPr>
            <w:tcW w:w="4110"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t>$87.85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clinical assessment of injured worker and results of any investigation;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injured worker’s current work status and level of incapacity;</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 xml:space="preserve">proposed management plan including — </w:t>
            </w:r>
          </w:p>
          <w:p>
            <w:pPr>
              <w:pStyle w:val="yTableNAm"/>
              <w:tabs>
                <w:tab w:val="clear" w:pos="567"/>
                <w:tab w:val="left" w:pos="488"/>
                <w:tab w:val="left" w:pos="943"/>
              </w:tabs>
              <w:ind w:left="978" w:hanging="978"/>
            </w:pPr>
            <w:r>
              <w:tab/>
              <w:t>1.</w:t>
            </w:r>
            <w:r>
              <w:tab/>
              <w:t>the proposed work and functional goals and estimated timeframe in weeks;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2.</w:t>
            </w:r>
            <w:r>
              <w:tab/>
              <w:t>description and number of proposed treatment methods;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4.</w:t>
            </w:r>
            <w:r>
              <w:tab/>
              <w:t>the injured worker’s expected fitness for work at the end of the management plan;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5.</w:t>
            </w:r>
            <w:r>
              <w:tab/>
              <w:t>other comments or recommendations (including barriers to recovery where relevant).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PT001</w:t>
            </w:r>
          </w:p>
        </w:tc>
        <w:tc>
          <w:tcPr>
            <w:tcW w:w="4110" w:type="dxa"/>
            <w:tcBorders>
              <w:left w:val="nil"/>
              <w:bottom w:val="nil"/>
              <w:right w:val="nil"/>
            </w:tcBorders>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418" w:type="dxa"/>
            <w:tcBorders>
              <w:left w:val="nil"/>
              <w:bottom w:val="nil"/>
              <w:right w:val="nil"/>
            </w:tcBorders>
          </w:tcPr>
          <w:p>
            <w:pPr>
              <w:pStyle w:val="yTableNAm"/>
            </w:pPr>
            <w:r>
              <w:rPr>
                <w:b/>
              </w:rPr>
              <w:t>Hourly rate</w:t>
            </w:r>
            <w:r>
              <w:t>**</w:t>
            </w:r>
          </w:p>
          <w:p>
            <w:pPr>
              <w:pStyle w:val="yTableNAm"/>
            </w:pPr>
            <w:r>
              <w:t>$160.30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PQ001</w:t>
            </w:r>
          </w:p>
        </w:tc>
        <w:tc>
          <w:tcPr>
            <w:tcW w:w="4110"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t>$20.10</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rPr>
                <w:rStyle w:val="DraftersNotes"/>
                <w:b w:val="0"/>
                <w:i w:val="0"/>
              </w:rPr>
            </w:pPr>
            <w:r>
              <w:t>The aim of the case conference is to plan, implement, manage or review treatment options and/or rehabilitation plan.</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PK001</w:t>
            </w:r>
          </w:p>
        </w:tc>
        <w:tc>
          <w:tcPr>
            <w:tcW w:w="4110" w:type="dxa"/>
            <w:tcBorders>
              <w:left w:val="nil"/>
              <w:bottom w:val="nil"/>
              <w:right w:val="nil"/>
            </w:tcBorders>
          </w:tcPr>
          <w:p>
            <w:pPr>
              <w:pStyle w:val="yTableNAm"/>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tcPr>
          <w:p>
            <w:pPr>
              <w:pStyle w:val="yTableNAm"/>
            </w:pPr>
          </w:p>
          <w:p>
            <w:pPr>
              <w:pStyle w:val="yTableNAm"/>
            </w:pPr>
            <w:r>
              <w:t>$20.10</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pPr>
            <w:r>
              <w:t>Maximum cumulative duration of communications per claim is 1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PS001</w:t>
            </w:r>
          </w:p>
        </w:tc>
        <w:tc>
          <w:tcPr>
            <w:tcW w:w="4110" w:type="dxa"/>
            <w:tcBorders>
              <w:left w:val="nil"/>
              <w:bottom w:val="single" w:sz="4" w:space="0" w:color="auto"/>
              <w:right w:val="nil"/>
            </w:tcBorders>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t>$200.25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PW001</w:t>
            </w:r>
          </w:p>
        </w:tc>
        <w:tc>
          <w:tcPr>
            <w:tcW w:w="4110" w:type="dxa"/>
            <w:tcBorders>
              <w:left w:val="nil"/>
              <w:bottom w:val="single" w:sz="4" w:space="0" w:color="auto"/>
              <w:right w:val="nil"/>
            </w:tcBorders>
          </w:tcPr>
          <w:p>
            <w:pPr>
              <w:pStyle w:val="yTableNAm"/>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p>
          <w:p>
            <w:pPr>
              <w:pStyle w:val="yTableNAm"/>
            </w:pPr>
            <w:r>
              <w:t>$200.25</w:t>
            </w:r>
            <w:r>
              <w:br/>
              <w:t>per hour to a maximum of 2 hours**</w:t>
            </w:r>
          </w:p>
        </w:tc>
      </w:tr>
    </w:tbl>
    <w:p>
      <w:pPr>
        <w:pStyle w:val="PermNoteHeading"/>
      </w:pPr>
      <w:r>
        <w:tab/>
        <w:t>Note for this Part:</w:t>
      </w:r>
    </w:p>
    <w:p>
      <w:pPr>
        <w:pStyle w:val="PermNoteText"/>
      </w:pPr>
      <w:r>
        <w:tab/>
      </w:r>
      <w:r>
        <w:tab/>
        <w:t>**  Denotes that where the service provided is a fraction of 1 hour, the amount chargeable is to be calculated as that fraction of the maximum amount.</w:t>
      </w:r>
    </w:p>
    <w:p>
      <w:pPr>
        <w:pStyle w:val="yFootnotesection"/>
      </w:pPr>
      <w:r>
        <w:tab/>
        <w:t>[Part 1 inserted: Gazette 21 Oct 2016 p. 4845</w:t>
      </w:r>
      <w:r>
        <w:noBreakHyphen/>
        <w:t>53; amended: Gazette 6 Oct 2017 p. 5226</w:t>
      </w:r>
      <w:r>
        <w:noBreakHyphen/>
        <w:t>7; 19 Oct 2018 p. 4184; 22 Oct 2019 p. 3750.]</w:t>
      </w:r>
    </w:p>
    <w:p>
      <w:pPr>
        <w:pStyle w:val="yHeading3"/>
      </w:pPr>
      <w:bookmarkStart w:id="51" w:name="_Toc22638155"/>
      <w:bookmarkStart w:id="52" w:name="_Toc22641915"/>
      <w:bookmarkStart w:id="53" w:name="_Toc23242897"/>
      <w:bookmarkStart w:id="54" w:name="_Toc23326472"/>
      <w:r>
        <w:rPr>
          <w:rStyle w:val="CharSDivNo"/>
        </w:rPr>
        <w:t>Part 2</w:t>
      </w:r>
      <w:r>
        <w:t> — </w:t>
      </w:r>
      <w:r>
        <w:rPr>
          <w:rStyle w:val="CharSDivText"/>
        </w:rPr>
        <w:t>Exercise</w:t>
      </w:r>
      <w:r>
        <w:rPr>
          <w:rStyle w:val="CharSDivText"/>
        </w:rPr>
        <w:noBreakHyphen/>
        <w:t>based programmes</w:t>
      </w:r>
      <w:bookmarkEnd w:id="51"/>
      <w:bookmarkEnd w:id="52"/>
      <w:bookmarkEnd w:id="53"/>
      <w:bookmarkEnd w:id="54"/>
    </w:p>
    <w:p>
      <w:pPr>
        <w:pStyle w:val="yFootnoteheading"/>
        <w:spacing w:after="60"/>
      </w:pPr>
      <w:r>
        <w:tab/>
        <w:t>[Heading inserted: Gazette 21 Oct 2016 p. 4853.]</w:t>
      </w:r>
    </w:p>
    <w:tbl>
      <w:tblPr>
        <w:tblW w:w="7088" w:type="dxa"/>
        <w:tblInd w:w="108" w:type="dxa"/>
        <w:tblLayout w:type="fixed"/>
        <w:tblLook w:val="0000" w:firstRow="0" w:lastRow="0" w:firstColumn="0" w:lastColumn="0" w:noHBand="0" w:noVBand="0"/>
      </w:tblPr>
      <w:tblGrid>
        <w:gridCol w:w="1560"/>
        <w:gridCol w:w="3969"/>
        <w:gridCol w:w="1559"/>
      </w:tblGrid>
      <w:tr>
        <w:trPr>
          <w:cantSplit/>
          <w:tblHeader/>
        </w:trPr>
        <w:tc>
          <w:tcPr>
            <w:tcW w:w="1560" w:type="dxa"/>
            <w:tcBorders>
              <w:top w:val="single" w:sz="4" w:space="0" w:color="auto"/>
              <w:bottom w:val="single" w:sz="4" w:space="0" w:color="auto"/>
            </w:tcBorders>
          </w:tcPr>
          <w:p>
            <w:pPr>
              <w:pStyle w:val="zyTableNAm"/>
            </w:pPr>
          </w:p>
        </w:tc>
        <w:tc>
          <w:tcPr>
            <w:tcW w:w="3969" w:type="dxa"/>
            <w:tcBorders>
              <w:top w:val="single" w:sz="4" w:space="0" w:color="auto"/>
              <w:bottom w:val="single" w:sz="4" w:space="0" w:color="auto"/>
            </w:tcBorders>
          </w:tcPr>
          <w:p>
            <w:pPr>
              <w:pStyle w:val="yTableNAm"/>
            </w:pPr>
            <w:r>
              <w:rPr>
                <w:b/>
              </w:rPr>
              <w:t xml:space="preserve">Type of service </w:t>
            </w:r>
          </w:p>
        </w:tc>
        <w:tc>
          <w:tcPr>
            <w:tcW w:w="1559" w:type="dxa"/>
            <w:tcBorders>
              <w:top w:val="single" w:sz="4" w:space="0" w:color="auto"/>
              <w:bottom w:val="single" w:sz="4" w:space="0" w:color="auto"/>
            </w:tcBorders>
          </w:tcPr>
          <w:p>
            <w:pPr>
              <w:pStyle w:val="yTableNAm"/>
            </w:pPr>
            <w:r>
              <w:rPr>
                <w:b/>
              </w:rPr>
              <w:t>Fee</w:t>
            </w:r>
          </w:p>
        </w:tc>
      </w:tr>
      <w:tr>
        <w:trPr>
          <w:cantSplit/>
        </w:trPr>
        <w:tc>
          <w:tcPr>
            <w:tcW w:w="1560" w:type="dxa"/>
            <w:tcBorders>
              <w:top w:val="single" w:sz="4" w:space="0" w:color="auto"/>
            </w:tcBorders>
          </w:tcPr>
          <w:p>
            <w:pPr>
              <w:pStyle w:val="yTableNAm"/>
            </w:pPr>
            <w:r>
              <w:t>EXE20</w:t>
            </w:r>
          </w:p>
        </w:tc>
        <w:tc>
          <w:tcPr>
            <w:tcW w:w="3969"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559" w:type="dxa"/>
            <w:tcBorders>
              <w:top w:val="single" w:sz="4" w:space="0" w:color="auto"/>
            </w:tcBorders>
          </w:tcPr>
          <w:p>
            <w:pPr>
              <w:pStyle w:val="yTableNAm"/>
            </w:pPr>
          </w:p>
          <w:p>
            <w:pPr>
              <w:pStyle w:val="yTableNAm"/>
            </w:pPr>
            <w:r>
              <w:t>$200.25</w:t>
            </w:r>
            <w:r>
              <w:br/>
              <w:t>per hour to a maximum of 2 hours**</w:t>
            </w:r>
          </w:p>
        </w:tc>
      </w:tr>
      <w:tr>
        <w:trPr>
          <w:cantSplit/>
        </w:trPr>
        <w:tc>
          <w:tcPr>
            <w:tcW w:w="1560" w:type="dxa"/>
          </w:tcPr>
          <w:p>
            <w:pPr>
              <w:pStyle w:val="zyTableNAm"/>
            </w:pPr>
          </w:p>
        </w:tc>
        <w:tc>
          <w:tcPr>
            <w:tcW w:w="3969" w:type="dxa"/>
          </w:tcPr>
          <w:p>
            <w:pPr>
              <w:pStyle w:val="yTableNAm"/>
            </w:pPr>
            <w:r>
              <w:t>Communication/Liaison with relevant parties.</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Physiological assessment/testing.</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Screening questionnaires relating to worker’s level of function.</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Programme design based on above.</w:t>
            </w:r>
          </w:p>
        </w:tc>
        <w:tc>
          <w:tcPr>
            <w:tcW w:w="1559" w:type="dxa"/>
          </w:tcPr>
          <w:p>
            <w:pPr>
              <w:pStyle w:val="yTableNAm"/>
            </w:pPr>
          </w:p>
        </w:tc>
      </w:tr>
      <w:tr>
        <w:trPr>
          <w:cantSplit/>
        </w:trPr>
        <w:tc>
          <w:tcPr>
            <w:tcW w:w="1560" w:type="dxa"/>
          </w:tcPr>
          <w:p>
            <w:pPr>
              <w:pStyle w:val="zyTableNAm"/>
              <w:keepNext/>
            </w:pPr>
          </w:p>
        </w:tc>
        <w:tc>
          <w:tcPr>
            <w:tcW w:w="3969" w:type="dxa"/>
          </w:tcPr>
          <w:p>
            <w:pPr>
              <w:pStyle w:val="yTableNAm"/>
            </w:pPr>
            <w:r>
              <w:t>Exercise facility/equipment coordination (pool or gym based).</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pPr>
            <w:r>
              <w:t>Provider to patient ratio must be 1:1 for the duration of the consultation.</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EXE21</w:t>
            </w:r>
          </w:p>
        </w:tc>
        <w:tc>
          <w:tcPr>
            <w:tcW w:w="3969"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559" w:type="dxa"/>
            <w:tcBorders>
              <w:top w:val="single" w:sz="4" w:space="0" w:color="auto"/>
              <w:bottom w:val="single" w:sz="4" w:space="0" w:color="auto"/>
            </w:tcBorders>
          </w:tcPr>
          <w:p>
            <w:pPr>
              <w:pStyle w:val="yTableNAm"/>
            </w:pPr>
            <w:r>
              <w:br/>
            </w:r>
          </w:p>
          <w:p>
            <w:pPr>
              <w:pStyle w:val="yTableNAm"/>
            </w:pPr>
            <w:r>
              <w:t>$200.25</w:t>
            </w:r>
            <w:r>
              <w:br/>
              <w:t>per hour to a maximum of 1 hour**</w:t>
            </w:r>
          </w:p>
        </w:tc>
      </w:tr>
      <w:tr>
        <w:trPr>
          <w:cantSplit/>
        </w:trPr>
        <w:tc>
          <w:tcPr>
            <w:tcW w:w="1560" w:type="dxa"/>
            <w:tcBorders>
              <w:top w:val="single" w:sz="4" w:space="0" w:color="auto"/>
            </w:tcBorders>
          </w:tcPr>
          <w:p>
            <w:pPr>
              <w:pStyle w:val="yTableNAm"/>
            </w:pPr>
            <w:r>
              <w:t>EXE02</w:t>
            </w:r>
          </w:p>
        </w:tc>
        <w:tc>
          <w:tcPr>
            <w:tcW w:w="3969" w:type="dxa"/>
            <w:tcBorders>
              <w:top w:val="single" w:sz="4" w:space="0" w:color="auto"/>
            </w:tcBorders>
          </w:tcPr>
          <w:p>
            <w:pPr>
              <w:pStyle w:val="yTableNAm"/>
            </w:pPr>
            <w:r>
              <w:rPr>
                <w:b/>
                <w:bCs/>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559" w:type="dxa"/>
            <w:tcBorders>
              <w:top w:val="single" w:sz="4" w:space="0" w:color="auto"/>
            </w:tcBorders>
          </w:tcPr>
          <w:p>
            <w:pPr>
              <w:pStyle w:val="yTableNAm"/>
            </w:pPr>
          </w:p>
          <w:p>
            <w:pPr>
              <w:pStyle w:val="yTableNAm"/>
            </w:pPr>
            <w:r>
              <w:t>$200.25</w:t>
            </w:r>
            <w:r>
              <w:br/>
              <w:t>per hour to a maximum of 1 hour**</w:t>
            </w:r>
          </w:p>
        </w:tc>
      </w:tr>
      <w:tr>
        <w:trPr>
          <w:cantSplit/>
        </w:trPr>
        <w:tc>
          <w:tcPr>
            <w:tcW w:w="1560" w:type="dxa"/>
          </w:tcPr>
          <w:p>
            <w:pPr>
              <w:pStyle w:val="zyTableNAm"/>
            </w:pPr>
          </w:p>
        </w:tc>
        <w:tc>
          <w:tcPr>
            <w:tcW w:w="3969" w:type="dxa"/>
          </w:tcPr>
          <w:p>
            <w:pPr>
              <w:pStyle w:val="yTableNAm"/>
              <w:tabs>
                <w:tab w:val="clear" w:pos="567"/>
                <w:tab w:val="left" w:pos="460"/>
              </w:tabs>
              <w:ind w:left="488" w:hanging="488"/>
            </w:pPr>
            <w:r>
              <w:t>•</w:t>
            </w:r>
            <w:r>
              <w:tab/>
              <w:t>current status as per medical certification and proposed outcome status;</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460"/>
              </w:tabs>
              <w:ind w:left="488" w:hanging="488"/>
              <w:rPr>
                <w:rStyle w:val="DraftersNotes"/>
                <w:b w:val="0"/>
                <w:i w:val="0"/>
              </w:rPr>
            </w:pPr>
            <w:r>
              <w:t>•</w:t>
            </w:r>
            <w:r>
              <w:tab/>
              <w:t>detailed cost plan outlining proposed outcome, services required and proposed costs for insurer approval.</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EXE03</w:t>
            </w:r>
          </w:p>
        </w:tc>
        <w:tc>
          <w:tcPr>
            <w:tcW w:w="3969"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559" w:type="dxa"/>
            <w:tcBorders>
              <w:top w:val="single" w:sz="4" w:space="0" w:color="auto"/>
              <w:bottom w:val="single" w:sz="4" w:space="0" w:color="auto"/>
            </w:tcBorders>
          </w:tcPr>
          <w:p>
            <w:pPr>
              <w:pStyle w:val="yTableNAm"/>
            </w:pPr>
          </w:p>
          <w:p>
            <w:pPr>
              <w:pStyle w:val="yTableNAm"/>
              <w:rPr>
                <w:spacing w:val="-6"/>
              </w:rPr>
            </w:pPr>
            <w:r>
              <w:t>$200.25</w:t>
            </w:r>
            <w:r>
              <w:rPr>
                <w:spacing w:val="-6"/>
              </w:rPr>
              <w:br/>
              <w:t>per hour to a maximum of 30 minutes**</w:t>
            </w:r>
          </w:p>
        </w:tc>
      </w:tr>
      <w:tr>
        <w:trPr>
          <w:cantSplit/>
        </w:trPr>
        <w:tc>
          <w:tcPr>
            <w:tcW w:w="1560" w:type="dxa"/>
            <w:tcBorders>
              <w:top w:val="single" w:sz="4" w:space="0" w:color="auto"/>
              <w:bottom w:val="single" w:sz="4" w:space="0" w:color="auto"/>
            </w:tcBorders>
          </w:tcPr>
          <w:p>
            <w:pPr>
              <w:pStyle w:val="yTableNAm"/>
            </w:pPr>
            <w:r>
              <w:t>EXE04</w:t>
            </w:r>
          </w:p>
        </w:tc>
        <w:tc>
          <w:tcPr>
            <w:tcW w:w="3969" w:type="dxa"/>
            <w:tcBorders>
              <w:top w:val="single" w:sz="4" w:space="0" w:color="auto"/>
              <w:bottom w:val="single" w:sz="4" w:space="0" w:color="auto"/>
            </w:tcBorders>
          </w:tcPr>
          <w:p>
            <w:pPr>
              <w:pStyle w:val="yTableNAm"/>
            </w:pPr>
            <w:r>
              <w:rPr>
                <w:b/>
                <w:szCs w:val="22"/>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559" w:type="dxa"/>
            <w:tcBorders>
              <w:top w:val="single" w:sz="4" w:space="0" w:color="auto"/>
              <w:bottom w:val="single" w:sz="4" w:space="0" w:color="auto"/>
            </w:tcBorders>
          </w:tcPr>
          <w:p>
            <w:pPr>
              <w:pStyle w:val="yTableNAm"/>
            </w:pPr>
          </w:p>
          <w:p>
            <w:pPr>
              <w:pStyle w:val="yTableNAm"/>
            </w:pPr>
            <w:r>
              <w:t>$200.25</w:t>
            </w:r>
            <w:r>
              <w:br/>
              <w:t>per hour to a maximum of 30 minutes**</w:t>
            </w:r>
          </w:p>
        </w:tc>
      </w:tr>
      <w:tr>
        <w:trPr>
          <w:cantSplit/>
        </w:trPr>
        <w:tc>
          <w:tcPr>
            <w:tcW w:w="1560" w:type="dxa"/>
            <w:tcBorders>
              <w:top w:val="single" w:sz="4" w:space="0" w:color="auto"/>
              <w:bottom w:val="single" w:sz="4" w:space="0" w:color="auto"/>
            </w:tcBorders>
          </w:tcPr>
          <w:p>
            <w:pPr>
              <w:pStyle w:val="yTableNAm"/>
            </w:pPr>
            <w:r>
              <w:t>EXE05</w:t>
            </w:r>
          </w:p>
        </w:tc>
        <w:tc>
          <w:tcPr>
            <w:tcW w:w="3970"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558" w:type="dxa"/>
            <w:tcBorders>
              <w:top w:val="single" w:sz="4" w:space="0" w:color="auto"/>
              <w:bottom w:val="single" w:sz="4" w:space="0" w:color="auto"/>
            </w:tcBorders>
          </w:tcPr>
          <w:p>
            <w:pPr>
              <w:pStyle w:val="yTableNAm"/>
            </w:pPr>
          </w:p>
          <w:p>
            <w:pPr>
              <w:pStyle w:val="yTableNAm"/>
            </w:pPr>
            <w:r>
              <w:t>Market rates</w:t>
            </w:r>
          </w:p>
        </w:tc>
      </w:tr>
      <w:tr>
        <w:trPr>
          <w:cantSplit/>
        </w:trPr>
        <w:tc>
          <w:tcPr>
            <w:tcW w:w="1560" w:type="dxa"/>
            <w:tcBorders>
              <w:top w:val="single" w:sz="4" w:space="0" w:color="auto"/>
              <w:bottom w:val="single" w:sz="4" w:space="0" w:color="auto"/>
            </w:tcBorders>
          </w:tcPr>
          <w:p>
            <w:pPr>
              <w:pStyle w:val="yTableNAm"/>
            </w:pPr>
            <w:r>
              <w:t>EXE06</w:t>
            </w:r>
          </w:p>
        </w:tc>
        <w:tc>
          <w:tcPr>
            <w:tcW w:w="3970" w:type="dxa"/>
            <w:tcBorders>
              <w:top w:val="single" w:sz="4" w:space="0" w:color="auto"/>
              <w:bottom w:val="single" w:sz="4" w:space="0" w:color="auto"/>
            </w:tcBorders>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558" w:type="dxa"/>
            <w:tcBorders>
              <w:top w:val="single" w:sz="4" w:space="0" w:color="auto"/>
              <w:bottom w:val="single" w:sz="4" w:space="0" w:color="auto"/>
            </w:tcBorders>
          </w:tcPr>
          <w:p>
            <w:pPr>
              <w:pStyle w:val="yTableNAm"/>
            </w:pPr>
          </w:p>
          <w:p>
            <w:pPr>
              <w:pStyle w:val="yTableNAm"/>
            </w:pPr>
            <w:r>
              <w:t>$160.30</w:t>
            </w:r>
            <w:r>
              <w:br/>
              <w:t>per hour**</w:t>
            </w:r>
          </w:p>
        </w:tc>
      </w:tr>
      <w:tr>
        <w:trPr>
          <w:cantSplit/>
        </w:trPr>
        <w:tc>
          <w:tcPr>
            <w:tcW w:w="1560" w:type="dxa"/>
            <w:tcBorders>
              <w:top w:val="single" w:sz="4" w:space="0" w:color="auto"/>
              <w:bottom w:val="single" w:sz="4" w:space="0" w:color="auto"/>
            </w:tcBorders>
          </w:tcPr>
          <w:p>
            <w:pPr>
              <w:pStyle w:val="yTableNAm"/>
            </w:pPr>
            <w:r>
              <w:t>EXE08</w:t>
            </w:r>
          </w:p>
        </w:tc>
        <w:tc>
          <w:tcPr>
            <w:tcW w:w="397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558" w:type="dxa"/>
            <w:tcBorders>
              <w:top w:val="single" w:sz="4" w:space="0" w:color="auto"/>
              <w:bottom w:val="single" w:sz="4" w:space="0" w:color="auto"/>
            </w:tcBorders>
          </w:tcPr>
          <w:p>
            <w:pPr>
              <w:pStyle w:val="yTableNAm"/>
            </w:pPr>
          </w:p>
          <w:p>
            <w:pPr>
              <w:pStyle w:val="yTableNAm"/>
            </w:pPr>
            <w:r>
              <w:t>$20.10</w:t>
            </w:r>
            <w:r>
              <w:br/>
              <w:t>per 6 minute block</w:t>
            </w:r>
          </w:p>
        </w:tc>
      </w:tr>
      <w:tr>
        <w:trPr>
          <w:cantSplit/>
        </w:trPr>
        <w:tc>
          <w:tcPr>
            <w:tcW w:w="1560" w:type="dxa"/>
            <w:tcBorders>
              <w:top w:val="single" w:sz="4" w:space="0" w:color="auto"/>
              <w:bottom w:val="single" w:sz="4" w:space="0" w:color="auto"/>
            </w:tcBorders>
          </w:tcPr>
          <w:p>
            <w:pPr>
              <w:pStyle w:val="yTableNAm"/>
            </w:pPr>
            <w:r>
              <w:t>EXE09</w:t>
            </w:r>
          </w:p>
        </w:tc>
        <w:tc>
          <w:tcPr>
            <w:tcW w:w="3970"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558" w:type="dxa"/>
            <w:tcBorders>
              <w:top w:val="single" w:sz="4" w:space="0" w:color="auto"/>
              <w:bottom w:val="single" w:sz="4" w:space="0" w:color="auto"/>
            </w:tcBorders>
          </w:tcPr>
          <w:p>
            <w:pPr>
              <w:pStyle w:val="yTableNAm"/>
            </w:pPr>
            <w:r>
              <w:br/>
            </w:r>
          </w:p>
          <w:p>
            <w:pPr>
              <w:pStyle w:val="yTableNAm"/>
            </w:pPr>
            <w:r>
              <w:t>$200.25</w:t>
            </w:r>
            <w:r>
              <w:br/>
              <w:t>per hour**</w:t>
            </w:r>
          </w:p>
        </w:tc>
      </w:tr>
    </w:tbl>
    <w:p>
      <w:pPr>
        <w:pStyle w:val="PermNoteHeading"/>
      </w:pPr>
      <w:r>
        <w:tab/>
        <w:t>Note for this Part:</w:t>
      </w:r>
    </w:p>
    <w:p>
      <w:pPr>
        <w:pStyle w:val="PermNoteText"/>
        <w:rPr>
          <w:rStyle w:val="DraftersNotes"/>
          <w:b w:val="0"/>
          <w:i w:val="0"/>
        </w:rPr>
      </w:pPr>
      <w:r>
        <w:tab/>
      </w:r>
      <w:r>
        <w:tab/>
        <w:t>**  Denotes that where the service provided is a fraction of 1 hour, the amount chargeable is to be calculated as that fraction of the maximum amount.</w:t>
      </w:r>
    </w:p>
    <w:p>
      <w:pPr>
        <w:pStyle w:val="yFootnotesection"/>
      </w:pPr>
      <w:r>
        <w:tab/>
        <w:t>[Part 2 inserted: Gazette 21 Oct 2016 p. 4853</w:t>
      </w:r>
      <w:r>
        <w:noBreakHyphen/>
        <w:t>6; amended: Gazette 6 Oct 2017 p. 5226</w:t>
      </w:r>
      <w:r>
        <w:noBreakHyphen/>
        <w:t>7; 19 Oct 2018 p. 4184; 22 Oct 2019 p. 3750.]</w:t>
      </w:r>
    </w:p>
    <w:p>
      <w:pPr>
        <w:pStyle w:val="yScheduleHeading"/>
      </w:pPr>
      <w:bookmarkStart w:id="55" w:name="_Toc22638156"/>
      <w:bookmarkStart w:id="56" w:name="_Toc22641916"/>
      <w:bookmarkStart w:id="57" w:name="_Toc23242898"/>
      <w:bookmarkStart w:id="58" w:name="_Toc23326473"/>
      <w:r>
        <w:rPr>
          <w:rStyle w:val="CharSchNo"/>
        </w:rPr>
        <w:t>Schedule 3</w:t>
      </w:r>
      <w:r>
        <w:rPr>
          <w:rStyle w:val="CharSDivNo"/>
        </w:rPr>
        <w:t> </w:t>
      </w:r>
      <w:r>
        <w:t>—</w:t>
      </w:r>
      <w:r>
        <w:rPr>
          <w:rStyle w:val="CharSDivText"/>
        </w:rPr>
        <w:t> </w:t>
      </w:r>
      <w:r>
        <w:rPr>
          <w:rStyle w:val="CharSchText"/>
        </w:rPr>
        <w:t>Scale of fees: chiropractors</w:t>
      </w:r>
      <w:bookmarkEnd w:id="55"/>
      <w:bookmarkEnd w:id="56"/>
      <w:bookmarkEnd w:id="57"/>
      <w:bookmarkEnd w:id="58"/>
    </w:p>
    <w:p>
      <w:pPr>
        <w:pStyle w:val="yShoulderClause"/>
      </w:pPr>
      <w:r>
        <w:t>[r. 4]</w:t>
      </w:r>
    </w:p>
    <w:p>
      <w:pPr>
        <w:pStyle w:val="yFootnoteheading"/>
        <w:spacing w:after="60"/>
      </w:pPr>
      <w:r>
        <w:tab/>
        <w:t>[Heading inserted: Gazette 21 Oct 2016 p. 4856.]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tcPr>
          <w:p>
            <w:pPr>
              <w:pStyle w:val="zyTableNAm"/>
            </w:pPr>
          </w:p>
        </w:tc>
        <w:tc>
          <w:tcPr>
            <w:tcW w:w="5234" w:type="dxa"/>
            <w:tcBorders>
              <w:top w:val="single" w:sz="4" w:space="0" w:color="auto"/>
              <w:bottom w:val="single" w:sz="4" w:space="0" w:color="auto"/>
            </w:tcBorders>
          </w:tcPr>
          <w:p>
            <w:pPr>
              <w:pStyle w:val="yTableNAm"/>
            </w:pPr>
            <w:r>
              <w:rPr>
                <w:b/>
              </w:rPr>
              <w:t>Type of service</w:t>
            </w:r>
          </w:p>
        </w:tc>
        <w:tc>
          <w:tcPr>
            <w:tcW w:w="992" w:type="dxa"/>
            <w:tcBorders>
              <w:top w:val="single" w:sz="4" w:space="0" w:color="auto"/>
              <w:bottom w:val="single" w:sz="4" w:space="0" w:color="auto"/>
            </w:tcBorders>
          </w:tcPr>
          <w:p>
            <w:pPr>
              <w:pStyle w:val="yTableNAm"/>
            </w:pPr>
            <w:r>
              <w:rPr>
                <w:b/>
              </w:rPr>
              <w:t>Fee</w:t>
            </w:r>
          </w:p>
        </w:tc>
      </w:tr>
      <w:tr>
        <w:trPr>
          <w:cantSplit/>
        </w:trPr>
        <w:tc>
          <w:tcPr>
            <w:tcW w:w="578" w:type="dxa"/>
          </w:tcPr>
          <w:p>
            <w:pPr>
              <w:pStyle w:val="yTableNAm"/>
            </w:pPr>
            <w:r>
              <w:t>1.</w:t>
            </w:r>
          </w:p>
        </w:tc>
        <w:tc>
          <w:tcPr>
            <w:tcW w:w="5234" w:type="dxa"/>
          </w:tcPr>
          <w:p>
            <w:pPr>
              <w:pStyle w:val="yTableNAm"/>
            </w:pPr>
            <w:r>
              <w:t>Initial consultation and examination</w:t>
            </w:r>
          </w:p>
        </w:tc>
        <w:tc>
          <w:tcPr>
            <w:tcW w:w="992" w:type="dxa"/>
            <w:tcBorders>
              <w:top w:val="single" w:sz="4" w:space="0" w:color="auto"/>
            </w:tcBorders>
          </w:tcPr>
          <w:p>
            <w:pPr>
              <w:pStyle w:val="yTableNAm"/>
            </w:pPr>
            <w:r>
              <w:t>$69.40</w:t>
            </w:r>
          </w:p>
        </w:tc>
      </w:tr>
      <w:tr>
        <w:trPr>
          <w:cantSplit/>
        </w:trPr>
        <w:tc>
          <w:tcPr>
            <w:tcW w:w="578" w:type="dxa"/>
          </w:tcPr>
          <w:p>
            <w:pPr>
              <w:pStyle w:val="yTableNAm"/>
            </w:pPr>
            <w:r>
              <w:t>2.</w:t>
            </w:r>
          </w:p>
        </w:tc>
        <w:tc>
          <w:tcPr>
            <w:tcW w:w="5234" w:type="dxa"/>
          </w:tcPr>
          <w:p>
            <w:pPr>
              <w:pStyle w:val="yTableNAm"/>
            </w:pPr>
            <w:r>
              <w:t>Subsequent consultation</w:t>
            </w:r>
          </w:p>
        </w:tc>
        <w:tc>
          <w:tcPr>
            <w:tcW w:w="992" w:type="dxa"/>
          </w:tcPr>
          <w:p>
            <w:pPr>
              <w:pStyle w:val="yTableNAm"/>
            </w:pPr>
            <w:r>
              <w:t>$57.90</w:t>
            </w:r>
          </w:p>
        </w:tc>
      </w:tr>
      <w:tr>
        <w:trPr>
          <w:cantSplit/>
        </w:trPr>
        <w:tc>
          <w:tcPr>
            <w:tcW w:w="578" w:type="dxa"/>
          </w:tcPr>
          <w:p>
            <w:pPr>
              <w:pStyle w:val="yTableNAm"/>
            </w:pPr>
            <w:r>
              <w:t>3.</w:t>
            </w:r>
          </w:p>
        </w:tc>
        <w:tc>
          <w:tcPr>
            <w:tcW w:w="5234" w:type="dxa"/>
          </w:tcPr>
          <w:p>
            <w:pPr>
              <w:pStyle w:val="yTableNAm"/>
            </w:pPr>
            <w:r>
              <w:t>Spinal x</w:t>
            </w:r>
            <w:r>
              <w:noBreakHyphen/>
              <w:t>ray, one region</w:t>
            </w:r>
          </w:p>
        </w:tc>
        <w:tc>
          <w:tcPr>
            <w:tcW w:w="992" w:type="dxa"/>
          </w:tcPr>
          <w:p>
            <w:pPr>
              <w:pStyle w:val="yTableNAm"/>
            </w:pPr>
            <w:r>
              <w:t>$137.95</w:t>
            </w:r>
          </w:p>
        </w:tc>
      </w:tr>
      <w:tr>
        <w:trPr>
          <w:cantSplit/>
        </w:trPr>
        <w:tc>
          <w:tcPr>
            <w:tcW w:w="578" w:type="dxa"/>
          </w:tcPr>
          <w:p>
            <w:pPr>
              <w:pStyle w:val="yTableNAm"/>
            </w:pPr>
            <w:r>
              <w:t>4.</w:t>
            </w:r>
          </w:p>
        </w:tc>
        <w:tc>
          <w:tcPr>
            <w:tcW w:w="5234" w:type="dxa"/>
          </w:tcPr>
          <w:p>
            <w:pPr>
              <w:pStyle w:val="yTableNAm"/>
            </w:pPr>
            <w:r>
              <w:t>Spinal x</w:t>
            </w:r>
            <w:r>
              <w:noBreakHyphen/>
              <w:t xml:space="preserve">ray, 2 or more regions </w:t>
            </w:r>
          </w:p>
        </w:tc>
        <w:tc>
          <w:tcPr>
            <w:tcW w:w="992" w:type="dxa"/>
          </w:tcPr>
          <w:p>
            <w:pPr>
              <w:pStyle w:val="yTableNAm"/>
            </w:pPr>
            <w:r>
              <w:t>$207.10</w:t>
            </w:r>
          </w:p>
        </w:tc>
      </w:tr>
      <w:tr>
        <w:trPr>
          <w:cantSplit/>
        </w:trPr>
        <w:tc>
          <w:tcPr>
            <w:tcW w:w="578" w:type="dxa"/>
            <w:tcBorders>
              <w:bottom w:val="single" w:sz="4" w:space="0" w:color="auto"/>
            </w:tcBorders>
          </w:tcPr>
          <w:p>
            <w:pPr>
              <w:pStyle w:val="yTableNAm"/>
            </w:pPr>
            <w:r>
              <w:t>5.</w:t>
            </w:r>
          </w:p>
        </w:tc>
        <w:tc>
          <w:tcPr>
            <w:tcW w:w="5234" w:type="dxa"/>
            <w:tcBorders>
              <w:bottom w:val="single" w:sz="4" w:space="0" w:color="auto"/>
            </w:tcBorders>
          </w:tcPr>
          <w:p>
            <w:pPr>
              <w:pStyle w:val="yTableNAm"/>
            </w:pPr>
            <w:r>
              <w:t>Travel (per kilometre)</w:t>
            </w:r>
          </w:p>
        </w:tc>
        <w:tc>
          <w:tcPr>
            <w:tcW w:w="992" w:type="dxa"/>
            <w:tcBorders>
              <w:bottom w:val="single" w:sz="4" w:space="0" w:color="auto"/>
            </w:tcBorders>
          </w:tcPr>
          <w:p>
            <w:pPr>
              <w:pStyle w:val="yTableNAm"/>
            </w:pPr>
            <w:r>
              <w:t>$1.00</w:t>
            </w:r>
          </w:p>
        </w:tc>
      </w:tr>
    </w:tbl>
    <w:p>
      <w:pPr>
        <w:pStyle w:val="yFootnoteheading"/>
        <w:spacing w:after="60"/>
      </w:pPr>
      <w:r>
        <w:tab/>
        <w:t>[Schedule 3 inserted: Gazette 21 Oct 2016 p. 4856; amended: Gazette 6 Oct 2017 p. 5227; 19 Oct 2018 p. 4185; 22 Oct 2019 p. 3750.]</w:t>
      </w:r>
    </w:p>
    <w:p>
      <w:pPr>
        <w:pStyle w:val="yScheduleHeading"/>
      </w:pPr>
      <w:bookmarkStart w:id="59" w:name="_Toc22638157"/>
      <w:bookmarkStart w:id="60" w:name="_Toc22641917"/>
      <w:bookmarkStart w:id="61" w:name="_Toc23242899"/>
      <w:bookmarkStart w:id="62" w:name="_Toc23326474"/>
      <w:r>
        <w:rPr>
          <w:rStyle w:val="CharSchNo"/>
        </w:rPr>
        <w:t>Schedule 4</w:t>
      </w:r>
      <w:r>
        <w:rPr>
          <w:rStyle w:val="CharSDivNo"/>
        </w:rPr>
        <w:t> </w:t>
      </w:r>
      <w:r>
        <w:t>—</w:t>
      </w:r>
      <w:r>
        <w:rPr>
          <w:rStyle w:val="CharSDivText"/>
        </w:rPr>
        <w:t> </w:t>
      </w:r>
      <w:r>
        <w:rPr>
          <w:rStyle w:val="CharSchText"/>
        </w:rPr>
        <w:t>Scale of fees: occupational therapists</w:t>
      </w:r>
      <w:bookmarkEnd w:id="59"/>
      <w:bookmarkEnd w:id="60"/>
      <w:bookmarkEnd w:id="61"/>
      <w:bookmarkEnd w:id="62"/>
    </w:p>
    <w:p>
      <w:pPr>
        <w:pStyle w:val="yShoulderClause"/>
      </w:pPr>
      <w:r>
        <w:t>[r. 5]</w:t>
      </w:r>
    </w:p>
    <w:p>
      <w:pPr>
        <w:pStyle w:val="yFootnoteheading"/>
        <w:spacing w:after="60"/>
      </w:pPr>
      <w:r>
        <w:tab/>
        <w:t>[Heading inserted: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Brief consultation (&lt; 15 minutes)</w:t>
            </w:r>
          </w:p>
        </w:tc>
        <w:tc>
          <w:tcPr>
            <w:tcW w:w="1134" w:type="dxa"/>
            <w:tcBorders>
              <w:top w:val="single" w:sz="4" w:space="0" w:color="auto"/>
            </w:tcBorders>
          </w:tcPr>
          <w:p>
            <w:pPr>
              <w:pStyle w:val="yTableNAm"/>
            </w:pPr>
            <w:r>
              <w:t>$29.85</w:t>
            </w:r>
          </w:p>
        </w:tc>
      </w:tr>
      <w:tr>
        <w:trPr>
          <w:cantSplit/>
        </w:trPr>
        <w:tc>
          <w:tcPr>
            <w:tcW w:w="578" w:type="dxa"/>
          </w:tcPr>
          <w:p>
            <w:pPr>
              <w:pStyle w:val="yTableNAm"/>
            </w:pPr>
            <w:r>
              <w:t>2.</w:t>
            </w:r>
          </w:p>
        </w:tc>
        <w:tc>
          <w:tcPr>
            <w:tcW w:w="5092" w:type="dxa"/>
          </w:tcPr>
          <w:p>
            <w:pPr>
              <w:pStyle w:val="yTableNAm"/>
            </w:pPr>
            <w:r>
              <w:t>Short consultation (15 minutes to &lt; 30 minutes)</w:t>
            </w:r>
          </w:p>
        </w:tc>
        <w:tc>
          <w:tcPr>
            <w:tcW w:w="1134" w:type="dxa"/>
          </w:tcPr>
          <w:p>
            <w:pPr>
              <w:pStyle w:val="yTableNAm"/>
            </w:pPr>
            <w:r>
              <w:t>$60.05</w:t>
            </w:r>
          </w:p>
        </w:tc>
      </w:tr>
      <w:tr>
        <w:trPr>
          <w:cantSplit/>
        </w:trPr>
        <w:tc>
          <w:tcPr>
            <w:tcW w:w="578" w:type="dxa"/>
          </w:tcPr>
          <w:p>
            <w:pPr>
              <w:pStyle w:val="yTableNAm"/>
            </w:pPr>
            <w:r>
              <w:t>3.</w:t>
            </w:r>
          </w:p>
        </w:tc>
        <w:tc>
          <w:tcPr>
            <w:tcW w:w="5092" w:type="dxa"/>
          </w:tcPr>
          <w:p>
            <w:pPr>
              <w:pStyle w:val="yTableNAm"/>
            </w:pPr>
            <w:r>
              <w:t>Standard consultation (30 minutes to &lt; 45 minutes)</w:t>
            </w:r>
          </w:p>
        </w:tc>
        <w:tc>
          <w:tcPr>
            <w:tcW w:w="1134" w:type="dxa"/>
          </w:tcPr>
          <w:p>
            <w:pPr>
              <w:pStyle w:val="yTableNAm"/>
            </w:pPr>
            <w:r>
              <w:t>$99.05</w:t>
            </w:r>
          </w:p>
        </w:tc>
      </w:tr>
      <w:tr>
        <w:trPr>
          <w:cantSplit/>
        </w:trPr>
        <w:tc>
          <w:tcPr>
            <w:tcW w:w="578" w:type="dxa"/>
          </w:tcPr>
          <w:p>
            <w:pPr>
              <w:pStyle w:val="yTableNAm"/>
            </w:pPr>
            <w:r>
              <w:t>4.</w:t>
            </w:r>
          </w:p>
        </w:tc>
        <w:tc>
          <w:tcPr>
            <w:tcW w:w="5092" w:type="dxa"/>
          </w:tcPr>
          <w:p>
            <w:pPr>
              <w:pStyle w:val="yTableNAm"/>
            </w:pPr>
            <w:r>
              <w:t>Extended consultation (45 minutes to &lt; 1 hour)</w:t>
            </w:r>
          </w:p>
        </w:tc>
        <w:tc>
          <w:tcPr>
            <w:tcW w:w="1134" w:type="dxa"/>
          </w:tcPr>
          <w:p>
            <w:pPr>
              <w:pStyle w:val="yTableNAm"/>
            </w:pPr>
            <w:r>
              <w:t>$148.50</w:t>
            </w:r>
          </w:p>
        </w:tc>
      </w:tr>
      <w:tr>
        <w:trPr>
          <w:cantSplit/>
        </w:trPr>
        <w:tc>
          <w:tcPr>
            <w:tcW w:w="578" w:type="dxa"/>
          </w:tcPr>
          <w:p>
            <w:pPr>
              <w:pStyle w:val="yTableNAm"/>
            </w:pPr>
            <w:r>
              <w:t>5.</w:t>
            </w:r>
          </w:p>
        </w:tc>
        <w:tc>
          <w:tcPr>
            <w:tcW w:w="5092" w:type="dxa"/>
          </w:tcPr>
          <w:p>
            <w:pPr>
              <w:pStyle w:val="yTableNAm"/>
            </w:pPr>
            <w:r>
              <w:t>Extended consultation (≥ 1 hour)</w:t>
            </w:r>
          </w:p>
        </w:tc>
        <w:tc>
          <w:tcPr>
            <w:tcW w:w="1134" w:type="dxa"/>
          </w:tcPr>
          <w:p>
            <w:pPr>
              <w:pStyle w:val="yTableNAm"/>
            </w:pPr>
            <w:r>
              <w:t>$198.20</w:t>
            </w:r>
          </w:p>
        </w:tc>
      </w:tr>
      <w:tr>
        <w:trPr>
          <w:cantSplit/>
        </w:trPr>
        <w:tc>
          <w:tcPr>
            <w:tcW w:w="578" w:type="dxa"/>
          </w:tcPr>
          <w:p>
            <w:pPr>
              <w:pStyle w:val="yTableNAm"/>
            </w:pPr>
            <w:r>
              <w:t>6.</w:t>
            </w:r>
          </w:p>
        </w:tc>
        <w:tc>
          <w:tcPr>
            <w:tcW w:w="5092" w:type="dxa"/>
          </w:tcPr>
          <w:p>
            <w:pPr>
              <w:pStyle w:val="yTableNAm"/>
            </w:pPr>
            <w:r>
              <w:t>Standard group consultation (30 minutes) per person</w:t>
            </w:r>
          </w:p>
        </w:tc>
        <w:tc>
          <w:tcPr>
            <w:tcW w:w="1134" w:type="dxa"/>
          </w:tcPr>
          <w:p>
            <w:pPr>
              <w:pStyle w:val="yTableNAm"/>
            </w:pPr>
            <w:r>
              <w:t>$65.10</w:t>
            </w:r>
          </w:p>
        </w:tc>
      </w:tr>
      <w:tr>
        <w:trPr>
          <w:cantSplit/>
        </w:trPr>
        <w:tc>
          <w:tcPr>
            <w:tcW w:w="578" w:type="dxa"/>
          </w:tcPr>
          <w:p>
            <w:pPr>
              <w:pStyle w:val="yTableNAm"/>
            </w:pPr>
            <w:r>
              <w:t>7.</w:t>
            </w:r>
          </w:p>
        </w:tc>
        <w:tc>
          <w:tcPr>
            <w:tcW w:w="5092" w:type="dxa"/>
          </w:tcPr>
          <w:p>
            <w:pPr>
              <w:pStyle w:val="yTableNAm"/>
            </w:pPr>
            <w:r>
              <w:t>Travel costs</w:t>
            </w:r>
          </w:p>
        </w:tc>
        <w:tc>
          <w:tcPr>
            <w:tcW w:w="1134" w:type="dxa"/>
          </w:tcPr>
          <w:p>
            <w:pPr>
              <w:pStyle w:val="yTableNAm"/>
            </w:pPr>
            <w:r>
              <w:t>$198.20 per hour**</w:t>
            </w:r>
          </w:p>
        </w:tc>
      </w:tr>
      <w:tr>
        <w:trPr>
          <w:cantSplit/>
        </w:trPr>
        <w:tc>
          <w:tcPr>
            <w:tcW w:w="578" w:type="dxa"/>
          </w:tcPr>
          <w:p>
            <w:pPr>
              <w:pStyle w:val="yTableNAm"/>
            </w:pPr>
            <w:r>
              <w:t>8.</w:t>
            </w:r>
          </w:p>
        </w:tc>
        <w:tc>
          <w:tcPr>
            <w:tcW w:w="5092" w:type="dxa"/>
          </w:tcPr>
          <w:p>
            <w:pPr>
              <w:pStyle w:val="yTableNAm"/>
            </w:pPr>
            <w:r>
              <w:t>Treatment management plan for an upper limb injury</w:t>
            </w:r>
          </w:p>
        </w:tc>
        <w:tc>
          <w:tcPr>
            <w:tcW w:w="1134" w:type="dxa"/>
          </w:tcPr>
          <w:p>
            <w:pPr>
              <w:pStyle w:val="yTableNAm"/>
            </w:pPr>
            <w:r>
              <w:t>$87.85</w:t>
            </w:r>
          </w:p>
        </w:tc>
      </w:tr>
    </w:tbl>
    <w:p>
      <w:pPr>
        <w:pStyle w:val="PermNoteHeading"/>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[Schedule 4 inserted: Gazette 21 Oct 2016 p. 4857; amended: Gazette 6 Oct 2017 p. 5228; 19 Oct 2018 p. 4185; 22 Oct 2019 p. 3750</w:t>
      </w:r>
      <w:r>
        <w:noBreakHyphen/>
        <w:t>1.]</w:t>
      </w:r>
    </w:p>
    <w:p>
      <w:pPr>
        <w:pStyle w:val="yScheduleHeading"/>
      </w:pPr>
      <w:bookmarkStart w:id="63" w:name="_Toc22638158"/>
      <w:bookmarkStart w:id="64" w:name="_Toc22641918"/>
      <w:bookmarkStart w:id="65" w:name="_Toc23242900"/>
      <w:bookmarkStart w:id="66" w:name="_Toc23326475"/>
      <w:r>
        <w:rPr>
          <w:rStyle w:val="CharSchNo"/>
        </w:rPr>
        <w:t>Schedule 5</w:t>
      </w:r>
      <w:r>
        <w:rPr>
          <w:rStyle w:val="CharSDivNo"/>
        </w:rPr>
        <w:t> </w:t>
      </w:r>
      <w:r>
        <w:t>—</w:t>
      </w:r>
      <w:r>
        <w:rPr>
          <w:rStyle w:val="CharSDivText"/>
        </w:rPr>
        <w:t> </w:t>
      </w:r>
      <w:r>
        <w:rPr>
          <w:rStyle w:val="CharSchText"/>
        </w:rPr>
        <w:t>Scale of fees: speech pathologists</w:t>
      </w:r>
      <w:bookmarkEnd w:id="63"/>
      <w:bookmarkEnd w:id="64"/>
      <w:bookmarkEnd w:id="65"/>
      <w:bookmarkEnd w:id="66"/>
    </w:p>
    <w:p>
      <w:pPr>
        <w:pStyle w:val="yShoulderClause"/>
      </w:pPr>
      <w:r>
        <w:t>[r. 7]</w:t>
      </w:r>
    </w:p>
    <w:p>
      <w:pPr>
        <w:pStyle w:val="yFootnoteheading"/>
        <w:spacing w:after="60"/>
      </w:pPr>
      <w:r>
        <w:tab/>
        <w:t>[Heading inserted: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Initial consultation/assessment (up to and including 1 hour)</w:t>
            </w:r>
          </w:p>
        </w:tc>
        <w:tc>
          <w:tcPr>
            <w:tcW w:w="1134" w:type="dxa"/>
            <w:tcBorders>
              <w:top w:val="single" w:sz="4" w:space="0" w:color="auto"/>
            </w:tcBorders>
          </w:tcPr>
          <w:p>
            <w:pPr>
              <w:pStyle w:val="yTableNAm"/>
            </w:pPr>
            <w:r>
              <w:br/>
              <w:t>$183.10</w:t>
            </w:r>
          </w:p>
        </w:tc>
      </w:tr>
      <w:tr>
        <w:trPr>
          <w:cantSplit/>
        </w:trPr>
        <w:tc>
          <w:tcPr>
            <w:tcW w:w="578" w:type="dxa"/>
          </w:tcPr>
          <w:p>
            <w:pPr>
              <w:pStyle w:val="yTableNAm"/>
            </w:pPr>
            <w:r>
              <w:t>2.</w:t>
            </w:r>
          </w:p>
        </w:tc>
        <w:tc>
          <w:tcPr>
            <w:tcW w:w="5092" w:type="dxa"/>
          </w:tcPr>
          <w:p>
            <w:pPr>
              <w:pStyle w:val="yTableNAm"/>
            </w:pPr>
            <w:r>
              <w:t>Initial consultation/assessment (exceeding 1 hour)</w:t>
            </w:r>
          </w:p>
        </w:tc>
        <w:tc>
          <w:tcPr>
            <w:tcW w:w="1134" w:type="dxa"/>
          </w:tcPr>
          <w:p>
            <w:pPr>
              <w:pStyle w:val="yTableNAm"/>
            </w:pPr>
            <w:r>
              <w:t>$237.10</w:t>
            </w:r>
          </w:p>
        </w:tc>
      </w:tr>
      <w:tr>
        <w:trPr>
          <w:cantSplit/>
        </w:trPr>
        <w:tc>
          <w:tcPr>
            <w:tcW w:w="578" w:type="dxa"/>
          </w:tcPr>
          <w:p>
            <w:pPr>
              <w:pStyle w:val="yTableNAm"/>
            </w:pPr>
            <w:r>
              <w:t>3.</w:t>
            </w:r>
          </w:p>
        </w:tc>
        <w:tc>
          <w:tcPr>
            <w:tcW w:w="5092" w:type="dxa"/>
          </w:tcPr>
          <w:p>
            <w:pPr>
              <w:pStyle w:val="yTableNAm"/>
            </w:pPr>
            <w:r>
              <w:t>Subsequent consultation (&lt; 30 minutes)</w:t>
            </w:r>
          </w:p>
        </w:tc>
        <w:tc>
          <w:tcPr>
            <w:tcW w:w="1134" w:type="dxa"/>
          </w:tcPr>
          <w:p>
            <w:pPr>
              <w:pStyle w:val="yTableNAm"/>
            </w:pPr>
            <w:r>
              <w:t>$79.85</w:t>
            </w:r>
          </w:p>
        </w:tc>
      </w:tr>
      <w:tr>
        <w:trPr>
          <w:cantSplit/>
        </w:trPr>
        <w:tc>
          <w:tcPr>
            <w:tcW w:w="578" w:type="dxa"/>
          </w:tcPr>
          <w:p>
            <w:pPr>
              <w:pStyle w:val="yTableNAm"/>
            </w:pPr>
            <w:r>
              <w:t>4.</w:t>
            </w:r>
          </w:p>
        </w:tc>
        <w:tc>
          <w:tcPr>
            <w:tcW w:w="5092" w:type="dxa"/>
          </w:tcPr>
          <w:p>
            <w:pPr>
              <w:pStyle w:val="yTableNAm"/>
            </w:pPr>
            <w:r>
              <w:t>Subsequent consultation (30 minutes — 1 hour)</w:t>
            </w:r>
          </w:p>
        </w:tc>
        <w:tc>
          <w:tcPr>
            <w:tcW w:w="1134" w:type="dxa"/>
          </w:tcPr>
          <w:p>
            <w:pPr>
              <w:pStyle w:val="yTableNAm"/>
            </w:pPr>
            <w:r>
              <w:t>$103.70</w:t>
            </w:r>
          </w:p>
        </w:tc>
      </w:tr>
      <w:tr>
        <w:trPr>
          <w:cantSplit/>
        </w:trPr>
        <w:tc>
          <w:tcPr>
            <w:tcW w:w="578" w:type="dxa"/>
            <w:tcBorders>
              <w:bottom w:val="single" w:sz="4" w:space="0" w:color="auto"/>
            </w:tcBorders>
          </w:tcPr>
          <w:p>
            <w:pPr>
              <w:pStyle w:val="yTableNAm"/>
            </w:pPr>
            <w:r>
              <w:t>5.</w:t>
            </w:r>
          </w:p>
        </w:tc>
        <w:tc>
          <w:tcPr>
            <w:tcW w:w="5092" w:type="dxa"/>
            <w:tcBorders>
              <w:bottom w:val="single" w:sz="4" w:space="0" w:color="auto"/>
            </w:tcBorders>
          </w:tcPr>
          <w:p>
            <w:pPr>
              <w:pStyle w:val="yTableNAm"/>
            </w:pPr>
            <w:r>
              <w:t>Subsequent consultation (&gt; 1 hour)</w:t>
            </w:r>
          </w:p>
        </w:tc>
        <w:tc>
          <w:tcPr>
            <w:tcW w:w="1134" w:type="dxa"/>
            <w:tcBorders>
              <w:bottom w:val="single" w:sz="4" w:space="0" w:color="auto"/>
            </w:tcBorders>
          </w:tcPr>
          <w:p>
            <w:pPr>
              <w:pStyle w:val="yTableNAm"/>
            </w:pPr>
            <w:r>
              <w:t>$139.95</w:t>
            </w:r>
          </w:p>
        </w:tc>
      </w:tr>
    </w:tbl>
    <w:p>
      <w:pPr>
        <w:pStyle w:val="yFootnoteheading"/>
        <w:spacing w:after="60"/>
      </w:pPr>
      <w:r>
        <w:tab/>
        <w:t>[Schedule 5 inserted: Gazette 21 Oct 2016 p. 4857; amended: Gazette 6 Oct 2017 p. 5228; 19 Oct 2018 p. 4186; 22 Oct 2019 p. 3751.]</w:t>
      </w:r>
    </w:p>
    <w:p>
      <w:pPr>
        <w:pStyle w:val="yScheduleHeading"/>
      </w:pPr>
      <w:bookmarkStart w:id="67" w:name="_Toc22638159"/>
      <w:bookmarkStart w:id="68" w:name="_Toc22641919"/>
      <w:bookmarkStart w:id="69" w:name="_Toc23242901"/>
      <w:bookmarkStart w:id="70" w:name="_Toc23326476"/>
      <w:r>
        <w:rPr>
          <w:rStyle w:val="CharSchNo"/>
        </w:rPr>
        <w:t>Schedule 5A</w:t>
      </w:r>
      <w:r>
        <w:rPr>
          <w:rStyle w:val="CharSDivNo"/>
        </w:rPr>
        <w:t> </w:t>
      </w:r>
      <w:r>
        <w:t>—</w:t>
      </w:r>
      <w:r>
        <w:rPr>
          <w:rStyle w:val="CharSDivText"/>
        </w:rPr>
        <w:t> </w:t>
      </w:r>
      <w:r>
        <w:rPr>
          <w:rStyle w:val="CharSchText"/>
        </w:rPr>
        <w:t>Scale of fees: exercise physiologists</w:t>
      </w:r>
      <w:bookmarkEnd w:id="67"/>
      <w:bookmarkEnd w:id="68"/>
      <w:bookmarkEnd w:id="69"/>
      <w:bookmarkEnd w:id="70"/>
    </w:p>
    <w:p>
      <w:pPr>
        <w:pStyle w:val="yShoulderClause"/>
      </w:pPr>
      <w:r>
        <w:t>[r. 7B]</w:t>
      </w:r>
    </w:p>
    <w:p>
      <w:pPr>
        <w:pStyle w:val="yFootnoteheading"/>
        <w:spacing w:after="60"/>
      </w:pPr>
      <w:r>
        <w:tab/>
        <w:t>[Heading inserted: Gazette 21 Oct 2016 p. 4858.]</w:t>
      </w:r>
    </w:p>
    <w:p>
      <w:pPr>
        <w:pStyle w:val="yHeading3"/>
      </w:pPr>
      <w:bookmarkStart w:id="71" w:name="_Toc22638160"/>
      <w:bookmarkStart w:id="72" w:name="_Toc22641920"/>
      <w:bookmarkStart w:id="73" w:name="_Toc23242902"/>
      <w:bookmarkStart w:id="74" w:name="_Toc23326477"/>
      <w:r>
        <w:t>Exercise</w:t>
      </w:r>
      <w:r>
        <w:noBreakHyphen/>
        <w:t>based programmes</w:t>
      </w:r>
      <w:bookmarkEnd w:id="71"/>
      <w:bookmarkEnd w:id="72"/>
      <w:bookmarkEnd w:id="73"/>
      <w:bookmarkEnd w:id="74"/>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zyTableNAm"/>
              <w:keepNext/>
            </w:pPr>
          </w:p>
        </w:tc>
        <w:tc>
          <w:tcPr>
            <w:tcW w:w="4536" w:type="dxa"/>
            <w:tcBorders>
              <w:top w:val="single" w:sz="4" w:space="0" w:color="auto"/>
              <w:bottom w:val="single" w:sz="4" w:space="0" w:color="auto"/>
            </w:tcBorders>
          </w:tcPr>
          <w:p>
            <w:pPr>
              <w:pStyle w:val="yTableNAm"/>
            </w:pPr>
            <w:r>
              <w:rPr>
                <w:b/>
              </w:rPr>
              <w:t xml:space="preserve">Type of service </w:t>
            </w:r>
          </w:p>
        </w:tc>
        <w:tc>
          <w:tcPr>
            <w:tcW w:w="1276" w:type="dxa"/>
            <w:tcBorders>
              <w:top w:val="single" w:sz="4" w:space="0" w:color="auto"/>
              <w:bottom w:val="single" w:sz="4" w:space="0" w:color="auto"/>
            </w:tcBorders>
          </w:tcPr>
          <w:p>
            <w:pPr>
              <w:pStyle w:val="yTableNAm"/>
            </w:pPr>
            <w:r>
              <w:rPr>
                <w:b/>
              </w:rPr>
              <w:t>Fee</w:t>
            </w:r>
          </w:p>
        </w:tc>
      </w:tr>
      <w:tr>
        <w:trPr>
          <w:cantSplit/>
        </w:trPr>
        <w:tc>
          <w:tcPr>
            <w:tcW w:w="992" w:type="dxa"/>
            <w:tcBorders>
              <w:top w:val="single" w:sz="4" w:space="0" w:color="auto"/>
            </w:tcBorders>
          </w:tcPr>
          <w:p>
            <w:pPr>
              <w:pStyle w:val="yTableNAm"/>
            </w:pPr>
            <w:r>
              <w:t>EPE20</w:t>
            </w:r>
          </w:p>
        </w:tc>
        <w:tc>
          <w:tcPr>
            <w:tcW w:w="4536"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tcPr>
          <w:p>
            <w:pPr>
              <w:pStyle w:val="yTableNAm"/>
            </w:pPr>
          </w:p>
          <w:p>
            <w:pPr>
              <w:pStyle w:val="yTableNAm"/>
            </w:pPr>
            <w:r>
              <w:t>$200.25</w:t>
            </w:r>
            <w:r>
              <w:br/>
              <w:t>per hour to a maximum of 2 hours**</w:t>
            </w:r>
          </w:p>
        </w:tc>
      </w:tr>
      <w:tr>
        <w:trPr>
          <w:cantSplit/>
        </w:trPr>
        <w:tc>
          <w:tcPr>
            <w:tcW w:w="992" w:type="dxa"/>
          </w:tcPr>
          <w:p>
            <w:pPr>
              <w:pStyle w:val="zyTableNAm"/>
            </w:pPr>
          </w:p>
        </w:tc>
        <w:tc>
          <w:tcPr>
            <w:tcW w:w="4536" w:type="dxa"/>
          </w:tcPr>
          <w:p>
            <w:pPr>
              <w:pStyle w:val="yTableNAm"/>
            </w:pPr>
            <w:r>
              <w:t>Review of current medical and vocational status.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Communication/Liaison with relevant parties.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Physiological assessment/testing.</w:t>
            </w:r>
          </w:p>
        </w:tc>
        <w:tc>
          <w:tcPr>
            <w:tcW w:w="1276" w:type="dxa"/>
          </w:tcPr>
          <w:p>
            <w:pPr>
              <w:pStyle w:val="yTableNAm"/>
            </w:pPr>
          </w:p>
        </w:tc>
      </w:tr>
      <w:tr>
        <w:trPr>
          <w:cantSplit/>
        </w:trPr>
        <w:tc>
          <w:tcPr>
            <w:tcW w:w="992" w:type="dxa"/>
          </w:tcPr>
          <w:p>
            <w:pPr>
              <w:pStyle w:val="zyTableNAm"/>
            </w:pPr>
          </w:p>
        </w:tc>
        <w:tc>
          <w:tcPr>
            <w:tcW w:w="4536" w:type="dxa"/>
          </w:tcPr>
          <w:p>
            <w:pPr>
              <w:pStyle w:val="yTableNAm"/>
            </w:pPr>
            <w:r>
              <w:t>Screening questionnaires relating to worker’s level of function.</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Programme design based on above.</w:t>
            </w:r>
          </w:p>
        </w:tc>
        <w:tc>
          <w:tcPr>
            <w:tcW w:w="1276" w:type="dxa"/>
          </w:tcPr>
          <w:p>
            <w:pPr>
              <w:pStyle w:val="yTableNAm"/>
            </w:pPr>
          </w:p>
        </w:tc>
      </w:tr>
      <w:tr>
        <w:trPr>
          <w:cantSplit/>
        </w:trPr>
        <w:tc>
          <w:tcPr>
            <w:tcW w:w="992" w:type="dxa"/>
          </w:tcPr>
          <w:p>
            <w:pPr>
              <w:pStyle w:val="zyTableNAm"/>
            </w:pPr>
          </w:p>
        </w:tc>
        <w:tc>
          <w:tcPr>
            <w:tcW w:w="4536" w:type="dxa"/>
          </w:tcPr>
          <w:p>
            <w:pPr>
              <w:pStyle w:val="yTableNAm"/>
            </w:pPr>
            <w:r>
              <w:t>Exercise facility/equipment coordination (pool or gym based).</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pPr>
            <w:r>
              <w:t>Provider to patient ratio must be 1:1 for the duration of the consultation.</w:t>
            </w:r>
          </w:p>
        </w:tc>
        <w:tc>
          <w:tcPr>
            <w:tcW w:w="1276" w:type="dxa"/>
            <w:tcBorders>
              <w:bottom w:val="single" w:sz="4" w:space="0" w:color="auto"/>
            </w:tcBorders>
          </w:tcPr>
          <w:p>
            <w:pPr>
              <w:pStyle w:val="yTableNAm"/>
            </w:pPr>
          </w:p>
        </w:tc>
      </w:tr>
      <w:tr>
        <w:trPr>
          <w:cantSplit/>
          <w:trHeight w:val="3250"/>
        </w:trPr>
        <w:tc>
          <w:tcPr>
            <w:tcW w:w="992" w:type="dxa"/>
            <w:tcBorders>
              <w:top w:val="single" w:sz="4" w:space="0" w:color="auto"/>
              <w:bottom w:val="single" w:sz="4" w:space="0" w:color="auto"/>
            </w:tcBorders>
          </w:tcPr>
          <w:p>
            <w:pPr>
              <w:pStyle w:val="yTableNAm"/>
            </w:pPr>
            <w:r>
              <w:t>EPE21</w:t>
            </w:r>
          </w:p>
        </w:tc>
        <w:tc>
          <w:tcPr>
            <w:tcW w:w="4536" w:type="dxa"/>
            <w:tcBorders>
              <w:top w:val="single" w:sz="4" w:space="0" w:color="auto"/>
              <w:bottom w:val="single" w:sz="4" w:space="0" w:color="auto"/>
            </w:tcBorders>
          </w:tcPr>
          <w:p>
            <w:pPr>
              <w:pStyle w:val="yTableNAm"/>
            </w:pPr>
            <w:r>
              <w:rPr>
                <w:b/>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276" w:type="dxa"/>
            <w:tcBorders>
              <w:top w:val="single" w:sz="4" w:space="0" w:color="auto"/>
              <w:bottom w:val="single" w:sz="4" w:space="0" w:color="auto"/>
            </w:tcBorders>
          </w:tcPr>
          <w:p>
            <w:pPr>
              <w:pStyle w:val="yTableNAm"/>
            </w:pPr>
          </w:p>
          <w:p>
            <w:pPr>
              <w:pStyle w:val="yTableNAm"/>
            </w:pPr>
            <w:r>
              <w:t>$200.25</w:t>
            </w:r>
            <w:r>
              <w:br/>
              <w:t>per hour to a maximum of 1 hour**</w:t>
            </w:r>
          </w:p>
        </w:tc>
      </w:tr>
      <w:tr>
        <w:trPr>
          <w:cantSplit/>
        </w:trPr>
        <w:tc>
          <w:tcPr>
            <w:tcW w:w="992" w:type="dxa"/>
            <w:tcBorders>
              <w:top w:val="single" w:sz="4" w:space="0" w:color="auto"/>
            </w:tcBorders>
          </w:tcPr>
          <w:p>
            <w:pPr>
              <w:pStyle w:val="yTableNAm"/>
            </w:pPr>
            <w:r>
              <w:t>EPE02</w:t>
            </w:r>
          </w:p>
        </w:tc>
        <w:tc>
          <w:tcPr>
            <w:tcW w:w="4536" w:type="dxa"/>
            <w:tcBorders>
              <w:top w:val="single" w:sz="4" w:space="0" w:color="auto"/>
            </w:tcBorders>
          </w:tcPr>
          <w:p>
            <w:pPr>
              <w:pStyle w:val="yTableNAm"/>
            </w:pPr>
            <w:r>
              <w:rPr>
                <w:b/>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276" w:type="dxa"/>
            <w:tcBorders>
              <w:top w:val="single" w:sz="4" w:space="0" w:color="auto"/>
            </w:tcBorders>
          </w:tcPr>
          <w:p>
            <w:pPr>
              <w:pStyle w:val="yTableNAm"/>
            </w:pPr>
          </w:p>
          <w:p>
            <w:pPr>
              <w:pStyle w:val="yTableNAm"/>
            </w:pPr>
            <w:r>
              <w:t>$200.25</w:t>
            </w:r>
            <w:r>
              <w:br/>
              <w:t>per hour to a maximum of 1 hour**</w:t>
            </w:r>
          </w:p>
        </w:tc>
      </w:tr>
      <w:tr>
        <w:trPr>
          <w:cantSplit/>
        </w:trPr>
        <w:tc>
          <w:tcPr>
            <w:tcW w:w="992" w:type="dxa"/>
          </w:tcPr>
          <w:p>
            <w:pPr>
              <w:pStyle w:val="zyTableNAm"/>
            </w:pPr>
          </w:p>
        </w:tc>
        <w:tc>
          <w:tcPr>
            <w:tcW w:w="4536" w:type="dxa"/>
          </w:tcPr>
          <w:p>
            <w:pPr>
              <w:pStyle w:val="yTableNAm"/>
              <w:tabs>
                <w:tab w:val="clear" w:pos="567"/>
                <w:tab w:val="left" w:pos="460"/>
              </w:tabs>
              <w:ind w:left="488" w:hanging="488"/>
            </w:pPr>
            <w:r>
              <w:t>•</w:t>
            </w:r>
            <w:r>
              <w:tab/>
              <w:t>current status as per medical certification and proposed outcome status;</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tabs>
                <w:tab w:val="clear" w:pos="567"/>
                <w:tab w:val="left" w:pos="460"/>
              </w:tabs>
              <w:ind w:left="488" w:hanging="488"/>
            </w:pPr>
            <w:r>
              <w:t>•</w:t>
            </w:r>
            <w:r>
              <w:tab/>
              <w:t>detailed cost plan outlining proposed outcome, services required and proposed costs for insurer approval.</w:t>
            </w:r>
          </w:p>
        </w:tc>
        <w:tc>
          <w:tcPr>
            <w:tcW w:w="1276" w:type="dxa"/>
            <w:tcBorders>
              <w:bottom w:val="single" w:sz="4" w:space="0" w:color="auto"/>
            </w:tcBorders>
          </w:tcPr>
          <w:p>
            <w:pPr>
              <w:pStyle w:val="yTableNAm"/>
            </w:pPr>
          </w:p>
        </w:tc>
      </w:tr>
      <w:tr>
        <w:trPr>
          <w:cantSplit/>
        </w:trPr>
        <w:tc>
          <w:tcPr>
            <w:tcW w:w="992" w:type="dxa"/>
            <w:tcBorders>
              <w:top w:val="single" w:sz="4" w:space="0" w:color="auto"/>
              <w:bottom w:val="single" w:sz="4" w:space="0" w:color="auto"/>
            </w:tcBorders>
          </w:tcPr>
          <w:p>
            <w:pPr>
              <w:pStyle w:val="yTableNAm"/>
            </w:pPr>
            <w:r>
              <w:t>EPE03</w:t>
            </w:r>
          </w:p>
        </w:tc>
        <w:tc>
          <w:tcPr>
            <w:tcW w:w="4536"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tcPr>
          <w:p>
            <w:pPr>
              <w:pStyle w:val="yTableNAm"/>
            </w:pPr>
          </w:p>
          <w:p>
            <w:pPr>
              <w:pStyle w:val="yTableNAm"/>
            </w:pPr>
            <w:r>
              <w:t>$200.25</w:t>
            </w:r>
            <w:r>
              <w:br/>
              <w:t>per hour to a maximum of 30 minutes**</w:t>
            </w:r>
          </w:p>
        </w:tc>
      </w:tr>
      <w:tr>
        <w:trPr>
          <w:cantSplit/>
        </w:trPr>
        <w:tc>
          <w:tcPr>
            <w:tcW w:w="992" w:type="dxa"/>
            <w:tcBorders>
              <w:top w:val="single" w:sz="4" w:space="0" w:color="auto"/>
              <w:bottom w:val="single" w:sz="4" w:space="0" w:color="auto"/>
            </w:tcBorders>
          </w:tcPr>
          <w:p>
            <w:pPr>
              <w:pStyle w:val="yTableNAm"/>
            </w:pPr>
            <w:r>
              <w:t>EPE04</w:t>
            </w:r>
          </w:p>
        </w:tc>
        <w:tc>
          <w:tcPr>
            <w:tcW w:w="4536" w:type="dxa"/>
            <w:tcBorders>
              <w:top w:val="single" w:sz="4" w:space="0" w:color="auto"/>
              <w:bottom w:val="single" w:sz="4" w:space="0" w:color="auto"/>
            </w:tcBorders>
          </w:tcPr>
          <w:p>
            <w:pPr>
              <w:pStyle w:val="yTableNAm"/>
            </w:pPr>
            <w:r>
              <w:rPr>
                <w:b/>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276" w:type="dxa"/>
            <w:tcBorders>
              <w:top w:val="single" w:sz="4" w:space="0" w:color="auto"/>
              <w:bottom w:val="single" w:sz="4" w:space="0" w:color="auto"/>
            </w:tcBorders>
          </w:tcPr>
          <w:p>
            <w:pPr>
              <w:pStyle w:val="yTableNAm"/>
            </w:pPr>
          </w:p>
          <w:p>
            <w:pPr>
              <w:pStyle w:val="yTableNAm"/>
            </w:pPr>
            <w:r>
              <w:t>$200.25</w:t>
            </w:r>
            <w:r>
              <w:br/>
              <w:t>per hour to a maximum of 30 minutes**</w:t>
            </w:r>
          </w:p>
        </w:tc>
      </w:tr>
      <w:tr>
        <w:trPr>
          <w:cantSplit/>
        </w:trPr>
        <w:tc>
          <w:tcPr>
            <w:tcW w:w="992" w:type="dxa"/>
            <w:tcBorders>
              <w:top w:val="single" w:sz="4" w:space="0" w:color="auto"/>
              <w:bottom w:val="single" w:sz="4" w:space="0" w:color="auto"/>
            </w:tcBorders>
          </w:tcPr>
          <w:p>
            <w:pPr>
              <w:pStyle w:val="yTableNAm"/>
            </w:pPr>
            <w:r>
              <w:t>EPE05</w:t>
            </w:r>
          </w:p>
        </w:tc>
        <w:tc>
          <w:tcPr>
            <w:tcW w:w="4536"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92" w:type="dxa"/>
            <w:tcBorders>
              <w:top w:val="single" w:sz="4" w:space="0" w:color="auto"/>
              <w:bottom w:val="single" w:sz="4" w:space="0" w:color="auto"/>
            </w:tcBorders>
          </w:tcPr>
          <w:p>
            <w:pPr>
              <w:pStyle w:val="yTableNAm"/>
            </w:pPr>
            <w:r>
              <w:t>EPE06</w:t>
            </w:r>
          </w:p>
        </w:tc>
        <w:tc>
          <w:tcPr>
            <w:tcW w:w="4536" w:type="dxa"/>
            <w:tcBorders>
              <w:top w:val="single" w:sz="4" w:space="0" w:color="auto"/>
              <w:bottom w:val="single" w:sz="4" w:space="0" w:color="auto"/>
            </w:tcBorders>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NAm"/>
            </w:pPr>
          </w:p>
          <w:p>
            <w:pPr>
              <w:pStyle w:val="yTableNAm"/>
            </w:pPr>
            <w:r>
              <w:t>$160.30</w:t>
            </w:r>
            <w:r>
              <w:br/>
              <w:t>per hour**</w:t>
            </w:r>
          </w:p>
        </w:tc>
      </w:tr>
      <w:tr>
        <w:trPr>
          <w:cantSplit/>
        </w:trPr>
        <w:tc>
          <w:tcPr>
            <w:tcW w:w="992" w:type="dxa"/>
            <w:tcBorders>
              <w:top w:val="single" w:sz="4" w:space="0" w:color="auto"/>
              <w:bottom w:val="single" w:sz="4" w:space="0" w:color="auto"/>
            </w:tcBorders>
          </w:tcPr>
          <w:p>
            <w:pPr>
              <w:pStyle w:val="yTableNAm"/>
            </w:pPr>
            <w:r>
              <w:t>EPE08</w:t>
            </w:r>
          </w:p>
        </w:tc>
        <w:tc>
          <w:tcPr>
            <w:tcW w:w="4536"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pPr>
          </w:p>
          <w:p>
            <w:pPr>
              <w:pStyle w:val="yTableNAm"/>
            </w:pPr>
            <w:r>
              <w:t>$20.10</w:t>
            </w:r>
            <w:r>
              <w:br/>
              <w:t>per 6 minute block</w:t>
            </w:r>
          </w:p>
        </w:tc>
      </w:tr>
      <w:tr>
        <w:trPr>
          <w:cantSplit/>
        </w:trPr>
        <w:tc>
          <w:tcPr>
            <w:tcW w:w="992" w:type="dxa"/>
            <w:tcBorders>
              <w:top w:val="single" w:sz="4" w:space="0" w:color="auto"/>
              <w:bottom w:val="single" w:sz="4" w:space="0" w:color="auto"/>
            </w:tcBorders>
          </w:tcPr>
          <w:p>
            <w:pPr>
              <w:pStyle w:val="yTableNAm"/>
            </w:pPr>
            <w:r>
              <w:t>EPE09</w:t>
            </w:r>
          </w:p>
        </w:tc>
        <w:tc>
          <w:tcPr>
            <w:tcW w:w="4536"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tcPr>
          <w:p>
            <w:pPr>
              <w:pStyle w:val="yTableNAm"/>
            </w:pPr>
          </w:p>
          <w:p>
            <w:pPr>
              <w:pStyle w:val="yTableNAm"/>
            </w:pPr>
            <w:r>
              <w:t>$200.25</w:t>
            </w:r>
            <w:r>
              <w:br/>
              <w:t>per hour**</w:t>
            </w:r>
          </w:p>
        </w:tc>
      </w:tr>
    </w:tbl>
    <w:p>
      <w:pPr>
        <w:pStyle w:val="PermNoteHeading"/>
        <w:keepNext w:val="0"/>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[Schedule 5A inserted: Gazette 21 Oct 2016 p. 4858</w:t>
      </w:r>
      <w:r>
        <w:noBreakHyphen/>
        <w:t>60; amended: Gazette 6 Oct 2017 p. 5229; 19 Oct 2018 p. 4186; 22 Oct 2019 p. 3751</w:t>
      </w:r>
      <w:r>
        <w:noBreakHyphen/>
        <w:t>2.]</w:t>
      </w:r>
    </w:p>
    <w:p>
      <w:pPr>
        <w:pStyle w:val="yScheduleHeading"/>
      </w:pPr>
      <w:bookmarkStart w:id="75" w:name="_Toc22638161"/>
      <w:bookmarkStart w:id="76" w:name="_Toc22641921"/>
      <w:bookmarkStart w:id="77" w:name="_Toc23242903"/>
      <w:bookmarkStart w:id="78" w:name="_Toc23326478"/>
      <w:r>
        <w:rPr>
          <w:rStyle w:val="CharSchNo"/>
        </w:rPr>
        <w:t>Schedule 6</w:t>
      </w:r>
      <w:r>
        <w:t> — </w:t>
      </w:r>
      <w:r>
        <w:rPr>
          <w:rStyle w:val="CharSchText"/>
        </w:rPr>
        <w:t>Scale of maximum fees: approved medical specialists</w:t>
      </w:r>
      <w:bookmarkEnd w:id="75"/>
      <w:bookmarkEnd w:id="76"/>
      <w:bookmarkEnd w:id="77"/>
      <w:bookmarkEnd w:id="78"/>
    </w:p>
    <w:p>
      <w:pPr>
        <w:pStyle w:val="yShoulderClause"/>
      </w:pPr>
      <w:r>
        <w:t>[r. 9]</w:t>
      </w:r>
    </w:p>
    <w:p>
      <w:pPr>
        <w:pStyle w:val="yFootnoteheading"/>
        <w:spacing w:after="60"/>
      </w:pPr>
      <w:r>
        <w:tab/>
        <w:t>[Heading inserted: Gazette 21 Oct 2016 p. 4861.]</w:t>
      </w:r>
    </w:p>
    <w:p>
      <w:pPr>
        <w:pStyle w:val="yHeading3"/>
      </w:pPr>
      <w:bookmarkStart w:id="79" w:name="_Toc22638162"/>
      <w:bookmarkStart w:id="80" w:name="_Toc22641922"/>
      <w:bookmarkStart w:id="81" w:name="_Toc23242904"/>
      <w:bookmarkStart w:id="82" w:name="_Toc23326479"/>
      <w:r>
        <w:rPr>
          <w:rStyle w:val="CharSDivNo"/>
        </w:rPr>
        <w:t>Part 1</w:t>
      </w:r>
      <w:r>
        <w:t> — </w:t>
      </w:r>
      <w:r>
        <w:rPr>
          <w:rStyle w:val="CharSDivText"/>
        </w:rPr>
        <w:t>Assessments</w:t>
      </w:r>
      <w:bookmarkEnd w:id="79"/>
      <w:bookmarkEnd w:id="80"/>
      <w:bookmarkEnd w:id="81"/>
      <w:bookmarkEnd w:id="82"/>
    </w:p>
    <w:p>
      <w:pPr>
        <w:pStyle w:val="yFootnoteheading"/>
        <w:spacing w:after="60"/>
      </w:pPr>
      <w:r>
        <w:tab/>
        <w:t>[Heading inserted: Gazette 21 Oct 2016 p. 4861.]</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pPr>
          </w:p>
        </w:tc>
        <w:tc>
          <w:tcPr>
            <w:tcW w:w="4113" w:type="dxa"/>
            <w:tcBorders>
              <w:top w:val="single" w:sz="4" w:space="0" w:color="auto"/>
              <w:bottom w:val="single" w:sz="4" w:space="0" w:color="auto"/>
            </w:tcBorders>
          </w:tcPr>
          <w:p>
            <w:pPr>
              <w:pStyle w:val="yTableNAm"/>
            </w:pPr>
            <w:r>
              <w:rPr>
                <w:b/>
              </w:rPr>
              <w:t>Description of assessment</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Pr>
          <w:p>
            <w:pPr>
              <w:pStyle w:val="yTableNAm"/>
            </w:pPr>
            <w:r>
              <w:t>1.</w:t>
            </w:r>
          </w:p>
        </w:tc>
        <w:tc>
          <w:tcPr>
            <w:tcW w:w="4113" w:type="dxa"/>
          </w:tcPr>
          <w:p>
            <w:pPr>
              <w:pStyle w:val="yTableNAm"/>
            </w:pPr>
            <w:r>
              <w:t>Examination and provision of report and certificate — straightforward assessment — other than a service mentioned in item 4, 5, 6 or 8.</w:t>
            </w:r>
          </w:p>
        </w:tc>
        <w:tc>
          <w:tcPr>
            <w:tcW w:w="2266" w:type="dxa"/>
          </w:tcPr>
          <w:p>
            <w:pPr>
              <w:pStyle w:val="yTableNAm"/>
            </w:pPr>
            <w:r>
              <w:t>$1 350.90 (or, if an interpreter is present at the examination, $1 688.60 excluding any fee payable to the interpreter)</w:t>
            </w:r>
          </w:p>
        </w:tc>
      </w:tr>
      <w:tr>
        <w:trPr>
          <w:cantSplit/>
        </w:trPr>
        <w:tc>
          <w:tcPr>
            <w:tcW w:w="425" w:type="dxa"/>
          </w:tcPr>
          <w:p>
            <w:pPr>
              <w:pStyle w:val="yTableNAm"/>
            </w:pPr>
            <w:r>
              <w:t>2.</w:t>
            </w:r>
          </w:p>
        </w:tc>
        <w:tc>
          <w:tcPr>
            <w:tcW w:w="4113"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yTableNAm"/>
            </w:pPr>
            <w:r>
              <w:t>$1 688.60 (or, if an interpreter is present at the examination, $2 026.30 excluding any fee payable to the interpreter)</w:t>
            </w:r>
          </w:p>
        </w:tc>
      </w:tr>
      <w:tr>
        <w:trPr>
          <w:cantSplit/>
        </w:trPr>
        <w:tc>
          <w:tcPr>
            <w:tcW w:w="425" w:type="dxa"/>
          </w:tcPr>
          <w:p>
            <w:pPr>
              <w:pStyle w:val="yTableNAm"/>
            </w:pPr>
            <w:r>
              <w:t>3.</w:t>
            </w:r>
          </w:p>
        </w:tc>
        <w:tc>
          <w:tcPr>
            <w:tcW w:w="4113"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tcPr>
          <w:p>
            <w:pPr>
              <w:pStyle w:val="yTableNAm"/>
            </w:pPr>
            <w:r>
              <w:t>$2 026.30 (or, if an interpreter is present at the examination, $2 363.95 excluding any fee payable to the interpreter)</w:t>
            </w:r>
          </w:p>
        </w:tc>
      </w:tr>
      <w:tr>
        <w:trPr>
          <w:cantSplit/>
        </w:trPr>
        <w:tc>
          <w:tcPr>
            <w:tcW w:w="425" w:type="dxa"/>
          </w:tcPr>
          <w:p>
            <w:pPr>
              <w:pStyle w:val="yTableNAm"/>
            </w:pPr>
            <w:r>
              <w:t>4.</w:t>
            </w:r>
          </w:p>
        </w:tc>
        <w:tc>
          <w:tcPr>
            <w:tcW w:w="4113" w:type="dxa"/>
          </w:tcPr>
          <w:p>
            <w:pPr>
              <w:pStyle w:val="yTableNAm"/>
            </w:pPr>
            <w:r>
              <w:t>Examination of any ear, nose and throat only, including audiometric testing and provision of report and certificate — other than a service mentioned in item 8.</w:t>
            </w:r>
          </w:p>
        </w:tc>
        <w:tc>
          <w:tcPr>
            <w:tcW w:w="2266" w:type="dxa"/>
          </w:tcPr>
          <w:p>
            <w:pPr>
              <w:pStyle w:val="yTableNAm"/>
            </w:pPr>
            <w:r>
              <w:t>$1 350.90 (or, if an interpreter is present at the examination, $1 688.60 excluding any fee payable to the interpreter)</w:t>
            </w:r>
          </w:p>
        </w:tc>
      </w:tr>
      <w:tr>
        <w:trPr>
          <w:cantSplit/>
        </w:trPr>
        <w:tc>
          <w:tcPr>
            <w:tcW w:w="425" w:type="dxa"/>
          </w:tcPr>
          <w:p>
            <w:pPr>
              <w:pStyle w:val="yTableNAm"/>
            </w:pPr>
            <w:r>
              <w:t>5.</w:t>
            </w:r>
          </w:p>
        </w:tc>
        <w:tc>
          <w:tcPr>
            <w:tcW w:w="4113" w:type="dxa"/>
          </w:tcPr>
          <w:p>
            <w:pPr>
              <w:pStyle w:val="yTableNAm"/>
            </w:pPr>
            <w:r>
              <w:t>Examination and provision of report and certificate — psychiatric — standard assessment — other than a service mentioned in item 8.</w:t>
            </w:r>
          </w:p>
        </w:tc>
        <w:tc>
          <w:tcPr>
            <w:tcW w:w="2266" w:type="dxa"/>
          </w:tcPr>
          <w:p>
            <w:pPr>
              <w:pStyle w:val="yTableNAm"/>
            </w:pPr>
            <w:r>
              <w:t>$2 026.30 (or, if an interpreter is present at the examination, $2 363.95 excluding any fee payable to the interpreter)</w:t>
            </w:r>
          </w:p>
        </w:tc>
      </w:tr>
      <w:tr>
        <w:trPr>
          <w:cantSplit/>
        </w:trPr>
        <w:tc>
          <w:tcPr>
            <w:tcW w:w="425" w:type="dxa"/>
          </w:tcPr>
          <w:p>
            <w:pPr>
              <w:pStyle w:val="yTableNAm"/>
            </w:pPr>
            <w:r>
              <w:t>6.</w:t>
            </w:r>
          </w:p>
        </w:tc>
        <w:tc>
          <w:tcPr>
            <w:tcW w:w="4113" w:type="dxa"/>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tcPr>
          <w:p>
            <w:pPr>
              <w:pStyle w:val="yTableNAm"/>
            </w:pPr>
            <w:r>
              <w:t>$3 377.00 (or, if an interpreter is present at the examination, $3 714.65 excluding any fee payable to the interpreter)</w:t>
            </w:r>
          </w:p>
        </w:tc>
      </w:tr>
      <w:tr>
        <w:trPr>
          <w:cantSplit/>
        </w:trPr>
        <w:tc>
          <w:tcPr>
            <w:tcW w:w="425" w:type="dxa"/>
          </w:tcPr>
          <w:p>
            <w:pPr>
              <w:pStyle w:val="yTableNAm"/>
            </w:pPr>
            <w:r>
              <w:t>7.</w:t>
            </w:r>
          </w:p>
        </w:tc>
        <w:tc>
          <w:tcPr>
            <w:tcW w:w="4113" w:type="dxa"/>
          </w:tcPr>
          <w:p>
            <w:pPr>
              <w:pStyle w:val="yTableNAm"/>
            </w:pPr>
            <w:r>
              <w:t>Consolidation of written assessments from multiple medical practitioners.</w:t>
            </w:r>
          </w:p>
        </w:tc>
        <w:tc>
          <w:tcPr>
            <w:tcW w:w="2266" w:type="dxa"/>
          </w:tcPr>
          <w:p>
            <w:pPr>
              <w:pStyle w:val="yTableNAm"/>
            </w:pPr>
            <w:r>
              <w:t>$675.40</w:t>
            </w:r>
          </w:p>
        </w:tc>
      </w:tr>
      <w:tr>
        <w:trPr>
          <w:cantSplit/>
        </w:trPr>
        <w:tc>
          <w:tcPr>
            <w:tcW w:w="425" w:type="dxa"/>
          </w:tcPr>
          <w:p>
            <w:pPr>
              <w:pStyle w:val="yTableNAm"/>
            </w:pPr>
            <w:r>
              <w:t>8.</w:t>
            </w:r>
          </w:p>
        </w:tc>
        <w:tc>
          <w:tcPr>
            <w:tcW w:w="4113" w:type="dxa"/>
          </w:tcPr>
          <w:p>
            <w:pPr>
              <w:pStyle w:val="yTableNAm"/>
            </w:pPr>
            <w:r>
              <w:t>Re</w:t>
            </w:r>
            <w:r>
              <w:noBreakHyphen/>
              <w:t>examination and provision of report and certificate.</w:t>
            </w:r>
          </w:p>
        </w:tc>
        <w:tc>
          <w:tcPr>
            <w:tcW w:w="2266" w:type="dxa"/>
          </w:tcPr>
          <w:p>
            <w:pPr>
              <w:pStyle w:val="yTableNAm"/>
            </w:pPr>
            <w:r>
              <w:t>$1 013.10 (or, if an interpreter is present at the examination, $1 350.90 excluding any fee payable to the interpreter)</w:t>
            </w:r>
          </w:p>
        </w:tc>
      </w:tr>
      <w:tr>
        <w:trPr>
          <w:cantSplit/>
        </w:trPr>
        <w:tc>
          <w:tcPr>
            <w:tcW w:w="425" w:type="dxa"/>
            <w:tcBorders>
              <w:bottom w:val="single" w:sz="4" w:space="0" w:color="auto"/>
            </w:tcBorders>
          </w:tcPr>
          <w:p>
            <w:pPr>
              <w:pStyle w:val="yTableNAm"/>
            </w:pPr>
            <w:r>
              <w:t>9.</w:t>
            </w:r>
          </w:p>
        </w:tc>
        <w:tc>
          <w:tcPr>
            <w:tcW w:w="4113" w:type="dxa"/>
            <w:tcBorders>
              <w:bottom w:val="single" w:sz="4" w:space="0" w:color="auto"/>
            </w:tcBorders>
          </w:tcPr>
          <w:p>
            <w:pPr>
              <w:pStyle w:val="yTableNAm"/>
            </w:pPr>
            <w:r>
              <w:t>Provision of supplementary report and certificate.</w:t>
            </w:r>
          </w:p>
        </w:tc>
        <w:tc>
          <w:tcPr>
            <w:tcW w:w="2266" w:type="dxa"/>
            <w:tcBorders>
              <w:bottom w:val="single" w:sz="4" w:space="0" w:color="auto"/>
            </w:tcBorders>
          </w:tcPr>
          <w:p>
            <w:pPr>
              <w:pStyle w:val="yTableNAm"/>
            </w:pPr>
            <w:r>
              <w:t>$337.75</w:t>
            </w:r>
          </w:p>
        </w:tc>
      </w:tr>
    </w:tbl>
    <w:p>
      <w:pPr>
        <w:pStyle w:val="yFootnoteheading"/>
        <w:spacing w:after="60"/>
      </w:pPr>
      <w:r>
        <w:tab/>
        <w:t>[Part 1 inserted: Gazette 21 Oct 2016 p. 4861</w:t>
      </w:r>
      <w:r>
        <w:noBreakHyphen/>
        <w:t>2; amended: Gazette 6 Oct 2017 p. 5229</w:t>
      </w:r>
      <w:r>
        <w:noBreakHyphen/>
        <w:t>30; 19 Oct 2018 p. 4187; 22 Oct 2019 p. 3752.]</w:t>
      </w:r>
    </w:p>
    <w:p>
      <w:pPr>
        <w:pStyle w:val="yHeading3"/>
        <w:pageBreakBefore/>
      </w:pPr>
      <w:bookmarkStart w:id="83" w:name="_Toc22638163"/>
      <w:bookmarkStart w:id="84" w:name="_Toc22641923"/>
      <w:bookmarkStart w:id="85" w:name="_Toc23242905"/>
      <w:bookmarkStart w:id="86" w:name="_Toc23326480"/>
      <w:r>
        <w:rPr>
          <w:rStyle w:val="CharSDivNo"/>
        </w:rPr>
        <w:t>Part 2</w:t>
      </w:r>
      <w:r>
        <w:t> — </w:t>
      </w:r>
      <w:r>
        <w:rPr>
          <w:rStyle w:val="CharSDivText"/>
        </w:rPr>
        <w:t>Attempted assessments</w:t>
      </w:r>
      <w:bookmarkEnd w:id="83"/>
      <w:bookmarkEnd w:id="84"/>
      <w:bookmarkEnd w:id="85"/>
      <w:bookmarkEnd w:id="86"/>
    </w:p>
    <w:p>
      <w:pPr>
        <w:pStyle w:val="yFootnoteheading"/>
        <w:spacing w:after="60"/>
      </w:pPr>
      <w:r>
        <w:tab/>
        <w:t>[Heading inserted: Gazette 21 Oct 2016 p. 4862.]</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keepNext/>
            </w:pPr>
          </w:p>
        </w:tc>
        <w:tc>
          <w:tcPr>
            <w:tcW w:w="4113" w:type="dxa"/>
            <w:tcBorders>
              <w:top w:val="single" w:sz="4" w:space="0" w:color="auto"/>
              <w:bottom w:val="single" w:sz="4" w:space="0" w:color="auto"/>
            </w:tcBorders>
          </w:tcPr>
          <w:p>
            <w:pPr>
              <w:pStyle w:val="yTableNAm"/>
            </w:pPr>
            <w:r>
              <w:rPr>
                <w:b/>
              </w:rPr>
              <w:t>Description of circumstances</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Borders>
              <w:top w:val="single" w:sz="4" w:space="0" w:color="auto"/>
            </w:tcBorders>
          </w:tcPr>
          <w:p>
            <w:pPr>
              <w:pStyle w:val="yTableNAm"/>
            </w:pPr>
            <w:r>
              <w:t>1.</w:t>
            </w:r>
          </w:p>
        </w:tc>
        <w:tc>
          <w:tcPr>
            <w:tcW w:w="4113"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yTableNAm"/>
            </w:pPr>
            <w:r>
              <w:t>$675.40</w:t>
            </w:r>
          </w:p>
        </w:tc>
      </w:tr>
      <w:tr>
        <w:trPr>
          <w:cantSplit/>
        </w:trPr>
        <w:tc>
          <w:tcPr>
            <w:tcW w:w="425" w:type="dxa"/>
          </w:tcPr>
          <w:p>
            <w:pPr>
              <w:pStyle w:val="zyTableNAm"/>
            </w:pPr>
          </w:p>
        </w:tc>
        <w:tc>
          <w:tcPr>
            <w:tcW w:w="4113" w:type="dxa"/>
          </w:tcPr>
          <w:p>
            <w:pPr>
              <w:pStyle w:val="yTableNAm"/>
              <w:ind w:left="567" w:hanging="567"/>
            </w:pPr>
            <w:r>
              <w:t>(a)</w:t>
            </w:r>
            <w:r>
              <w:tab/>
              <w:t>no prior arrangements to cancel the examination are made; or</w:t>
            </w:r>
          </w:p>
        </w:tc>
        <w:tc>
          <w:tcPr>
            <w:tcW w:w="2266" w:type="dxa"/>
          </w:tcPr>
          <w:p>
            <w:pPr>
              <w:pStyle w:val="yTableNAm"/>
            </w:pPr>
          </w:p>
        </w:tc>
      </w:tr>
      <w:tr>
        <w:trPr>
          <w:cantSplit/>
        </w:trPr>
        <w:tc>
          <w:tcPr>
            <w:tcW w:w="425" w:type="dxa"/>
            <w:tcBorders>
              <w:bottom w:val="single" w:sz="4" w:space="0" w:color="auto"/>
            </w:tcBorders>
          </w:tcPr>
          <w:p>
            <w:pPr>
              <w:pStyle w:val="zyTableNAm"/>
            </w:pPr>
          </w:p>
        </w:tc>
        <w:tc>
          <w:tcPr>
            <w:tcW w:w="4113" w:type="dxa"/>
            <w:tcBorders>
              <w:bottom w:val="single" w:sz="4" w:space="0" w:color="auto"/>
            </w:tcBorders>
          </w:tcPr>
          <w:p>
            <w:pPr>
              <w:pStyle w:val="yTableNAm"/>
              <w:ind w:left="567" w:hanging="567"/>
            </w:pPr>
            <w:r>
              <w:t>(b)</w:t>
            </w:r>
            <w:r>
              <w:tab/>
              <w:t>the examination is cancelled, otherwise than at the request of the approved medical specialist, with less than one working day’s notice.</w:t>
            </w:r>
          </w:p>
        </w:tc>
        <w:tc>
          <w:tcPr>
            <w:tcW w:w="2266" w:type="dxa"/>
            <w:tcBorders>
              <w:bottom w:val="single" w:sz="4" w:space="0" w:color="auto"/>
            </w:tcBorders>
          </w:tcPr>
          <w:p>
            <w:pPr>
              <w:pStyle w:val="yTableNAm"/>
            </w:pPr>
          </w:p>
        </w:tc>
      </w:tr>
    </w:tbl>
    <w:p>
      <w:pPr>
        <w:pStyle w:val="PermNoteHeading"/>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[Part 2 inserted: Gazette 21 Oct 2016 p. 4862</w:t>
      </w:r>
      <w:r>
        <w:noBreakHyphen/>
        <w:t>3; amended: Gazette 6 Oct 2017 p. 5229</w:t>
      </w:r>
      <w:r>
        <w:noBreakHyphen/>
        <w:t>30; 19 Oct 2018 p. 4187.]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8" w:name="_Toc22638164"/>
      <w:bookmarkStart w:id="89" w:name="_Toc22641924"/>
      <w:bookmarkStart w:id="90" w:name="_Toc23242906"/>
      <w:bookmarkStart w:id="91" w:name="_Toc23326481"/>
      <w:r>
        <w:t>Notes</w:t>
      </w:r>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bookmarkStart w:id="92" w:name="OLE_LINK1"/>
      <w:r>
        <w:rPr>
          <w:i/>
          <w:noProof/>
          <w:snapToGrid w:val="0"/>
        </w:rPr>
        <w:t>Workers’ Compensation and Injury Management (Scales of Fees) Regulations 1998</w:t>
      </w:r>
      <w:bookmarkEnd w:id="92"/>
      <w:r>
        <w:rPr>
          <w:i/>
          <w:snapToGrid w:val="0"/>
        </w:rPr>
        <w:t xml:space="preserve"> </w:t>
      </w:r>
      <w:r>
        <w:rPr>
          <w:snapToGrid w:val="0"/>
        </w:rPr>
        <w:t>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93" w:name="_Toc23326482"/>
      <w:r>
        <w:t>Compilation table</w:t>
      </w:r>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3</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rPr>
          <w:cantSplit/>
        </w:trPr>
        <w:tc>
          <w:tcPr>
            <w:tcW w:w="3119" w:type="dxa"/>
          </w:tcPr>
          <w:p>
            <w:pPr>
              <w:pStyle w:val="nTable"/>
              <w:spacing w:after="40"/>
              <w:ind w:right="113"/>
              <w:rPr>
                <w:i/>
              </w:rPr>
            </w:pPr>
            <w:r>
              <w:rPr>
                <w:i/>
              </w:rPr>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rPr>
          <w:cantSplit/>
        </w:trPr>
        <w:tc>
          <w:tcPr>
            <w:tcW w:w="3119" w:type="dxa"/>
          </w:tcPr>
          <w:p>
            <w:pPr>
              <w:pStyle w:val="nTable"/>
              <w:spacing w:after="40"/>
              <w:ind w:right="113"/>
              <w:rPr>
                <w:i/>
              </w:rPr>
            </w:pPr>
            <w:r>
              <w:rPr>
                <w:i/>
              </w:rPr>
              <w:t>Workers’ Compensation and Injury Management (Scales of Fees) Amendment Regulations 2018</w:t>
            </w:r>
            <w:r>
              <w:t xml:space="preserve"> </w:t>
            </w:r>
          </w:p>
        </w:tc>
        <w:tc>
          <w:tcPr>
            <w:tcW w:w="1276" w:type="dxa"/>
          </w:tcPr>
          <w:p>
            <w:pPr>
              <w:pStyle w:val="nTable"/>
              <w:spacing w:after="40"/>
            </w:pPr>
            <w:r>
              <w:t>19 Oct 2018 p. 4161</w:t>
            </w:r>
            <w:r>
              <w:noBreakHyphen/>
              <w:t>87</w:t>
            </w:r>
          </w:p>
        </w:tc>
        <w:tc>
          <w:tcPr>
            <w:tcW w:w="2693" w:type="dxa"/>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r>
        <w:trPr>
          <w:cantSplit/>
        </w:trPr>
        <w:tc>
          <w:tcPr>
            <w:tcW w:w="3119" w:type="dxa"/>
            <w:tcBorders>
              <w:bottom w:val="single" w:sz="4" w:space="0" w:color="auto"/>
            </w:tcBorders>
          </w:tcPr>
          <w:p>
            <w:pPr>
              <w:pStyle w:val="nTable"/>
              <w:spacing w:after="40"/>
            </w:pPr>
            <w:r>
              <w:rPr>
                <w:i/>
              </w:rPr>
              <w:t>Workers’ Compensation and Injury Management (Scales of Fees) Amendment Regulations 2019</w:t>
            </w:r>
          </w:p>
        </w:tc>
        <w:tc>
          <w:tcPr>
            <w:tcW w:w="1276" w:type="dxa"/>
            <w:tcBorders>
              <w:bottom w:val="single" w:sz="4" w:space="0" w:color="auto"/>
            </w:tcBorders>
          </w:tcPr>
          <w:p>
            <w:pPr>
              <w:pStyle w:val="nTable"/>
              <w:spacing w:after="40"/>
            </w:pPr>
            <w:r>
              <w:t>22 Oct 2019</w:t>
            </w:r>
            <w:r>
              <w:br/>
              <w:t>p. 3733</w:t>
            </w:r>
            <w:r>
              <w:noBreakHyphen/>
              <w:t>52</w:t>
            </w:r>
          </w:p>
        </w:tc>
        <w:tc>
          <w:tcPr>
            <w:tcW w:w="2693" w:type="dxa"/>
            <w:tcBorders>
              <w:bottom w:val="single" w:sz="4" w:space="0" w:color="auto"/>
            </w:tcBorders>
          </w:tcPr>
          <w:p>
            <w:pPr>
              <w:pStyle w:val="nTable"/>
              <w:spacing w:after="40"/>
              <w:rPr>
                <w:bCs/>
                <w:noProof/>
                <w:snapToGrid w:val="0"/>
                <w:spacing w:val="-2"/>
              </w:rPr>
            </w:pPr>
            <w:r>
              <w:t>r. 1 and 2: 22 Oct 2019 (see r. 2(a));</w:t>
            </w:r>
            <w:r>
              <w:br/>
              <w:t>Regulations other than r. 1 and 2: 1 Nov 2019 (see r. 2(b))</w:t>
            </w:r>
          </w:p>
        </w:tc>
      </w:tr>
    </w:tbl>
    <w:p>
      <w:pPr>
        <w:pStyle w:val="nSubsection"/>
        <w:spacing w:before="360"/>
      </w:pPr>
      <w:r>
        <w:rPr>
          <w:vertAlign w:val="superscript"/>
        </w:rPr>
        <w:t>2</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95" w:name="_Toc22638166"/>
      <w:bookmarkStart w:id="96" w:name="_Toc22641927"/>
      <w:bookmarkStart w:id="97" w:name="_Toc23242908"/>
      <w:bookmarkStart w:id="98" w:name="_Toc23326483"/>
      <w:r>
        <w:rPr>
          <w:sz w:val="28"/>
        </w:rPr>
        <w:t>Defined terms</w:t>
      </w:r>
      <w:bookmarkEnd w:id="95"/>
      <w:bookmarkEnd w:id="96"/>
      <w:bookmarkEnd w:id="97"/>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acupuncturist</w:t>
      </w:r>
      <w:r>
        <w:tab/>
        <w:t>7C(1)</w:t>
      </w:r>
    </w:p>
    <w:p>
      <w:pPr>
        <w:pStyle w:val="DefinedTerms"/>
      </w:pPr>
      <w:r>
        <w:t>after</w:t>
      </w:r>
      <w:r>
        <w:noBreakHyphen/>
        <w:t>hours</w:t>
      </w:r>
      <w:r>
        <w:tab/>
        <w:t>Sch. 1</w:t>
      </w:r>
    </w:p>
    <w:p>
      <w:pPr>
        <w:pStyle w:val="DefinedTerms"/>
      </w:pPr>
      <w:r>
        <w:t>and</w:t>
      </w:r>
      <w:r>
        <w:tab/>
        <w:t>Sch. 1</w:t>
      </w:r>
    </w:p>
    <w:p>
      <w:pPr>
        <w:pStyle w:val="DefinedTerms"/>
      </w:pPr>
      <w:r>
        <w:t>closed reduction</w:t>
      </w:r>
      <w:r>
        <w:tab/>
        <w:t>Sch. 1</w:t>
      </w:r>
    </w:p>
    <w:p>
      <w:pPr>
        <w:pStyle w:val="DefinedTerms"/>
      </w:pPr>
      <w:r>
        <w:t>exposure</w:t>
      </w:r>
      <w:r>
        <w:tab/>
        <w:t>Sch. 1</w:t>
      </w:r>
    </w:p>
    <w:p>
      <w:pPr>
        <w:pStyle w:val="DefinedTerms"/>
      </w:pPr>
      <w:r>
        <w:t>GST</w:t>
      </w:r>
      <w:r>
        <w:tab/>
        <w:t>10(1)</w:t>
      </w:r>
    </w:p>
    <w:p>
      <w:pPr>
        <w:pStyle w:val="DefinedTerms"/>
      </w:pPr>
      <w:r>
        <w:t>MBS item number</w:t>
      </w:r>
      <w:r>
        <w:tab/>
        <w:t>2(2)</w:t>
      </w:r>
    </w:p>
    <w:p>
      <w:pPr>
        <w:pStyle w:val="DefinedTerms"/>
      </w:pPr>
      <w:r>
        <w:t>open reduction</w:t>
      </w:r>
      <w:r>
        <w:tab/>
        <w:t>Sch. 1</w:t>
      </w:r>
    </w:p>
    <w:p>
      <w:pPr>
        <w:pStyle w:val="DefinedTerms"/>
      </w:pPr>
      <w:r>
        <w:t>other</w:t>
      </w:r>
      <w:r>
        <w:tab/>
        <w:t>Sch. 1</w:t>
      </w:r>
    </w:p>
    <w:p>
      <w:pPr>
        <w:pStyle w:val="DefinedTerms"/>
      </w:pPr>
      <w:r>
        <w:t>report and certificate</w:t>
      </w:r>
      <w:r>
        <w:tab/>
        <w:t>9(2)</w:t>
      </w:r>
    </w:p>
    <w:p>
      <w:pPr>
        <w:pStyle w:val="DefinedTerms"/>
      </w:pPr>
      <w:r>
        <w:t>use</w:t>
      </w:r>
      <w:r>
        <w:tab/>
        <w:t>Sch. 1</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 w:name="Schedule"/>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lvlText w:val="%1."/>
      <w:lvlJc w:val="left"/>
      <w:pPr>
        <w:tabs>
          <w:tab w:val="num" w:pos="1492"/>
        </w:tabs>
        <w:ind w:left="1492" w:hanging="360"/>
      </w:pPr>
    </w:lvl>
  </w:abstractNum>
  <w:abstractNum w:abstractNumId="1">
    <w:nsid w:val="FFFFFF7D"/>
    <w:multiLevelType w:val="singleLevel"/>
    <w:tmpl w:val="AC780C5E"/>
    <w:lvl w:ilvl="0">
      <w:start w:val="1"/>
      <w:numFmt w:val="decimal"/>
      <w:lvlText w:val="%1."/>
      <w:lvlJc w:val="left"/>
      <w:pPr>
        <w:tabs>
          <w:tab w:val="num" w:pos="1209"/>
        </w:tabs>
        <w:ind w:left="1209" w:hanging="360"/>
      </w:pPr>
    </w:lvl>
  </w:abstractNum>
  <w:abstractNum w:abstractNumId="2">
    <w:nsid w:val="FFFFFF7E"/>
    <w:multiLevelType w:val="singleLevel"/>
    <w:tmpl w:val="3906ECD8"/>
    <w:lvl w:ilvl="0">
      <w:start w:val="1"/>
      <w:numFmt w:val="decimal"/>
      <w:lvlText w:val="%1."/>
      <w:lvlJc w:val="left"/>
      <w:pPr>
        <w:tabs>
          <w:tab w:val="num" w:pos="926"/>
        </w:tabs>
        <w:ind w:left="926" w:hanging="360"/>
      </w:pPr>
    </w:lvl>
  </w:abstractNum>
  <w:abstractNum w:abstractNumId="3">
    <w:nsid w:val="FFFFFF7F"/>
    <w:multiLevelType w:val="singleLevel"/>
    <w:tmpl w:val="B3126976"/>
    <w:lvl w:ilvl="0">
      <w:start w:val="1"/>
      <w:numFmt w:val="decimal"/>
      <w:lvlText w:val="%1."/>
      <w:lvlJc w:val="left"/>
      <w:pPr>
        <w:tabs>
          <w:tab w:val="num" w:pos="643"/>
        </w:tabs>
        <w:ind w:left="643" w:hanging="360"/>
      </w:pPr>
    </w:lvl>
  </w:abstractNum>
  <w:abstractNum w:abstractNumId="4">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lvlText w:val="%1."/>
      <w:lvlJc w:val="left"/>
      <w:pPr>
        <w:tabs>
          <w:tab w:val="num" w:pos="360"/>
        </w:tabs>
        <w:ind w:left="360" w:hanging="360"/>
      </w:pPr>
    </w:lvl>
  </w:abstractNum>
  <w:abstractNum w:abstractNumId="9">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0"/>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4"/>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22114608"/>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link w:val="HeaderCha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link w:val="HeaderCha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F2B02-13D9-457E-9320-28EA784B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13882</Words>
  <Characters>75802</Characters>
  <Application>Microsoft Office Word</Application>
  <DocSecurity>0</DocSecurity>
  <Lines>4458</Lines>
  <Paragraphs>3449</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1998 - 05-n0-01</vt:lpstr>
    </vt:vector>
  </TitlesOfParts>
  <Manager/>
  <Company/>
  <LinksUpToDate>false</LinksUpToDate>
  <CharactersWithSpaces>86235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1998 - 05-n0-02</dc:title>
  <dc:subject/>
  <dc:creator/>
  <cp:keywords/>
  <dc:description/>
  <cp:lastModifiedBy>svcMRProcess</cp:lastModifiedBy>
  <cp:revision>4</cp:revision>
  <cp:lastPrinted>2019-10-30T04:52:00Z</cp:lastPrinted>
  <dcterms:created xsi:type="dcterms:W3CDTF">2019-10-30T08:21:00Z</dcterms:created>
  <dcterms:modified xsi:type="dcterms:W3CDTF">2019-10-30T08:21:00Z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DocumentType">
    <vt:lpwstr>Reg</vt:lpwstr>
  </property>
  <property fmtid="{D5CDD505-2E9C-101B-9397-08002B2CF9AE}" pid="4" name="OwlsUID">
    <vt:i4>101</vt:i4>
  </property>
  <property fmtid="{D5CDD505-2E9C-101B-9397-08002B2CF9AE}" pid="5" name="ReprintNo">
    <vt:lpwstr>5</vt:lpwstr>
  </property>
  <property fmtid="{D5CDD505-2E9C-101B-9397-08002B2CF9AE}" pid="6" name="ReprintedAsAt">
    <vt:filetime>2013-05-16T16:00:00Z</vt:filetime>
  </property>
  <property fmtid="{D5CDD505-2E9C-101B-9397-08002B2CF9AE}" pid="7" name="AsAtDate">
    <vt:lpwstr>01 Nov 2019</vt:lpwstr>
  </property>
  <property fmtid="{D5CDD505-2E9C-101B-9397-08002B2CF9AE}" pid="8" name="Suffix">
    <vt:lpwstr>05-n0-02</vt:lpwstr>
  </property>
  <property fmtid="{D5CDD505-2E9C-101B-9397-08002B2CF9AE}" pid="9" name="CommencementDate">
    <vt:lpwstr>20191101</vt:lpwstr>
  </property>
</Properties>
</file>