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_Toc27129918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_Toc27129919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_Toc27129920 \h </w:instrText>
      </w:r>
      <w:r>
        <w:fldChar w:fldCharType="separate"/>
      </w:r>
      <w:r>
        <w:t>1</w:t>
      </w:r>
      <w:r>
        <w:fldChar w:fldCharType="end"/>
      </w:r>
    </w:p>
    <w:p>
      <w:pPr>
        <w:pStyle w:val="TOC8"/>
        <w:rPr>
          <w:rFonts w:asciiTheme="minorHAnsi" w:eastAsiaTheme="minorEastAsia" w:hAnsiTheme="minorHAnsi" w:cstheme="minorBidi"/>
          <w:szCs w:val="22"/>
        </w:rPr>
      </w:pPr>
      <w:r>
        <w:t>4.</w:t>
      </w:r>
      <w:r>
        <w:tab/>
        <w:t>New contestable customer arrangement</w:t>
      </w:r>
      <w:r>
        <w:tab/>
      </w:r>
      <w:r>
        <w:fldChar w:fldCharType="begin"/>
      </w:r>
      <w:r>
        <w:instrText xml:space="preserve"> PAGEREF _Toc27129921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Segregation</w:t>
      </w:r>
    </w:p>
    <w:p>
      <w:pPr>
        <w:pStyle w:val="TOC4"/>
        <w:tabs>
          <w:tab w:val="right" w:leader="dot" w:pos="7077"/>
        </w:tabs>
        <w:rPr>
          <w:rFonts w:asciiTheme="minorHAnsi" w:eastAsiaTheme="minorEastAsia" w:hAnsiTheme="minorHAnsi" w:cstheme="minorBidi"/>
          <w:b w:val="0"/>
          <w:szCs w:val="22"/>
        </w:rPr>
      </w:pPr>
      <w:r>
        <w:t>Division 1 — Segmentation of EGRC operations</w:t>
      </w:r>
    </w:p>
    <w:p>
      <w:pPr>
        <w:pStyle w:val="TOC8"/>
        <w:rPr>
          <w:rFonts w:asciiTheme="minorHAnsi" w:eastAsiaTheme="minorEastAsia" w:hAnsiTheme="minorHAnsi" w:cstheme="minorBidi"/>
          <w:szCs w:val="22"/>
        </w:rPr>
      </w:pPr>
      <w:r>
        <w:t>5.</w:t>
      </w:r>
      <w:r>
        <w:tab/>
        <w:t>Division of EGRC operations into segments</w:t>
      </w:r>
      <w:r>
        <w:tab/>
      </w:r>
      <w:r>
        <w:fldChar w:fldCharType="begin"/>
      </w:r>
      <w:r>
        <w:instrText xml:space="preserve"> PAGEREF _Toc27129924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Financial administration</w:t>
      </w:r>
    </w:p>
    <w:p>
      <w:pPr>
        <w:pStyle w:val="TOC6"/>
        <w:tabs>
          <w:tab w:val="right" w:leader="dot" w:pos="7077"/>
        </w:tabs>
        <w:rPr>
          <w:rFonts w:asciiTheme="minorHAnsi" w:eastAsiaTheme="minorEastAsia" w:hAnsiTheme="minorHAnsi" w:cstheme="minorBidi"/>
          <w:b w:val="0"/>
          <w:sz w:val="22"/>
          <w:szCs w:val="22"/>
        </w:rPr>
      </w:pPr>
      <w:r>
        <w:t>Subdivision 1 — Reporting</w:t>
      </w:r>
    </w:p>
    <w:p>
      <w:pPr>
        <w:pStyle w:val="TOC8"/>
        <w:rPr>
          <w:rFonts w:asciiTheme="minorHAnsi" w:eastAsiaTheme="minorEastAsia" w:hAnsiTheme="minorHAnsi" w:cstheme="minorBidi"/>
          <w:szCs w:val="22"/>
        </w:rPr>
      </w:pPr>
      <w:r>
        <w:t>6.</w:t>
      </w:r>
      <w:r>
        <w:tab/>
        <w:t>Quarterly statements of financial performance</w:t>
      </w:r>
      <w:r>
        <w:tab/>
      </w:r>
      <w:r>
        <w:fldChar w:fldCharType="begin"/>
      </w:r>
      <w:r>
        <w:instrText xml:space="preserve"> PAGEREF _Toc27129927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of AASB 8</w:t>
      </w:r>
      <w:r>
        <w:tab/>
      </w:r>
      <w:r>
        <w:fldChar w:fldCharType="begin"/>
      </w:r>
      <w:r>
        <w:instrText xml:space="preserve"> PAGEREF _Toc27129928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Arrangements and records in respect of certain transactions</w:t>
      </w:r>
    </w:p>
    <w:p>
      <w:pPr>
        <w:pStyle w:val="TOC8"/>
        <w:rPr>
          <w:rFonts w:asciiTheme="minorHAnsi" w:eastAsiaTheme="minorEastAsia" w:hAnsiTheme="minorHAnsi" w:cstheme="minorBidi"/>
          <w:szCs w:val="22"/>
        </w:rPr>
      </w:pPr>
      <w:r>
        <w:t>8.</w:t>
      </w:r>
      <w:r>
        <w:tab/>
        <w:t>Transactions</w:t>
      </w:r>
      <w:r>
        <w:tab/>
      </w:r>
      <w:r>
        <w:fldChar w:fldCharType="begin"/>
      </w:r>
      <w:r>
        <w:instrText xml:space="preserve"> PAGEREF _Toc27129930 \h </w:instrText>
      </w:r>
      <w:r>
        <w:fldChar w:fldCharType="separate"/>
      </w:r>
      <w:r>
        <w:t>8</w:t>
      </w:r>
      <w:r>
        <w:fldChar w:fldCharType="end"/>
      </w:r>
    </w:p>
    <w:p>
      <w:pPr>
        <w:pStyle w:val="TOC8"/>
        <w:rPr>
          <w:rFonts w:asciiTheme="minorHAnsi" w:eastAsiaTheme="minorEastAsia" w:hAnsiTheme="minorHAnsi" w:cstheme="minorBidi"/>
          <w:szCs w:val="22"/>
        </w:rPr>
      </w:pPr>
      <w:r>
        <w:t>9.</w:t>
      </w:r>
      <w:r>
        <w:tab/>
        <w:t>Supply arrangements</w:t>
      </w:r>
      <w:r>
        <w:tab/>
      </w:r>
      <w:r>
        <w:fldChar w:fldCharType="begin"/>
      </w:r>
      <w:r>
        <w:instrText xml:space="preserve"> PAGEREF _Toc27129931 \h </w:instrText>
      </w:r>
      <w:r>
        <w:fldChar w:fldCharType="separate"/>
      </w:r>
      <w:r>
        <w:t>9</w:t>
      </w:r>
      <w:r>
        <w:fldChar w:fldCharType="end"/>
      </w:r>
    </w:p>
    <w:p>
      <w:pPr>
        <w:pStyle w:val="TOC8"/>
        <w:rPr>
          <w:rFonts w:asciiTheme="minorHAnsi" w:eastAsiaTheme="minorEastAsia" w:hAnsiTheme="minorHAnsi" w:cstheme="minorBidi"/>
          <w:szCs w:val="22"/>
        </w:rPr>
      </w:pPr>
      <w:r>
        <w:t>10.</w:t>
      </w:r>
      <w:r>
        <w:tab/>
        <w:t>Records of transactions</w:t>
      </w:r>
      <w:r>
        <w:tab/>
      </w:r>
      <w:r>
        <w:fldChar w:fldCharType="begin"/>
      </w:r>
      <w:r>
        <w:instrText xml:space="preserve"> PAGEREF _Toc27129932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Foundation transfer price mechanism</w:t>
      </w:r>
    </w:p>
    <w:p>
      <w:pPr>
        <w:pStyle w:val="TOC8"/>
        <w:rPr>
          <w:rFonts w:asciiTheme="minorHAnsi" w:eastAsiaTheme="minorEastAsia" w:hAnsiTheme="minorHAnsi" w:cstheme="minorBidi"/>
          <w:szCs w:val="22"/>
        </w:rPr>
      </w:pPr>
      <w:r>
        <w:t>11.</w:t>
      </w:r>
      <w:r>
        <w:tab/>
        <w:t>Foundation transfer price mechanism</w:t>
      </w:r>
      <w:r>
        <w:tab/>
      </w:r>
      <w:r>
        <w:fldChar w:fldCharType="begin"/>
      </w:r>
      <w:r>
        <w:instrText xml:space="preserve"> PAGEREF _Toc27129934 \h </w:instrText>
      </w:r>
      <w:r>
        <w:fldChar w:fldCharType="separate"/>
      </w:r>
      <w:r>
        <w:t>10</w:t>
      </w:r>
      <w:r>
        <w:fldChar w:fldCharType="end"/>
      </w:r>
    </w:p>
    <w:p>
      <w:pPr>
        <w:pStyle w:val="TOC8"/>
        <w:rPr>
          <w:rFonts w:asciiTheme="minorHAnsi" w:eastAsiaTheme="minorEastAsia" w:hAnsiTheme="minorHAnsi" w:cstheme="minorBidi"/>
          <w:szCs w:val="22"/>
        </w:rPr>
      </w:pPr>
      <w:r>
        <w:t>12.</w:t>
      </w:r>
      <w:r>
        <w:tab/>
        <w:t>Revision of foundation transfer price mechanism</w:t>
      </w:r>
      <w:r>
        <w:tab/>
      </w:r>
      <w:r>
        <w:fldChar w:fldCharType="begin"/>
      </w:r>
      <w:r>
        <w:instrText xml:space="preserve"> PAGEREF _Toc27129935 \h </w:instrText>
      </w:r>
      <w:r>
        <w:fldChar w:fldCharType="separate"/>
      </w:r>
      <w:r>
        <w:t>11</w:t>
      </w:r>
      <w:r>
        <w:fldChar w:fldCharType="end"/>
      </w:r>
    </w:p>
    <w:p>
      <w:pPr>
        <w:pStyle w:val="TOC8"/>
        <w:rPr>
          <w:rFonts w:asciiTheme="minorHAnsi" w:eastAsiaTheme="minorEastAsia" w:hAnsiTheme="minorHAnsi" w:cstheme="minorBidi"/>
          <w:szCs w:val="22"/>
        </w:rPr>
      </w:pPr>
      <w:r>
        <w:t>12A.</w:t>
      </w:r>
      <w:r>
        <w:tab/>
        <w:t>Publishing foundation transfer price mechanism on EGRC’s website</w:t>
      </w:r>
      <w:r>
        <w:tab/>
      </w:r>
      <w:r>
        <w:fldChar w:fldCharType="begin"/>
      </w:r>
      <w:r>
        <w:instrText xml:space="preserve"> PAGEREF _Toc27129936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Other segregation obligations</w:t>
      </w:r>
    </w:p>
    <w:p>
      <w:pPr>
        <w:pStyle w:val="TOC8"/>
        <w:rPr>
          <w:rFonts w:asciiTheme="minorHAnsi" w:eastAsiaTheme="minorEastAsia" w:hAnsiTheme="minorHAnsi" w:cstheme="minorBidi"/>
          <w:szCs w:val="22"/>
        </w:rPr>
      </w:pPr>
      <w:r>
        <w:t>13.</w:t>
      </w:r>
      <w:r>
        <w:tab/>
        <w:t>Disclosure of restricted information</w:t>
      </w:r>
      <w:r>
        <w:tab/>
      </w:r>
      <w:r>
        <w:fldChar w:fldCharType="begin"/>
      </w:r>
      <w:r>
        <w:instrText xml:space="preserve"> PAGEREF _Toc27129938 \h </w:instrText>
      </w:r>
      <w:r>
        <w:fldChar w:fldCharType="separate"/>
      </w:r>
      <w:r>
        <w:t>12</w:t>
      </w:r>
      <w:r>
        <w:fldChar w:fldCharType="end"/>
      </w:r>
    </w:p>
    <w:p>
      <w:pPr>
        <w:pStyle w:val="TOC8"/>
        <w:rPr>
          <w:rFonts w:asciiTheme="minorHAnsi" w:eastAsiaTheme="minorEastAsia" w:hAnsiTheme="minorHAnsi" w:cstheme="minorBidi"/>
          <w:szCs w:val="22"/>
        </w:rPr>
      </w:pPr>
      <w:r>
        <w:t>14.</w:t>
      </w:r>
      <w:r>
        <w:tab/>
        <w:t>Information technology access controls</w:t>
      </w:r>
      <w:r>
        <w:tab/>
      </w:r>
      <w:r>
        <w:fldChar w:fldCharType="begin"/>
      </w:r>
      <w:r>
        <w:instrText xml:space="preserve"> PAGEREF _Toc27129939 \h </w:instrText>
      </w:r>
      <w:r>
        <w:fldChar w:fldCharType="separate"/>
      </w:r>
      <w:r>
        <w:t>13</w:t>
      </w:r>
      <w:r>
        <w:fldChar w:fldCharType="end"/>
      </w:r>
    </w:p>
    <w:p>
      <w:pPr>
        <w:pStyle w:val="TOC8"/>
        <w:rPr>
          <w:rFonts w:asciiTheme="minorHAnsi" w:eastAsiaTheme="minorEastAsia" w:hAnsiTheme="minorHAnsi" w:cstheme="minorBidi"/>
          <w:szCs w:val="22"/>
        </w:rPr>
      </w:pPr>
      <w:r>
        <w:t>15.</w:t>
      </w:r>
      <w:r>
        <w:tab/>
        <w:t>Training</w:t>
      </w:r>
      <w:r>
        <w:tab/>
      </w:r>
      <w:r>
        <w:fldChar w:fldCharType="begin"/>
      </w:r>
      <w:r>
        <w:instrText xml:space="preserve"> PAGEREF _Toc27129940 \h </w:instrText>
      </w:r>
      <w:r>
        <w:fldChar w:fldCharType="separate"/>
      </w:r>
      <w:r>
        <w:t>13</w:t>
      </w:r>
      <w:r>
        <w:fldChar w:fldCharType="end"/>
      </w:r>
    </w:p>
    <w:p>
      <w:pPr>
        <w:pStyle w:val="TOC8"/>
        <w:rPr>
          <w:rFonts w:asciiTheme="minorHAnsi" w:eastAsiaTheme="minorEastAsia" w:hAnsiTheme="minorHAnsi" w:cstheme="minorBidi"/>
          <w:szCs w:val="22"/>
        </w:rPr>
      </w:pPr>
      <w:r>
        <w:t>16.</w:t>
      </w:r>
      <w:r>
        <w:tab/>
        <w:t>Separate work areas</w:t>
      </w:r>
      <w:r>
        <w:tab/>
      </w:r>
      <w:r>
        <w:fldChar w:fldCharType="begin"/>
      </w:r>
      <w:r>
        <w:instrText xml:space="preserve"> PAGEREF _Toc27129941 \h </w:instrText>
      </w:r>
      <w:r>
        <w:fldChar w:fldCharType="separate"/>
      </w:r>
      <w:r>
        <w:t>13</w:t>
      </w:r>
      <w:r>
        <w:fldChar w:fldCharType="end"/>
      </w:r>
    </w:p>
    <w:p>
      <w:pPr>
        <w:pStyle w:val="TOC8"/>
        <w:rPr>
          <w:rFonts w:asciiTheme="minorHAnsi" w:eastAsiaTheme="minorEastAsia" w:hAnsiTheme="minorHAnsi" w:cstheme="minorBidi"/>
          <w:szCs w:val="22"/>
        </w:rPr>
      </w:pPr>
      <w:r>
        <w:t>17.</w:t>
      </w:r>
      <w:r>
        <w:tab/>
        <w:t>Separation of management roles</w:t>
      </w:r>
      <w:r>
        <w:tab/>
      </w:r>
      <w:r>
        <w:fldChar w:fldCharType="begin"/>
      </w:r>
      <w:r>
        <w:instrText xml:space="preserve"> PAGEREF _Toc27129942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Segregation arrangements</w:t>
      </w:r>
    </w:p>
    <w:p>
      <w:pPr>
        <w:pStyle w:val="TOC8"/>
        <w:rPr>
          <w:rFonts w:asciiTheme="minorHAnsi" w:eastAsiaTheme="minorEastAsia" w:hAnsiTheme="minorHAnsi" w:cstheme="minorBidi"/>
          <w:szCs w:val="22"/>
        </w:rPr>
      </w:pPr>
      <w:r>
        <w:t>18.</w:t>
      </w:r>
      <w:r>
        <w:tab/>
        <w:t>Minister may approve arrangements</w:t>
      </w:r>
      <w:r>
        <w:tab/>
      </w:r>
      <w:r>
        <w:fldChar w:fldCharType="begin"/>
      </w:r>
      <w:r>
        <w:instrText xml:space="preserve"> PAGEREF _Toc27129944 \h </w:instrText>
      </w:r>
      <w:r>
        <w:fldChar w:fldCharType="separate"/>
      </w:r>
      <w:r>
        <w:t>14</w:t>
      </w:r>
      <w:r>
        <w:fldChar w:fldCharType="end"/>
      </w:r>
    </w:p>
    <w:p>
      <w:pPr>
        <w:pStyle w:val="TOC8"/>
        <w:rPr>
          <w:rFonts w:asciiTheme="minorHAnsi" w:eastAsiaTheme="minorEastAsia" w:hAnsiTheme="minorHAnsi" w:cstheme="minorBidi"/>
          <w:szCs w:val="22"/>
        </w:rPr>
      </w:pPr>
      <w:r>
        <w:t>19.</w:t>
      </w:r>
      <w:r>
        <w:tab/>
        <w:t>Commencement of segregation arrangements</w:t>
      </w:r>
      <w:r>
        <w:tab/>
      </w:r>
      <w:r>
        <w:fldChar w:fldCharType="begin"/>
      </w:r>
      <w:r>
        <w:instrText xml:space="preserve"> PAGEREF _Toc27129945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or repeal of segregation arrangements</w:t>
      </w:r>
      <w:r>
        <w:tab/>
      </w:r>
      <w:r>
        <w:fldChar w:fldCharType="begin"/>
      </w:r>
      <w:r>
        <w:instrText xml:space="preserve"> PAGEREF _Toc27129946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Wholesale acquisition or supply of electricity</w:t>
      </w:r>
    </w:p>
    <w:p>
      <w:pPr>
        <w:pStyle w:val="TOC4"/>
        <w:tabs>
          <w:tab w:val="right" w:leader="dot" w:pos="7077"/>
        </w:tabs>
        <w:rPr>
          <w:rFonts w:asciiTheme="minorHAnsi" w:eastAsiaTheme="minorEastAsia" w:hAnsiTheme="minorHAnsi" w:cstheme="minorBidi"/>
          <w:b w:val="0"/>
          <w:szCs w:val="22"/>
        </w:rPr>
      </w:pPr>
      <w:r>
        <w:t>Division 1 — Wholesaling obligations</w:t>
      </w:r>
    </w:p>
    <w:p>
      <w:pPr>
        <w:pStyle w:val="TOC8"/>
        <w:rPr>
          <w:rFonts w:asciiTheme="minorHAnsi" w:eastAsiaTheme="minorEastAsia" w:hAnsiTheme="minorHAnsi" w:cstheme="minorBidi"/>
          <w:szCs w:val="22"/>
        </w:rPr>
      </w:pPr>
      <w:r>
        <w:t>21.</w:t>
      </w:r>
      <w:r>
        <w:tab/>
        <w:t>Wholesale supply to retail business unit</w:t>
      </w:r>
      <w:r>
        <w:tab/>
      </w:r>
      <w:r>
        <w:fldChar w:fldCharType="begin"/>
      </w:r>
      <w:r>
        <w:instrText xml:space="preserve"> PAGEREF _Toc27129949 \h </w:instrText>
      </w:r>
      <w:r>
        <w:fldChar w:fldCharType="separate"/>
      </w:r>
      <w:r>
        <w:t>16</w:t>
      </w:r>
      <w:r>
        <w:fldChar w:fldCharType="end"/>
      </w:r>
    </w:p>
    <w:p>
      <w:pPr>
        <w:pStyle w:val="TOC8"/>
        <w:rPr>
          <w:rFonts w:asciiTheme="minorHAnsi" w:eastAsiaTheme="minorEastAsia" w:hAnsiTheme="minorHAnsi" w:cstheme="minorBidi"/>
          <w:szCs w:val="22"/>
        </w:rPr>
      </w:pPr>
      <w:r>
        <w:t>22.</w:t>
      </w:r>
      <w:r>
        <w:tab/>
        <w:t>EGRC not to discriminate between retail business unit and competitors when offering wholesale supply</w:t>
      </w:r>
      <w:r>
        <w:tab/>
      </w:r>
      <w:r>
        <w:fldChar w:fldCharType="begin"/>
      </w:r>
      <w:r>
        <w:instrText xml:space="preserve"> PAGEREF _Toc27129950 \h </w:instrText>
      </w:r>
      <w:r>
        <w:fldChar w:fldCharType="separate"/>
      </w:r>
      <w:r>
        <w:t>16</w:t>
      </w:r>
      <w:r>
        <w:fldChar w:fldCharType="end"/>
      </w:r>
    </w:p>
    <w:p>
      <w:pPr>
        <w:pStyle w:val="TOC8"/>
        <w:rPr>
          <w:rFonts w:asciiTheme="minorHAnsi" w:eastAsiaTheme="minorEastAsia" w:hAnsiTheme="minorHAnsi" w:cstheme="minorBidi"/>
          <w:szCs w:val="22"/>
        </w:rPr>
      </w:pPr>
      <w:r>
        <w:t>23.</w:t>
      </w:r>
      <w:r>
        <w:tab/>
        <w:t>Policy for determining terms and conditions for wholesale supply of electricity</w:t>
      </w:r>
      <w:r>
        <w:tab/>
      </w:r>
      <w:r>
        <w:fldChar w:fldCharType="begin"/>
      </w:r>
      <w:r>
        <w:instrText xml:space="preserve"> PAGEREF _Toc27129951 \h </w:instrText>
      </w:r>
      <w:r>
        <w:fldChar w:fldCharType="separate"/>
      </w:r>
      <w:r>
        <w:t>16</w:t>
      </w:r>
      <w:r>
        <w:fldChar w:fldCharType="end"/>
      </w:r>
    </w:p>
    <w:p>
      <w:pPr>
        <w:pStyle w:val="TOC8"/>
        <w:rPr>
          <w:rFonts w:asciiTheme="minorHAnsi" w:eastAsiaTheme="minorEastAsia" w:hAnsiTheme="minorHAnsi" w:cstheme="minorBidi"/>
          <w:szCs w:val="22"/>
        </w:rPr>
      </w:pPr>
      <w:r>
        <w:t>24.</w:t>
      </w:r>
      <w:r>
        <w:tab/>
        <w:t>Requests for wholesale supply of electricity</w:t>
      </w:r>
      <w:r>
        <w:tab/>
      </w:r>
      <w:r>
        <w:fldChar w:fldCharType="begin"/>
      </w:r>
      <w:r>
        <w:instrText xml:space="preserve"> PAGEREF _Toc27129952 \h </w:instrText>
      </w:r>
      <w:r>
        <w:fldChar w:fldCharType="separate"/>
      </w:r>
      <w:r>
        <w:t>17</w:t>
      </w:r>
      <w:r>
        <w:fldChar w:fldCharType="end"/>
      </w:r>
    </w:p>
    <w:p>
      <w:pPr>
        <w:pStyle w:val="TOC8"/>
        <w:rPr>
          <w:rFonts w:asciiTheme="minorHAnsi" w:eastAsiaTheme="minorEastAsia" w:hAnsiTheme="minorHAnsi" w:cstheme="minorBidi"/>
          <w:szCs w:val="22"/>
        </w:rPr>
      </w:pPr>
      <w:r>
        <w:t>25.</w:t>
      </w:r>
      <w:r>
        <w:tab/>
        <w:t>Records</w:t>
      </w:r>
      <w:r>
        <w:tab/>
      </w:r>
      <w:r>
        <w:fldChar w:fldCharType="begin"/>
      </w:r>
      <w:r>
        <w:instrText xml:space="preserve"> PAGEREF _Toc27129953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Wholesale arrangements</w:t>
      </w:r>
    </w:p>
    <w:p>
      <w:pPr>
        <w:pStyle w:val="TOC8"/>
        <w:rPr>
          <w:rFonts w:asciiTheme="minorHAnsi" w:eastAsiaTheme="minorEastAsia" w:hAnsiTheme="minorHAnsi" w:cstheme="minorBidi"/>
          <w:szCs w:val="22"/>
        </w:rPr>
      </w:pPr>
      <w:r>
        <w:t>26.</w:t>
      </w:r>
      <w:r>
        <w:tab/>
        <w:t>Minister may approve arrangements</w:t>
      </w:r>
      <w:r>
        <w:tab/>
      </w:r>
      <w:r>
        <w:fldChar w:fldCharType="begin"/>
      </w:r>
      <w:r>
        <w:instrText xml:space="preserve"> PAGEREF _Toc27129955 \h </w:instrText>
      </w:r>
      <w:r>
        <w:fldChar w:fldCharType="separate"/>
      </w:r>
      <w:r>
        <w:t>19</w:t>
      </w:r>
      <w:r>
        <w:fldChar w:fldCharType="end"/>
      </w:r>
    </w:p>
    <w:p>
      <w:pPr>
        <w:pStyle w:val="TOC8"/>
        <w:rPr>
          <w:rFonts w:asciiTheme="minorHAnsi" w:eastAsiaTheme="minorEastAsia" w:hAnsiTheme="minorHAnsi" w:cstheme="minorBidi"/>
          <w:szCs w:val="22"/>
        </w:rPr>
      </w:pPr>
      <w:r>
        <w:t>27.</w:t>
      </w:r>
      <w:r>
        <w:tab/>
        <w:t>Commencement of wholesale arrangements</w:t>
      </w:r>
      <w:r>
        <w:tab/>
      </w:r>
      <w:r>
        <w:fldChar w:fldCharType="begin"/>
      </w:r>
      <w:r>
        <w:instrText xml:space="preserve"> PAGEREF _Toc27129956 \h </w:instrText>
      </w:r>
      <w:r>
        <w:fldChar w:fldCharType="separate"/>
      </w:r>
      <w:r>
        <w:t>19</w:t>
      </w:r>
      <w:r>
        <w:fldChar w:fldCharType="end"/>
      </w:r>
    </w:p>
    <w:p>
      <w:pPr>
        <w:pStyle w:val="TOC8"/>
        <w:rPr>
          <w:rFonts w:asciiTheme="minorHAnsi" w:eastAsiaTheme="minorEastAsia" w:hAnsiTheme="minorHAnsi" w:cstheme="minorBidi"/>
          <w:szCs w:val="22"/>
        </w:rPr>
      </w:pPr>
      <w:r>
        <w:t>28.</w:t>
      </w:r>
      <w:r>
        <w:tab/>
        <w:t>Amendment or repeal of wholesale arrangements</w:t>
      </w:r>
      <w:r>
        <w:tab/>
      </w:r>
      <w:r>
        <w:fldChar w:fldCharType="begin"/>
      </w:r>
      <w:r>
        <w:instrText xml:space="preserve"> PAGEREF _Toc27129957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Audit</w:t>
      </w:r>
    </w:p>
    <w:p>
      <w:pPr>
        <w:pStyle w:val="TOC8"/>
        <w:rPr>
          <w:rFonts w:asciiTheme="minorHAnsi" w:eastAsiaTheme="minorEastAsia" w:hAnsiTheme="minorHAnsi" w:cstheme="minorBidi"/>
          <w:szCs w:val="22"/>
        </w:rPr>
      </w:pPr>
      <w:r>
        <w:t>29.</w:t>
      </w:r>
      <w:r>
        <w:tab/>
        <w:t>Audit: financial year</w:t>
      </w:r>
      <w:r>
        <w:tab/>
      </w:r>
      <w:r>
        <w:fldChar w:fldCharType="begin"/>
      </w:r>
      <w:r>
        <w:instrText xml:space="preserve"> PAGEREF _Toc27129959 \h </w:instrText>
      </w:r>
      <w:r>
        <w:fldChar w:fldCharType="separate"/>
      </w:r>
      <w:r>
        <w:t>21</w:t>
      </w:r>
      <w:r>
        <w:fldChar w:fldCharType="end"/>
      </w:r>
    </w:p>
    <w:p>
      <w:pPr>
        <w:pStyle w:val="TOC8"/>
        <w:rPr>
          <w:rFonts w:asciiTheme="minorHAnsi" w:eastAsiaTheme="minorEastAsia" w:hAnsiTheme="minorHAnsi" w:cstheme="minorBidi"/>
          <w:szCs w:val="22"/>
        </w:rPr>
      </w:pPr>
      <w:r>
        <w:t>30.</w:t>
      </w:r>
      <w:r>
        <w:tab/>
        <w:t>Audit: calendar year</w:t>
      </w:r>
      <w:r>
        <w:tab/>
      </w:r>
      <w:r>
        <w:fldChar w:fldCharType="begin"/>
      </w:r>
      <w:r>
        <w:instrText xml:space="preserve"> PAGEREF _Toc27129960 \h </w:instrText>
      </w:r>
      <w:r>
        <w:fldChar w:fldCharType="separate"/>
      </w:r>
      <w:r>
        <w:t>21</w:t>
      </w:r>
      <w:r>
        <w:fldChar w:fldCharType="end"/>
      </w:r>
    </w:p>
    <w:p>
      <w:pPr>
        <w:pStyle w:val="TOC8"/>
        <w:rPr>
          <w:rFonts w:asciiTheme="minorHAnsi" w:eastAsiaTheme="minorEastAsia" w:hAnsiTheme="minorHAnsi" w:cstheme="minorBidi"/>
          <w:szCs w:val="22"/>
        </w:rPr>
      </w:pPr>
      <w:r>
        <w:t>31.</w:t>
      </w:r>
      <w:r>
        <w:tab/>
        <w:t>Reports on audit</w:t>
      </w:r>
      <w:r>
        <w:tab/>
      </w:r>
      <w:r>
        <w:fldChar w:fldCharType="begin"/>
      </w:r>
      <w:r>
        <w:instrText xml:space="preserve"> PAGEREF _Toc27129961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Investigation</w:t>
      </w:r>
    </w:p>
    <w:p>
      <w:pPr>
        <w:pStyle w:val="TOC8"/>
        <w:rPr>
          <w:rFonts w:asciiTheme="minorHAnsi" w:eastAsiaTheme="minorEastAsia" w:hAnsiTheme="minorHAnsi" w:cstheme="minorBidi"/>
          <w:szCs w:val="22"/>
        </w:rPr>
      </w:pPr>
      <w:r>
        <w:t>33.</w:t>
      </w:r>
      <w:r>
        <w:tab/>
        <w:t>Authority has investigative role</w:t>
      </w:r>
      <w:r>
        <w:tab/>
      </w:r>
      <w:r>
        <w:fldChar w:fldCharType="begin"/>
      </w:r>
      <w:r>
        <w:instrText xml:space="preserve"> PAGEREF _Toc27129964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Imposition of civil penalties</w:t>
      </w:r>
    </w:p>
    <w:p>
      <w:pPr>
        <w:pStyle w:val="TOC8"/>
        <w:rPr>
          <w:rFonts w:asciiTheme="minorHAnsi" w:eastAsiaTheme="minorEastAsia" w:hAnsiTheme="minorHAnsi" w:cstheme="minorBidi"/>
          <w:szCs w:val="22"/>
        </w:rPr>
      </w:pPr>
      <w:r>
        <w:t>34.</w:t>
      </w:r>
      <w:r>
        <w:tab/>
        <w:t>Civil penalty provisions and penalty amounts</w:t>
      </w:r>
      <w:r>
        <w:tab/>
      </w:r>
      <w:r>
        <w:fldChar w:fldCharType="begin"/>
      </w:r>
      <w:r>
        <w:instrText xml:space="preserve"> PAGEREF _Toc27129966 \h </w:instrText>
      </w:r>
      <w:r>
        <w:fldChar w:fldCharType="separate"/>
      </w:r>
      <w:r>
        <w:t>23</w:t>
      </w:r>
      <w:r>
        <w:fldChar w:fldCharType="end"/>
      </w:r>
    </w:p>
    <w:p>
      <w:pPr>
        <w:pStyle w:val="TOC8"/>
        <w:rPr>
          <w:rFonts w:asciiTheme="minorHAnsi" w:eastAsiaTheme="minorEastAsia" w:hAnsiTheme="minorHAnsi" w:cstheme="minorBidi"/>
          <w:szCs w:val="22"/>
        </w:rPr>
      </w:pPr>
      <w:r>
        <w:t>35.</w:t>
      </w:r>
      <w:r>
        <w:tab/>
        <w:t>Daily amounts</w:t>
      </w:r>
      <w:r>
        <w:tab/>
      </w:r>
      <w:r>
        <w:fldChar w:fldCharType="begin"/>
      </w:r>
      <w:r>
        <w:instrText xml:space="preserve"> PAGEREF _Toc27129967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for investigation</w:t>
      </w:r>
      <w:r>
        <w:tab/>
      </w:r>
      <w:r>
        <w:fldChar w:fldCharType="begin"/>
      </w:r>
      <w:r>
        <w:instrText xml:space="preserve"> PAGEREF _Toc27129968 \h </w:instrText>
      </w:r>
      <w:r>
        <w:fldChar w:fldCharType="separate"/>
      </w:r>
      <w:r>
        <w:t>24</w:t>
      </w:r>
      <w:r>
        <w:fldChar w:fldCharType="end"/>
      </w:r>
    </w:p>
    <w:p>
      <w:pPr>
        <w:pStyle w:val="TOC8"/>
        <w:rPr>
          <w:rFonts w:asciiTheme="minorHAnsi" w:eastAsiaTheme="minorEastAsia" w:hAnsiTheme="minorHAnsi" w:cstheme="minorBidi"/>
          <w:szCs w:val="22"/>
        </w:rPr>
      </w:pPr>
      <w:r>
        <w:t>37.</w:t>
      </w:r>
      <w:r>
        <w:tab/>
        <w:t>Warning notice</w:t>
      </w:r>
      <w:r>
        <w:tab/>
      </w:r>
      <w:r>
        <w:fldChar w:fldCharType="begin"/>
      </w:r>
      <w:r>
        <w:instrText xml:space="preserve"> PAGEREF _Toc27129969 \h </w:instrText>
      </w:r>
      <w:r>
        <w:fldChar w:fldCharType="separate"/>
      </w:r>
      <w:r>
        <w:t>24</w:t>
      </w:r>
      <w:r>
        <w:fldChar w:fldCharType="end"/>
      </w:r>
    </w:p>
    <w:p>
      <w:pPr>
        <w:pStyle w:val="TOC8"/>
        <w:rPr>
          <w:rFonts w:asciiTheme="minorHAnsi" w:eastAsiaTheme="minorEastAsia" w:hAnsiTheme="minorHAnsi" w:cstheme="minorBidi"/>
          <w:szCs w:val="22"/>
        </w:rPr>
      </w:pPr>
      <w:r>
        <w:t>38.</w:t>
      </w:r>
      <w:r>
        <w:tab/>
        <w:t>Authority may impose civil penalty</w:t>
      </w:r>
      <w:r>
        <w:tab/>
      </w:r>
      <w:r>
        <w:fldChar w:fldCharType="begin"/>
      </w:r>
      <w:r>
        <w:instrText xml:space="preserve"> PAGEREF _Toc27129970 \h </w:instrText>
      </w:r>
      <w:r>
        <w:fldChar w:fldCharType="separate"/>
      </w:r>
      <w:r>
        <w:t>24</w:t>
      </w:r>
      <w:r>
        <w:fldChar w:fldCharType="end"/>
      </w:r>
    </w:p>
    <w:p>
      <w:pPr>
        <w:pStyle w:val="TOC8"/>
        <w:rPr>
          <w:rFonts w:asciiTheme="minorHAnsi" w:eastAsiaTheme="minorEastAsia" w:hAnsiTheme="minorHAnsi" w:cstheme="minorBidi"/>
          <w:szCs w:val="22"/>
        </w:rPr>
      </w:pPr>
      <w:r>
        <w:t>39.</w:t>
      </w:r>
      <w:r>
        <w:tab/>
        <w:t>Board may order payment</w:t>
      </w:r>
      <w:r>
        <w:tab/>
      </w:r>
      <w:r>
        <w:fldChar w:fldCharType="begin"/>
      </w:r>
      <w:r>
        <w:instrText xml:space="preserve"> PAGEREF _Toc27129971 \h </w:instrText>
      </w:r>
      <w:r>
        <w:fldChar w:fldCharType="separate"/>
      </w:r>
      <w:r>
        <w:t>25</w:t>
      </w:r>
      <w:r>
        <w:fldChar w:fldCharType="end"/>
      </w:r>
    </w:p>
    <w:p>
      <w:pPr>
        <w:pStyle w:val="TOC8"/>
        <w:rPr>
          <w:rFonts w:asciiTheme="minorHAnsi" w:eastAsiaTheme="minorEastAsia" w:hAnsiTheme="minorHAnsi" w:cstheme="minorBidi"/>
          <w:szCs w:val="22"/>
        </w:rPr>
      </w:pPr>
      <w:r>
        <w:t>40.</w:t>
      </w:r>
      <w:r>
        <w:tab/>
        <w:t>Enforcement of order of Board</w:t>
      </w:r>
      <w:r>
        <w:tab/>
      </w:r>
      <w:r>
        <w:fldChar w:fldCharType="begin"/>
      </w:r>
      <w:r>
        <w:instrText xml:space="preserve"> PAGEREF _Toc27129972 \h </w:instrText>
      </w:r>
      <w:r>
        <w:fldChar w:fldCharType="separate"/>
      </w:r>
      <w:r>
        <w:t>26</w:t>
      </w:r>
      <w:r>
        <w:fldChar w:fldCharType="end"/>
      </w:r>
    </w:p>
    <w:p>
      <w:pPr>
        <w:pStyle w:val="TOC8"/>
        <w:rPr>
          <w:rFonts w:asciiTheme="minorHAnsi" w:eastAsiaTheme="minorEastAsia" w:hAnsiTheme="minorHAnsi" w:cstheme="minorBidi"/>
          <w:szCs w:val="22"/>
        </w:rPr>
      </w:pPr>
      <w:r>
        <w:t>41.</w:t>
      </w:r>
      <w:r>
        <w:tab/>
        <w:t>Civil penalties to be credited to Consolidated Account</w:t>
      </w:r>
      <w:r>
        <w:tab/>
      </w:r>
      <w:r>
        <w:fldChar w:fldCharType="begin"/>
      </w:r>
      <w:r>
        <w:instrText xml:space="preserve"> PAGEREF _Toc27129973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Review of civil penalty decisions</w:t>
      </w:r>
    </w:p>
    <w:p>
      <w:pPr>
        <w:pStyle w:val="TOC8"/>
        <w:rPr>
          <w:rFonts w:asciiTheme="minorHAnsi" w:eastAsiaTheme="minorEastAsia" w:hAnsiTheme="minorHAnsi" w:cstheme="minorBidi"/>
          <w:szCs w:val="22"/>
        </w:rPr>
      </w:pPr>
      <w:r>
        <w:t>42.</w:t>
      </w:r>
      <w:r>
        <w:tab/>
        <w:t>Review by Board</w:t>
      </w:r>
      <w:r>
        <w:tab/>
      </w:r>
      <w:r>
        <w:fldChar w:fldCharType="begin"/>
      </w:r>
      <w:r>
        <w:instrText xml:space="preserve"> PAGEREF _Toc27129975 \h </w:instrText>
      </w:r>
      <w:r>
        <w:fldChar w:fldCharType="separate"/>
      </w:r>
      <w:r>
        <w:t>27</w:t>
      </w:r>
      <w:r>
        <w:fldChar w:fldCharType="end"/>
      </w:r>
    </w:p>
    <w:p>
      <w:pPr>
        <w:pStyle w:val="TOC8"/>
        <w:rPr>
          <w:rFonts w:asciiTheme="minorHAnsi" w:eastAsiaTheme="minorEastAsia" w:hAnsiTheme="minorHAnsi" w:cstheme="minorBidi"/>
          <w:szCs w:val="22"/>
        </w:rPr>
      </w:pPr>
      <w:r>
        <w:t>43.</w:t>
      </w:r>
      <w:r>
        <w:tab/>
        <w:t>Application for review</w:t>
      </w:r>
      <w:r>
        <w:tab/>
      </w:r>
      <w:r>
        <w:fldChar w:fldCharType="begin"/>
      </w:r>
      <w:r>
        <w:instrText xml:space="preserve"> PAGEREF _Toc27129976 \h </w:instrText>
      </w:r>
      <w:r>
        <w:fldChar w:fldCharType="separate"/>
      </w:r>
      <w:r>
        <w:t>27</w:t>
      </w:r>
      <w:r>
        <w:fldChar w:fldCharType="end"/>
      </w:r>
    </w:p>
    <w:p>
      <w:pPr>
        <w:pStyle w:val="TOC8"/>
        <w:rPr>
          <w:rFonts w:asciiTheme="minorHAnsi" w:eastAsiaTheme="minorEastAsia" w:hAnsiTheme="minorHAnsi" w:cstheme="minorBidi"/>
          <w:szCs w:val="22"/>
        </w:rPr>
      </w:pPr>
      <w:r>
        <w:t>44.</w:t>
      </w:r>
      <w:r>
        <w:tab/>
        <w:t>Procedure on review</w:t>
      </w:r>
      <w:r>
        <w:tab/>
      </w:r>
      <w:r>
        <w:fldChar w:fldCharType="begin"/>
      </w:r>
      <w:r>
        <w:instrText xml:space="preserve"> PAGEREF _Toc27129977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Proceedings</w:t>
      </w:r>
    </w:p>
    <w:p>
      <w:pPr>
        <w:pStyle w:val="TOC8"/>
        <w:rPr>
          <w:rFonts w:asciiTheme="minorHAnsi" w:eastAsiaTheme="minorEastAsia" w:hAnsiTheme="minorHAnsi" w:cstheme="minorBidi"/>
          <w:szCs w:val="22"/>
        </w:rPr>
      </w:pPr>
      <w:r>
        <w:t>45.</w:t>
      </w:r>
      <w:r>
        <w:tab/>
        <w:t>Proceedings before Board</w:t>
      </w:r>
      <w:r>
        <w:tab/>
      </w:r>
      <w:r>
        <w:fldChar w:fldCharType="begin"/>
      </w:r>
      <w:r>
        <w:instrText xml:space="preserve"> PAGEREF _Toc27129979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46.</w:t>
      </w:r>
      <w:r>
        <w:tab/>
        <w:t>Retention of records and documents</w:t>
      </w:r>
      <w:r>
        <w:tab/>
      </w:r>
      <w:r>
        <w:fldChar w:fldCharType="begin"/>
      </w:r>
      <w:r>
        <w:instrText xml:space="preserve"> PAGEREF _Toc27129981 \h </w:instrText>
      </w:r>
      <w:r>
        <w:fldChar w:fldCharType="separate"/>
      </w:r>
      <w:r>
        <w:t>29</w:t>
      </w:r>
      <w:r>
        <w:fldChar w:fldCharType="end"/>
      </w:r>
    </w:p>
    <w:p>
      <w:pPr>
        <w:pStyle w:val="TOC8"/>
        <w:rPr>
          <w:rFonts w:asciiTheme="minorHAnsi" w:eastAsiaTheme="minorEastAsia" w:hAnsiTheme="minorHAnsi" w:cstheme="minorBidi"/>
          <w:szCs w:val="22"/>
        </w:rPr>
      </w:pPr>
      <w:r>
        <w:t>47.</w:t>
      </w:r>
      <w:r>
        <w:tab/>
        <w:t>Exemption</w:t>
      </w:r>
      <w:r>
        <w:tab/>
      </w:r>
      <w:r>
        <w:fldChar w:fldCharType="begin"/>
      </w:r>
      <w:r>
        <w:instrText xml:space="preserve"> PAGEREF _Toc27129982 \h </w:instrText>
      </w:r>
      <w:r>
        <w:fldChar w:fldCharType="separate"/>
      </w:r>
      <w:r>
        <w:t>29</w:t>
      </w:r>
      <w:r>
        <w:fldChar w:fldCharType="end"/>
      </w:r>
    </w:p>
    <w:p>
      <w:pPr>
        <w:pStyle w:val="TOC8"/>
        <w:rPr>
          <w:rFonts w:asciiTheme="minorHAnsi" w:eastAsiaTheme="minorEastAsia" w:hAnsiTheme="minorHAnsi" w:cstheme="minorBidi"/>
          <w:szCs w:val="22"/>
        </w:rPr>
      </w:pPr>
      <w:r>
        <w:t>48.</w:t>
      </w:r>
      <w:r>
        <w:tab/>
        <w:t>Review of EGRC regulatory scheme</w:t>
      </w:r>
      <w:r>
        <w:tab/>
      </w:r>
      <w:r>
        <w:fldChar w:fldCharType="begin"/>
      </w:r>
      <w:r>
        <w:instrText xml:space="preserve"> PAGEREF _Toc27129983 \h </w:instrText>
      </w:r>
      <w:r>
        <w:fldChar w:fldCharType="separate"/>
      </w:r>
      <w:r>
        <w:t>29</w:t>
      </w:r>
      <w:r>
        <w:fldChar w:fldCharType="end"/>
      </w:r>
    </w:p>
    <w:p>
      <w:pPr>
        <w:pStyle w:val="TOC8"/>
        <w:rPr>
          <w:rFonts w:asciiTheme="minorHAnsi" w:eastAsiaTheme="minorEastAsia" w:hAnsiTheme="minorHAnsi" w:cstheme="minorBidi"/>
          <w:szCs w:val="22"/>
        </w:rPr>
      </w:pPr>
      <w:r>
        <w:t>49.</w:t>
      </w:r>
      <w:r>
        <w:tab/>
        <w:t>Deletion of commercially sensitive matters from Authority’s report</w:t>
      </w:r>
      <w:r>
        <w:tab/>
      </w:r>
      <w:r>
        <w:fldChar w:fldCharType="begin"/>
      </w:r>
      <w:r>
        <w:instrText xml:space="preserve"> PAGEREF _Toc27129984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_Toc27129987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3" w:name="_Toc26966227"/>
      <w:bookmarkStart w:id="4" w:name="_Toc26970449"/>
      <w:bookmarkStart w:id="5" w:name="_Toc26970521"/>
      <w:bookmarkStart w:id="6" w:name="_Toc271299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27129918"/>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9" w:name="_Toc2712991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10" w:name="_Toc27129920"/>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t>Electricity Industry Act 2004</w:t>
      </w:r>
      <w:r>
        <w:t xml:space="preserve"> Part 9, that is expressed to apply to the foundation transfer price mechanism;</w:t>
      </w:r>
    </w:p>
    <w:p>
      <w:pPr>
        <w:pStyle w:val="Defstart"/>
      </w:pPr>
      <w:r>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52(2)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pPr>
      <w:r>
        <w:tab/>
      </w:r>
      <w:r>
        <w:rPr>
          <w:rStyle w:val="CharDefText"/>
        </w:rPr>
        <w:t>wholesale staff</w:t>
      </w:r>
      <w:r>
        <w:t xml:space="preserve"> means staff, other than shared services staff, who are involved in the conduct of the wholesale business.</w:t>
      </w:r>
    </w:p>
    <w:p>
      <w:pPr>
        <w:pStyle w:val="Heading5"/>
      </w:pPr>
      <w:bookmarkStart w:id="11" w:name="_Toc27129921"/>
      <w:r>
        <w:rPr>
          <w:rStyle w:val="CharSectno"/>
        </w:rPr>
        <w:t>4</w:t>
      </w:r>
      <w:r>
        <w:t>.</w:t>
      </w:r>
      <w:r>
        <w:tab/>
        <w:t>New contestable customer arrangement</w:t>
      </w:r>
      <w:bookmarkEnd w:id="11"/>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12" w:name="_Toc26966232"/>
      <w:bookmarkStart w:id="13" w:name="_Toc26970454"/>
      <w:bookmarkStart w:id="14" w:name="_Toc26970526"/>
      <w:bookmarkStart w:id="15" w:name="_Toc27129922"/>
      <w:r>
        <w:rPr>
          <w:rStyle w:val="CharPartNo"/>
        </w:rPr>
        <w:t>Part 2</w:t>
      </w:r>
      <w:r>
        <w:t> — </w:t>
      </w:r>
      <w:r>
        <w:rPr>
          <w:rStyle w:val="CharPartText"/>
        </w:rPr>
        <w:t>Segregation</w:t>
      </w:r>
      <w:bookmarkEnd w:id="12"/>
      <w:bookmarkEnd w:id="13"/>
      <w:bookmarkEnd w:id="14"/>
      <w:bookmarkEnd w:id="15"/>
    </w:p>
    <w:p>
      <w:pPr>
        <w:pStyle w:val="Heading3"/>
      </w:pPr>
      <w:bookmarkStart w:id="16" w:name="_Toc26966233"/>
      <w:bookmarkStart w:id="17" w:name="_Toc26970455"/>
      <w:bookmarkStart w:id="18" w:name="_Toc26970527"/>
      <w:bookmarkStart w:id="19" w:name="_Toc27129923"/>
      <w:r>
        <w:rPr>
          <w:rStyle w:val="CharDivNo"/>
        </w:rPr>
        <w:t>Division 1</w:t>
      </w:r>
      <w:r>
        <w:t> — </w:t>
      </w:r>
      <w:r>
        <w:rPr>
          <w:rStyle w:val="CharDivText"/>
        </w:rPr>
        <w:t>Segmentation of EGRC operations</w:t>
      </w:r>
      <w:bookmarkEnd w:id="16"/>
      <w:bookmarkEnd w:id="17"/>
      <w:bookmarkEnd w:id="18"/>
      <w:bookmarkEnd w:id="19"/>
    </w:p>
    <w:p>
      <w:pPr>
        <w:pStyle w:val="Heading5"/>
      </w:pPr>
      <w:bookmarkStart w:id="20" w:name="_Toc27129924"/>
      <w:r>
        <w:rPr>
          <w:rStyle w:val="CharSectno"/>
        </w:rPr>
        <w:t>5</w:t>
      </w:r>
      <w:r>
        <w:t>.</w:t>
      </w:r>
      <w:r>
        <w:tab/>
        <w:t>Division of EGRC operations into segments</w:t>
      </w:r>
      <w:bookmarkEnd w:id="20"/>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tab/>
        <w:t>(4)</w:t>
      </w:r>
      <w:r>
        <w:tab/>
        <w:t>The EGRC must keep a record of the details of the segments required under subregulation (1) and of any changes to those segments.</w:t>
      </w:r>
    </w:p>
    <w:p>
      <w:pPr>
        <w:pStyle w:val="Heading3"/>
      </w:pPr>
      <w:bookmarkStart w:id="21" w:name="_Toc26966235"/>
      <w:bookmarkStart w:id="22" w:name="_Toc26970457"/>
      <w:bookmarkStart w:id="23" w:name="_Toc26970529"/>
      <w:bookmarkStart w:id="24" w:name="_Toc27129925"/>
      <w:r>
        <w:rPr>
          <w:rStyle w:val="CharDivNo"/>
        </w:rPr>
        <w:t>Division 2</w:t>
      </w:r>
      <w:r>
        <w:t> — </w:t>
      </w:r>
      <w:r>
        <w:rPr>
          <w:rStyle w:val="CharDivText"/>
        </w:rPr>
        <w:t>Financial administration</w:t>
      </w:r>
      <w:bookmarkEnd w:id="21"/>
      <w:bookmarkEnd w:id="22"/>
      <w:bookmarkEnd w:id="23"/>
      <w:bookmarkEnd w:id="24"/>
    </w:p>
    <w:p>
      <w:pPr>
        <w:pStyle w:val="Heading4"/>
      </w:pPr>
      <w:bookmarkStart w:id="25" w:name="_Toc26966236"/>
      <w:bookmarkStart w:id="26" w:name="_Toc26970458"/>
      <w:bookmarkStart w:id="27" w:name="_Toc26970530"/>
      <w:bookmarkStart w:id="28" w:name="_Toc27129926"/>
      <w:r>
        <w:t>Subdivision 1 — Reporting</w:t>
      </w:r>
      <w:bookmarkEnd w:id="25"/>
      <w:bookmarkEnd w:id="26"/>
      <w:bookmarkEnd w:id="27"/>
      <w:bookmarkEnd w:id="28"/>
    </w:p>
    <w:p>
      <w:pPr>
        <w:pStyle w:val="Heading5"/>
      </w:pPr>
      <w:bookmarkStart w:id="29" w:name="_Toc27129927"/>
      <w:r>
        <w:rPr>
          <w:rStyle w:val="CharSectno"/>
        </w:rPr>
        <w:t>6</w:t>
      </w:r>
      <w:r>
        <w:t>.</w:t>
      </w:r>
      <w:r>
        <w:tab/>
        <w:t>Quarterly statements of financial performance</w:t>
      </w:r>
      <w:bookmarkEnd w:id="29"/>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Heading5"/>
      </w:pPr>
      <w:bookmarkStart w:id="30" w:name="_Toc27129928"/>
      <w:r>
        <w:rPr>
          <w:rStyle w:val="CharSectno"/>
        </w:rPr>
        <w:t>7</w:t>
      </w:r>
      <w:r>
        <w:t>.</w:t>
      </w:r>
      <w:r>
        <w:tab/>
        <w:t>Application of AASB 8</w:t>
      </w:r>
      <w:bookmarkEnd w:id="30"/>
    </w:p>
    <w:p>
      <w:pPr>
        <w:pStyle w:val="Subsection"/>
      </w:pPr>
      <w:r>
        <w:tab/>
        <w:t>(1)</w:t>
      </w:r>
      <w:r>
        <w:tab/>
        <w:t xml:space="preserve">In this regulation — </w:t>
      </w:r>
    </w:p>
    <w:p>
      <w:pPr>
        <w:pStyle w:val="Defstart"/>
      </w:pPr>
      <w:r>
        <w:tab/>
      </w:r>
      <w:r>
        <w:rPr>
          <w:rStyle w:val="CharDefText"/>
        </w:rPr>
        <w:t>operating segment</w:t>
      </w:r>
      <w:r>
        <w:t xml:space="preserve"> has the meaning given in AASB 8.</w:t>
      </w:r>
    </w:p>
    <w:p>
      <w:pPr>
        <w:pStyle w:val="Subsection"/>
      </w:pPr>
      <w:r>
        <w:tab/>
        <w:t>(2)</w:t>
      </w:r>
      <w:r>
        <w:tab/>
        <w:t xml:space="preserve">Each EGRC business unit is to be regarded as an operating segment for the purposes of the application of AASB 8 — </w:t>
      </w:r>
    </w:p>
    <w:p>
      <w:pPr>
        <w:pStyle w:val="Indenta"/>
      </w:pPr>
      <w:r>
        <w:tab/>
        <w:t>(a)</w:t>
      </w:r>
      <w:r>
        <w:tab/>
        <w:t>under regulation 6(2) to the separate statements of financial performance; and</w:t>
      </w:r>
    </w:p>
    <w:p>
      <w:pPr>
        <w:pStyle w:val="Indenta"/>
      </w:pPr>
      <w:r>
        <w:tab/>
        <w:t>(b)</w:t>
      </w:r>
      <w:r>
        <w:tab/>
        <w:t>under Schedule 4 clause 8(1) of the Act to the financial reports of the EGRC.</w:t>
      </w:r>
    </w:p>
    <w:p>
      <w:pPr>
        <w:pStyle w:val="Heading4"/>
      </w:pPr>
      <w:bookmarkStart w:id="31" w:name="_Toc26966239"/>
      <w:bookmarkStart w:id="32" w:name="_Toc26970461"/>
      <w:bookmarkStart w:id="33" w:name="_Toc26970533"/>
      <w:bookmarkStart w:id="34" w:name="_Toc27129929"/>
      <w:r>
        <w:t>Subdivision 2 — Arrangements and records in respect of certain transactions</w:t>
      </w:r>
      <w:bookmarkEnd w:id="31"/>
      <w:bookmarkEnd w:id="32"/>
      <w:bookmarkEnd w:id="33"/>
      <w:bookmarkEnd w:id="34"/>
    </w:p>
    <w:p>
      <w:pPr>
        <w:pStyle w:val="Heading5"/>
      </w:pPr>
      <w:bookmarkStart w:id="35" w:name="_Toc27129930"/>
      <w:r>
        <w:rPr>
          <w:rStyle w:val="CharSectno"/>
        </w:rPr>
        <w:t>8</w:t>
      </w:r>
      <w:r>
        <w:t>.</w:t>
      </w:r>
      <w:r>
        <w:tab/>
        <w:t>Transactions</w:t>
      </w:r>
      <w:bookmarkEnd w:id="35"/>
    </w:p>
    <w:p>
      <w:pPr>
        <w:pStyle w:val="Subsection"/>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36" w:name="_Toc27129931"/>
      <w:r>
        <w:rPr>
          <w:rStyle w:val="CharSectno"/>
        </w:rPr>
        <w:t>9</w:t>
      </w:r>
      <w:r>
        <w:t>.</w:t>
      </w:r>
      <w:r>
        <w:tab/>
        <w:t>Supply arrangements</w:t>
      </w:r>
      <w:bookmarkEnd w:id="36"/>
    </w:p>
    <w:p>
      <w:pPr>
        <w:pStyle w:val="Subsection"/>
      </w:pPr>
      <w:r>
        <w:tab/>
        <w:t>(1)</w:t>
      </w:r>
      <w:r>
        <w:tab/>
        <w:t>Before any supply transaction for the purposes of a retail supply of electricity to a customer (otherwise than under a new contestable customer arrangement) is entered into, the EGRC must have in place a written arrangement that set outs the terms and conditions that are to apply to supply transactions of that kind.</w:t>
      </w:r>
    </w:p>
    <w:p>
      <w:pPr>
        <w:pStyle w:val="Subsection"/>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tab/>
        <w:t>(7)</w:t>
      </w:r>
      <w:r>
        <w:tab/>
        <w:t>A written arrangement referred to in subregulation (6) must comply with segregation arrangements and wholesale arrangements.</w:t>
      </w:r>
    </w:p>
    <w:p>
      <w:pPr>
        <w:pStyle w:val="Heading5"/>
      </w:pPr>
      <w:bookmarkStart w:id="37" w:name="_Toc27129932"/>
      <w:r>
        <w:rPr>
          <w:rStyle w:val="CharSectno"/>
        </w:rPr>
        <w:t>10</w:t>
      </w:r>
      <w:r>
        <w:t>.</w:t>
      </w:r>
      <w:r>
        <w:tab/>
        <w:t>Records of transactions</w:t>
      </w:r>
      <w:bookmarkEnd w:id="37"/>
    </w:p>
    <w:p>
      <w:pPr>
        <w:pStyle w:val="Subsection"/>
      </w:pPr>
      <w:r>
        <w:tab/>
      </w:r>
      <w:r>
        <w:tab/>
        <w:t>The EGRC must keep records of each supply transaction and each products transaction.</w:t>
      </w:r>
    </w:p>
    <w:p>
      <w:pPr>
        <w:pStyle w:val="Heading4"/>
      </w:pPr>
      <w:bookmarkStart w:id="38" w:name="_Toc26966243"/>
      <w:bookmarkStart w:id="39" w:name="_Toc26970465"/>
      <w:bookmarkStart w:id="40" w:name="_Toc26970537"/>
      <w:bookmarkStart w:id="41" w:name="_Toc27129933"/>
      <w:r>
        <w:t>Subdivision 3 — Foundation transfer price mechanism</w:t>
      </w:r>
      <w:bookmarkEnd w:id="38"/>
      <w:bookmarkEnd w:id="39"/>
      <w:bookmarkEnd w:id="40"/>
      <w:bookmarkEnd w:id="41"/>
    </w:p>
    <w:p>
      <w:pPr>
        <w:pStyle w:val="Heading5"/>
      </w:pPr>
      <w:bookmarkStart w:id="42" w:name="_Toc27129934"/>
      <w:r>
        <w:rPr>
          <w:rStyle w:val="CharSectno"/>
        </w:rPr>
        <w:t>11</w:t>
      </w:r>
      <w:r>
        <w:t>.</w:t>
      </w:r>
      <w:r>
        <w:tab/>
        <w:t>Foundation transfer price mechanism</w:t>
      </w:r>
      <w:bookmarkEnd w:id="42"/>
    </w:p>
    <w:p>
      <w:pPr>
        <w:pStyle w:val="Subsection"/>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pPr>
      <w:r>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43" w:name="_Toc27129935"/>
      <w:r>
        <w:rPr>
          <w:rStyle w:val="CharSectno"/>
        </w:rPr>
        <w:t>12</w:t>
      </w:r>
      <w:r>
        <w:t>.</w:t>
      </w:r>
      <w:r>
        <w:tab/>
        <w:t>Revision of foundation transfer price mechanism</w:t>
      </w:r>
      <w:bookmarkEnd w:id="43"/>
    </w:p>
    <w:p>
      <w:pPr>
        <w:pStyle w:val="Subsection"/>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tab/>
        <w:t>(5)</w:t>
      </w:r>
      <w:r>
        <w:tab/>
        <w:t>The EGRC must not revise the foundation transfer price mechanism otherwise than in accordance with subregulation (1) or (2).</w:t>
      </w:r>
    </w:p>
    <w:p>
      <w:pPr>
        <w:pStyle w:val="Heading5"/>
      </w:pPr>
      <w:bookmarkStart w:id="44" w:name="_Toc27129936"/>
      <w:bookmarkStart w:id="45" w:name="_Toc26966246"/>
      <w:r>
        <w:rPr>
          <w:rStyle w:val="CharSectno"/>
        </w:rPr>
        <w:t>12A</w:t>
      </w:r>
      <w:r>
        <w:t>.</w:t>
      </w:r>
      <w:r>
        <w:tab/>
        <w:t>Publishing foundation transfer price mechanism on EGRC’s website</w:t>
      </w:r>
      <w:bookmarkEnd w:id="44"/>
    </w:p>
    <w:p>
      <w:pPr>
        <w:pStyle w:val="Subsection"/>
      </w:pPr>
      <w:r>
        <w:tab/>
        <w:t>(1)</w:t>
      </w:r>
      <w:r>
        <w:tab/>
        <w:t xml:space="preserve">The EGRC must publish on its website — </w:t>
      </w:r>
    </w:p>
    <w:p>
      <w:pPr>
        <w:pStyle w:val="Indenta"/>
      </w:pPr>
      <w:r>
        <w:tab/>
        <w:t>(a)</w:t>
      </w:r>
      <w:r>
        <w:tab/>
        <w:t xml:space="preserve">the foundation transfer price mechanism in force on the day on which the </w:t>
      </w:r>
      <w:r>
        <w:rPr>
          <w:i/>
        </w:rPr>
        <w:t xml:space="preserve">Electricity Corporations (Electricity Generation and Retail Corporation) Amendment Regulations 2019 </w:t>
      </w:r>
      <w:r>
        <w:t>regulation 4 comes into operation; and</w:t>
      </w:r>
    </w:p>
    <w:p>
      <w:pPr>
        <w:pStyle w:val="Indenta"/>
      </w:pPr>
      <w:r>
        <w:tab/>
        <w:t>(b)</w:t>
      </w:r>
      <w:r>
        <w:tab/>
        <w:t>a replacement foundation transfer price mechanism given to the Minister under subregulation 11(3); and</w:t>
      </w:r>
    </w:p>
    <w:p>
      <w:pPr>
        <w:pStyle w:val="Indenta"/>
      </w:pPr>
      <w:r>
        <w:tab/>
        <w:t>(c)</w:t>
      </w:r>
      <w:r>
        <w:tab/>
        <w:t>a revised foundation transfer price mechanism given to the Minister under regulation 12.</w:t>
      </w:r>
    </w:p>
    <w:p>
      <w:pPr>
        <w:pStyle w:val="Subsection"/>
      </w:pPr>
      <w:r>
        <w:tab/>
        <w:t>(2)</w:t>
      </w:r>
      <w:r>
        <w:tab/>
        <w:t xml:space="preserve">The EGRC may remove from the copy of a foundation transfer price mechanism, or a revised foundation transfer price mechanism, published under this regulation, any information it considers is of a commercially sensitive nature. </w:t>
      </w:r>
    </w:p>
    <w:p>
      <w:pPr>
        <w:pStyle w:val="Footnotesection"/>
      </w:pPr>
      <w:r>
        <w:tab/>
        <w:t>[Regulation 12A inserted: Gazette 13 Dec 2019 p. 4229</w:t>
      </w:r>
      <w:r>
        <w:noBreakHyphen/>
        <w:t>30.]</w:t>
      </w:r>
    </w:p>
    <w:p>
      <w:pPr>
        <w:pStyle w:val="Heading3"/>
      </w:pPr>
      <w:bookmarkStart w:id="46" w:name="_Toc26970469"/>
      <w:bookmarkStart w:id="47" w:name="_Toc26970541"/>
      <w:bookmarkStart w:id="48" w:name="_Toc27129937"/>
      <w:r>
        <w:rPr>
          <w:rStyle w:val="CharDivNo"/>
        </w:rPr>
        <w:t>Division 3</w:t>
      </w:r>
      <w:r>
        <w:t> — </w:t>
      </w:r>
      <w:r>
        <w:rPr>
          <w:rStyle w:val="CharDivText"/>
        </w:rPr>
        <w:t>Other segregation obligations</w:t>
      </w:r>
      <w:bookmarkEnd w:id="45"/>
      <w:bookmarkEnd w:id="46"/>
      <w:bookmarkEnd w:id="47"/>
      <w:bookmarkEnd w:id="48"/>
    </w:p>
    <w:p>
      <w:pPr>
        <w:pStyle w:val="Heading5"/>
      </w:pPr>
      <w:bookmarkStart w:id="49" w:name="_Toc27129938"/>
      <w:r>
        <w:rPr>
          <w:rStyle w:val="CharSectno"/>
        </w:rPr>
        <w:t>13</w:t>
      </w:r>
      <w:r>
        <w:t>.</w:t>
      </w:r>
      <w:r>
        <w:tab/>
        <w:t>Disclosure of restricted information</w:t>
      </w:r>
      <w:bookmarkEnd w:id="49"/>
    </w:p>
    <w:p>
      <w:pPr>
        <w:pStyle w:val="Subsection"/>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tab/>
        <w:t>(b)</w:t>
      </w:r>
      <w:r>
        <w:tab/>
        <w:t>the disclosure of the restricted information is required by law.</w:t>
      </w:r>
    </w:p>
    <w:p>
      <w:pPr>
        <w:pStyle w:val="Heading5"/>
      </w:pPr>
      <w:bookmarkStart w:id="50" w:name="_Toc27129939"/>
      <w:r>
        <w:rPr>
          <w:rStyle w:val="CharSectno"/>
        </w:rPr>
        <w:t>14</w:t>
      </w:r>
      <w:r>
        <w:t>.</w:t>
      </w:r>
      <w:r>
        <w:tab/>
        <w:t>Information technology access controls</w:t>
      </w:r>
      <w:bookmarkEnd w:id="50"/>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51" w:name="_Toc27129940"/>
      <w:r>
        <w:rPr>
          <w:rStyle w:val="CharSectno"/>
        </w:rPr>
        <w:t>15</w:t>
      </w:r>
      <w:r>
        <w:t>.</w:t>
      </w:r>
      <w:r>
        <w:tab/>
        <w:t>Training</w:t>
      </w:r>
      <w:bookmarkEnd w:id="51"/>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52" w:name="_Toc27129941"/>
      <w:r>
        <w:rPr>
          <w:rStyle w:val="CharSectno"/>
        </w:rPr>
        <w:t>16</w:t>
      </w:r>
      <w:r>
        <w:t>.</w:t>
      </w:r>
      <w:r>
        <w:tab/>
        <w:t>Separate work areas</w:t>
      </w:r>
      <w:bookmarkEnd w:id="52"/>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53" w:name="_Toc27129942"/>
      <w:r>
        <w:rPr>
          <w:rStyle w:val="CharSectno"/>
        </w:rPr>
        <w:t>17</w:t>
      </w:r>
      <w:r>
        <w:t>.</w:t>
      </w:r>
      <w:r>
        <w:tab/>
        <w:t>Separation of management roles</w:t>
      </w:r>
      <w:bookmarkEnd w:id="53"/>
    </w:p>
    <w:p>
      <w:pPr>
        <w:pStyle w:val="Subsection"/>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pPr>
      <w:r>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54" w:name="_Toc26966252"/>
      <w:bookmarkStart w:id="55" w:name="_Toc26970475"/>
      <w:bookmarkStart w:id="56" w:name="_Toc26970547"/>
      <w:bookmarkStart w:id="57" w:name="_Toc27129943"/>
      <w:r>
        <w:rPr>
          <w:rStyle w:val="CharDivNo"/>
        </w:rPr>
        <w:t>Division 4</w:t>
      </w:r>
      <w:r>
        <w:t> — </w:t>
      </w:r>
      <w:r>
        <w:rPr>
          <w:rStyle w:val="CharDivText"/>
        </w:rPr>
        <w:t>Segregation arrangements</w:t>
      </w:r>
      <w:bookmarkEnd w:id="54"/>
      <w:bookmarkEnd w:id="55"/>
      <w:bookmarkEnd w:id="56"/>
      <w:bookmarkEnd w:id="57"/>
    </w:p>
    <w:p>
      <w:pPr>
        <w:pStyle w:val="Heading5"/>
      </w:pPr>
      <w:bookmarkStart w:id="58" w:name="_Toc27129944"/>
      <w:r>
        <w:rPr>
          <w:rStyle w:val="CharSectno"/>
        </w:rPr>
        <w:t>18</w:t>
      </w:r>
      <w:r>
        <w:t>.</w:t>
      </w:r>
      <w:r>
        <w:tab/>
        <w:t>Minister may approve arrangements</w:t>
      </w:r>
      <w:bookmarkEnd w:id="58"/>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59" w:name="_Toc27129945"/>
      <w:r>
        <w:rPr>
          <w:rStyle w:val="CharSectno"/>
        </w:rPr>
        <w:t>19</w:t>
      </w:r>
      <w:r>
        <w:t>.</w:t>
      </w:r>
      <w:r>
        <w:tab/>
        <w:t>Commencement of segregation arrangements</w:t>
      </w:r>
      <w:bookmarkEnd w:id="59"/>
    </w:p>
    <w:p>
      <w:pPr>
        <w:pStyle w:val="Subsection"/>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60" w:name="_Toc27129946"/>
      <w:r>
        <w:rPr>
          <w:rStyle w:val="CharSectno"/>
        </w:rPr>
        <w:t>20</w:t>
      </w:r>
      <w:r>
        <w:t>.</w:t>
      </w:r>
      <w:r>
        <w:tab/>
        <w:t>Amendment or repeal of segregation arrangements</w:t>
      </w:r>
      <w:bookmarkEnd w:id="60"/>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61" w:name="_Toc26966256"/>
      <w:bookmarkStart w:id="62" w:name="_Toc26970479"/>
      <w:bookmarkStart w:id="63" w:name="_Toc26970551"/>
      <w:bookmarkStart w:id="64" w:name="_Toc27129947"/>
      <w:r>
        <w:rPr>
          <w:rStyle w:val="CharPartNo"/>
        </w:rPr>
        <w:t>Part 3</w:t>
      </w:r>
      <w:r>
        <w:t> — </w:t>
      </w:r>
      <w:r>
        <w:rPr>
          <w:rStyle w:val="CharPartText"/>
        </w:rPr>
        <w:t>Wholesale acquisition or supply of electricity</w:t>
      </w:r>
      <w:bookmarkEnd w:id="61"/>
      <w:bookmarkEnd w:id="62"/>
      <w:bookmarkEnd w:id="63"/>
      <w:bookmarkEnd w:id="64"/>
    </w:p>
    <w:p>
      <w:pPr>
        <w:pStyle w:val="Heading3"/>
      </w:pPr>
      <w:bookmarkStart w:id="65" w:name="_Toc26966257"/>
      <w:bookmarkStart w:id="66" w:name="_Toc26970480"/>
      <w:bookmarkStart w:id="67" w:name="_Toc26970552"/>
      <w:bookmarkStart w:id="68" w:name="_Toc27129948"/>
      <w:r>
        <w:rPr>
          <w:rStyle w:val="CharDivNo"/>
        </w:rPr>
        <w:t>Division 1</w:t>
      </w:r>
      <w:r>
        <w:t> — </w:t>
      </w:r>
      <w:r>
        <w:rPr>
          <w:rStyle w:val="CharDivText"/>
        </w:rPr>
        <w:t>Wholesaling obligations</w:t>
      </w:r>
      <w:bookmarkEnd w:id="65"/>
      <w:bookmarkEnd w:id="66"/>
      <w:bookmarkEnd w:id="67"/>
      <w:bookmarkEnd w:id="68"/>
    </w:p>
    <w:p>
      <w:pPr>
        <w:pStyle w:val="Heading5"/>
      </w:pPr>
      <w:bookmarkStart w:id="69" w:name="_Toc27129949"/>
      <w:r>
        <w:rPr>
          <w:rStyle w:val="CharSectno"/>
        </w:rPr>
        <w:t>21</w:t>
      </w:r>
      <w:r>
        <w:t>.</w:t>
      </w:r>
      <w:r>
        <w:tab/>
        <w:t>Wholesale supply to retail business unit</w:t>
      </w:r>
      <w:bookmarkEnd w:id="69"/>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70" w:name="_Toc27129950"/>
      <w:r>
        <w:rPr>
          <w:rStyle w:val="CharSectno"/>
        </w:rPr>
        <w:t>22</w:t>
      </w:r>
      <w:r>
        <w:t>.</w:t>
      </w:r>
      <w:r>
        <w:tab/>
        <w:t>EGRC not to discriminate between retail business unit and competitors when offering wholesale supply</w:t>
      </w:r>
      <w:bookmarkEnd w:id="70"/>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71" w:name="_Toc27129951"/>
      <w:r>
        <w:rPr>
          <w:rStyle w:val="CharSectno"/>
        </w:rPr>
        <w:t>23</w:t>
      </w:r>
      <w:r>
        <w:t>.</w:t>
      </w:r>
      <w:r>
        <w:tab/>
        <w:t>Policy for determining terms and conditions for wholesale supply of electricity</w:t>
      </w:r>
      <w:bookmarkEnd w:id="71"/>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72" w:name="_Toc27129952"/>
      <w:r>
        <w:rPr>
          <w:rStyle w:val="CharSectno"/>
        </w:rPr>
        <w:t>24</w:t>
      </w:r>
      <w:r>
        <w:t>.</w:t>
      </w:r>
      <w:r>
        <w:tab/>
        <w:t>Requests for wholesale supply of electricity</w:t>
      </w:r>
      <w:bookmarkEnd w:id="72"/>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73" w:name="_Toc27129953"/>
      <w:r>
        <w:rPr>
          <w:rStyle w:val="CharSectno"/>
        </w:rPr>
        <w:t>25</w:t>
      </w:r>
      <w:r>
        <w:t>.</w:t>
      </w:r>
      <w:r>
        <w:tab/>
        <w:t>Records</w:t>
      </w:r>
      <w:bookmarkEnd w:id="73"/>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74" w:name="_Toc26966263"/>
      <w:bookmarkStart w:id="75" w:name="_Toc26970486"/>
      <w:bookmarkStart w:id="76" w:name="_Toc26970558"/>
      <w:bookmarkStart w:id="77" w:name="_Toc27129954"/>
      <w:r>
        <w:rPr>
          <w:rStyle w:val="CharDivNo"/>
        </w:rPr>
        <w:t>Division 2</w:t>
      </w:r>
      <w:r>
        <w:t> — </w:t>
      </w:r>
      <w:r>
        <w:rPr>
          <w:rStyle w:val="CharDivText"/>
        </w:rPr>
        <w:t>Wholesale arrangements</w:t>
      </w:r>
      <w:bookmarkEnd w:id="74"/>
      <w:bookmarkEnd w:id="75"/>
      <w:bookmarkEnd w:id="76"/>
      <w:bookmarkEnd w:id="77"/>
    </w:p>
    <w:p>
      <w:pPr>
        <w:pStyle w:val="Heading5"/>
      </w:pPr>
      <w:bookmarkStart w:id="78" w:name="_Toc27129955"/>
      <w:r>
        <w:rPr>
          <w:rStyle w:val="CharSectno"/>
        </w:rPr>
        <w:t>26</w:t>
      </w:r>
      <w:r>
        <w:t>.</w:t>
      </w:r>
      <w:r>
        <w:tab/>
        <w:t>Minister may approve arrangements</w:t>
      </w:r>
      <w:bookmarkEnd w:id="78"/>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79" w:name="_Toc27129956"/>
      <w:r>
        <w:rPr>
          <w:rStyle w:val="CharSectno"/>
        </w:rPr>
        <w:t>27</w:t>
      </w:r>
      <w:r>
        <w:t>.</w:t>
      </w:r>
      <w:r>
        <w:tab/>
        <w:t>Commencement of wholesale arrangements</w:t>
      </w:r>
      <w:bookmarkEnd w:id="79"/>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80" w:name="_Toc27129957"/>
      <w:r>
        <w:rPr>
          <w:rStyle w:val="CharSectno"/>
        </w:rPr>
        <w:t>28</w:t>
      </w:r>
      <w:r>
        <w:t>.</w:t>
      </w:r>
      <w:r>
        <w:tab/>
        <w:t>Amendment or repeal of wholesale arrangements</w:t>
      </w:r>
      <w:bookmarkEnd w:id="80"/>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81" w:name="_Toc26966267"/>
      <w:bookmarkStart w:id="82" w:name="_Toc26970490"/>
      <w:bookmarkStart w:id="83" w:name="_Toc26970562"/>
      <w:bookmarkStart w:id="84" w:name="_Toc27129958"/>
      <w:r>
        <w:rPr>
          <w:rStyle w:val="CharPartNo"/>
        </w:rPr>
        <w:t>Part 4</w:t>
      </w:r>
      <w:r>
        <w:rPr>
          <w:rStyle w:val="CharDivNo"/>
        </w:rPr>
        <w:t> </w:t>
      </w:r>
      <w:r>
        <w:t>—</w:t>
      </w:r>
      <w:r>
        <w:rPr>
          <w:rStyle w:val="CharDivText"/>
        </w:rPr>
        <w:t> </w:t>
      </w:r>
      <w:r>
        <w:rPr>
          <w:rStyle w:val="CharPartText"/>
        </w:rPr>
        <w:t>Audit</w:t>
      </w:r>
      <w:bookmarkEnd w:id="81"/>
      <w:bookmarkEnd w:id="82"/>
      <w:bookmarkEnd w:id="83"/>
      <w:bookmarkEnd w:id="84"/>
    </w:p>
    <w:p>
      <w:pPr>
        <w:pStyle w:val="Heading5"/>
      </w:pPr>
      <w:bookmarkStart w:id="85" w:name="_Toc27129959"/>
      <w:r>
        <w:rPr>
          <w:rStyle w:val="CharSectno"/>
        </w:rPr>
        <w:t>29</w:t>
      </w:r>
      <w:r>
        <w:t>.</w:t>
      </w:r>
      <w:r>
        <w:tab/>
        <w:t>Audit: financial year</w:t>
      </w:r>
      <w:bookmarkEnd w:id="85"/>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86" w:name="_Toc27129960"/>
      <w:r>
        <w:rPr>
          <w:rStyle w:val="CharSectno"/>
        </w:rPr>
        <w:t>30</w:t>
      </w:r>
      <w:r>
        <w:t>.</w:t>
      </w:r>
      <w:r>
        <w:tab/>
        <w:t>Audit: calendar year</w:t>
      </w:r>
      <w:bookmarkEnd w:id="86"/>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87" w:name="_Toc27129961"/>
      <w:r>
        <w:rPr>
          <w:rStyle w:val="CharSectno"/>
        </w:rPr>
        <w:t>31</w:t>
      </w:r>
      <w:r>
        <w:t>.</w:t>
      </w:r>
      <w:r>
        <w:tab/>
        <w:t>Reports on audit</w:t>
      </w:r>
      <w:bookmarkEnd w:id="87"/>
    </w:p>
    <w:p>
      <w:pPr>
        <w:pStyle w:val="Subsection"/>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pPr>
      <w:r>
        <w:tab/>
        <w:t>(2)</w:t>
      </w:r>
      <w:r>
        <w:tab/>
        <w:t>The Auditor General must give a copy of the report to the board of the EGRC and to the Authority as soon as practicable after the report is given to the Minister.</w:t>
      </w:r>
    </w:p>
    <w:p>
      <w:pPr>
        <w:pStyle w:val="Subsection"/>
      </w:pPr>
      <w:r>
        <w:tab/>
        <w:t>(3)</w:t>
      </w:r>
      <w:r>
        <w:tab/>
        <w:t>The Minister must cause a copy of the report to be laid before each House of Parliament within 21 sitting days of that House after the day on which the Minister receives the report.</w:t>
      </w:r>
    </w:p>
    <w:p>
      <w:pPr>
        <w:pStyle w:val="Ednotesection"/>
      </w:pPr>
      <w:r>
        <w:t>[</w:t>
      </w:r>
      <w:r>
        <w:rPr>
          <w:b/>
        </w:rPr>
        <w:t>32.</w:t>
      </w:r>
      <w:r>
        <w:tab/>
        <w:t>Deleted: Gazette 3 Jun 2014 p. 1742.]</w:t>
      </w:r>
    </w:p>
    <w:p>
      <w:pPr>
        <w:pStyle w:val="Heading2"/>
      </w:pPr>
      <w:bookmarkStart w:id="88" w:name="_Toc26966271"/>
      <w:bookmarkStart w:id="89" w:name="_Toc26970494"/>
      <w:bookmarkStart w:id="90" w:name="_Toc26970566"/>
      <w:bookmarkStart w:id="91" w:name="_Toc27129962"/>
      <w:r>
        <w:rPr>
          <w:rStyle w:val="CharPartNo"/>
        </w:rPr>
        <w:t>Part 5</w:t>
      </w:r>
      <w:r>
        <w:t> — </w:t>
      </w:r>
      <w:r>
        <w:rPr>
          <w:rStyle w:val="CharPartText"/>
        </w:rPr>
        <w:t>Enforcement</w:t>
      </w:r>
      <w:bookmarkEnd w:id="88"/>
      <w:bookmarkEnd w:id="89"/>
      <w:bookmarkEnd w:id="90"/>
      <w:bookmarkEnd w:id="91"/>
    </w:p>
    <w:p>
      <w:pPr>
        <w:pStyle w:val="Heading3"/>
      </w:pPr>
      <w:bookmarkStart w:id="92" w:name="_Toc26966272"/>
      <w:bookmarkStart w:id="93" w:name="_Toc26970495"/>
      <w:bookmarkStart w:id="94" w:name="_Toc26970567"/>
      <w:bookmarkStart w:id="95" w:name="_Toc27129963"/>
      <w:r>
        <w:rPr>
          <w:rStyle w:val="CharDivNo"/>
        </w:rPr>
        <w:t>Division 1</w:t>
      </w:r>
      <w:r>
        <w:t> — </w:t>
      </w:r>
      <w:r>
        <w:rPr>
          <w:rStyle w:val="CharDivText"/>
        </w:rPr>
        <w:t>Investigation</w:t>
      </w:r>
      <w:bookmarkEnd w:id="92"/>
      <w:bookmarkEnd w:id="93"/>
      <w:bookmarkEnd w:id="94"/>
      <w:bookmarkEnd w:id="95"/>
    </w:p>
    <w:p>
      <w:pPr>
        <w:pStyle w:val="Heading5"/>
      </w:pPr>
      <w:bookmarkStart w:id="96" w:name="_Toc27129964"/>
      <w:r>
        <w:rPr>
          <w:rStyle w:val="CharSectno"/>
        </w:rPr>
        <w:t>33</w:t>
      </w:r>
      <w:r>
        <w:t>.</w:t>
      </w:r>
      <w:r>
        <w:tab/>
        <w:t>Authority has investigative role</w:t>
      </w:r>
      <w:bookmarkEnd w:id="96"/>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97" w:name="_Toc26966274"/>
      <w:bookmarkStart w:id="98" w:name="_Toc26970497"/>
      <w:bookmarkStart w:id="99" w:name="_Toc26970569"/>
      <w:bookmarkStart w:id="100" w:name="_Toc27129965"/>
      <w:r>
        <w:rPr>
          <w:rStyle w:val="CharDivNo"/>
        </w:rPr>
        <w:t>Division 2</w:t>
      </w:r>
      <w:r>
        <w:t> — </w:t>
      </w:r>
      <w:r>
        <w:rPr>
          <w:rStyle w:val="CharDivText"/>
        </w:rPr>
        <w:t>Imposition of civil penalties</w:t>
      </w:r>
      <w:bookmarkEnd w:id="97"/>
      <w:bookmarkEnd w:id="98"/>
      <w:bookmarkEnd w:id="99"/>
      <w:bookmarkEnd w:id="100"/>
    </w:p>
    <w:p>
      <w:pPr>
        <w:pStyle w:val="Heading5"/>
      </w:pPr>
      <w:bookmarkStart w:id="101" w:name="_Toc27129966"/>
      <w:r>
        <w:rPr>
          <w:rStyle w:val="CharSectno"/>
        </w:rPr>
        <w:t>34</w:t>
      </w:r>
      <w:r>
        <w:t>.</w:t>
      </w:r>
      <w:r>
        <w:tab/>
        <w:t>Civil penalty provisions and penalty amounts</w:t>
      </w:r>
      <w:bookmarkEnd w:id="101"/>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102" w:name="_Toc27129967"/>
      <w:r>
        <w:rPr>
          <w:rStyle w:val="CharSectno"/>
        </w:rPr>
        <w:t>35</w:t>
      </w:r>
      <w:r>
        <w:t>.</w:t>
      </w:r>
      <w:r>
        <w:tab/>
        <w:t>Daily amounts</w:t>
      </w:r>
      <w:bookmarkEnd w:id="102"/>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103" w:name="_Toc27129968"/>
      <w:r>
        <w:rPr>
          <w:rStyle w:val="CharSectno"/>
        </w:rPr>
        <w:t>36</w:t>
      </w:r>
      <w:r>
        <w:t>.</w:t>
      </w:r>
      <w:r>
        <w:tab/>
        <w:t>Requirement for investigation</w:t>
      </w:r>
      <w:bookmarkEnd w:id="103"/>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104" w:name="_Toc27129969"/>
      <w:r>
        <w:rPr>
          <w:rStyle w:val="CharSectno"/>
        </w:rPr>
        <w:t>37</w:t>
      </w:r>
      <w:r>
        <w:t>.</w:t>
      </w:r>
      <w:r>
        <w:tab/>
        <w:t>Warning notice</w:t>
      </w:r>
      <w:bookmarkEnd w:id="104"/>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105" w:name="_Toc27129970"/>
      <w:r>
        <w:rPr>
          <w:rStyle w:val="CharSectno"/>
        </w:rPr>
        <w:t>38</w:t>
      </w:r>
      <w:r>
        <w:t>.</w:t>
      </w:r>
      <w:r>
        <w:tab/>
        <w:t>Authority may impose civil penalty</w:t>
      </w:r>
      <w:bookmarkEnd w:id="105"/>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106" w:name="_Toc27129971"/>
      <w:r>
        <w:rPr>
          <w:rStyle w:val="CharSectno"/>
        </w:rPr>
        <w:t>39</w:t>
      </w:r>
      <w:r>
        <w:t>.</w:t>
      </w:r>
      <w:r>
        <w:tab/>
        <w:t>Board may order payment</w:t>
      </w:r>
      <w:bookmarkEnd w:id="106"/>
    </w:p>
    <w:p>
      <w:pPr>
        <w:pStyle w:val="Subsection"/>
      </w:pPr>
      <w:r>
        <w:tab/>
        <w:t>(1)</w:t>
      </w:r>
      <w:r>
        <w:tab/>
        <w:t xml:space="preserve">The Authority may apply to the Board for an order for the payment of a civil penalty specified in a notice given to the 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107" w:name="_Toc27129972"/>
      <w:r>
        <w:rPr>
          <w:rStyle w:val="CharSectno"/>
        </w:rPr>
        <w:t>40</w:t>
      </w:r>
      <w:r>
        <w:t>.</w:t>
      </w:r>
      <w:r>
        <w:tab/>
        <w:t>Enforcement of order of Board</w:t>
      </w:r>
      <w:bookmarkEnd w:id="107"/>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108" w:name="_Toc27129973"/>
      <w:r>
        <w:rPr>
          <w:rStyle w:val="CharSectno"/>
        </w:rPr>
        <w:t>41</w:t>
      </w:r>
      <w:r>
        <w:t>.</w:t>
      </w:r>
      <w:r>
        <w:tab/>
        <w:t>Civil penalties to be credited to Consolidated Account</w:t>
      </w:r>
      <w:bookmarkEnd w:id="108"/>
    </w:p>
    <w:p>
      <w:pPr>
        <w:pStyle w:val="Subsection"/>
      </w:pPr>
      <w:r>
        <w:tab/>
      </w:r>
      <w:r>
        <w:tab/>
        <w:t>A civil penalty paid to the Authority must be credited to the Consolidated Account.</w:t>
      </w:r>
    </w:p>
    <w:p>
      <w:pPr>
        <w:pStyle w:val="Heading3"/>
      </w:pPr>
      <w:bookmarkStart w:id="109" w:name="_Toc26966283"/>
      <w:bookmarkStart w:id="110" w:name="_Toc26970506"/>
      <w:bookmarkStart w:id="111" w:name="_Toc26970578"/>
      <w:bookmarkStart w:id="112" w:name="_Toc27129974"/>
      <w:r>
        <w:rPr>
          <w:rStyle w:val="CharDivNo"/>
        </w:rPr>
        <w:t>Division 3</w:t>
      </w:r>
      <w:r>
        <w:t> — </w:t>
      </w:r>
      <w:r>
        <w:rPr>
          <w:rStyle w:val="CharDivText"/>
        </w:rPr>
        <w:t>Review of civil penalty decisions</w:t>
      </w:r>
      <w:bookmarkEnd w:id="109"/>
      <w:bookmarkEnd w:id="110"/>
      <w:bookmarkEnd w:id="111"/>
      <w:bookmarkEnd w:id="112"/>
    </w:p>
    <w:p>
      <w:pPr>
        <w:pStyle w:val="Heading5"/>
      </w:pPr>
      <w:bookmarkStart w:id="113" w:name="_Toc27129975"/>
      <w:r>
        <w:rPr>
          <w:rStyle w:val="CharSectno"/>
        </w:rPr>
        <w:t>42</w:t>
      </w:r>
      <w:r>
        <w:t>.</w:t>
      </w:r>
      <w:r>
        <w:tab/>
        <w:t>Review by Board</w:t>
      </w:r>
      <w:bookmarkEnd w:id="113"/>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114" w:name="_Toc27129976"/>
      <w:r>
        <w:rPr>
          <w:rStyle w:val="CharSectno"/>
        </w:rPr>
        <w:t>43</w:t>
      </w:r>
      <w:r>
        <w:t>.</w:t>
      </w:r>
      <w:r>
        <w:tab/>
        <w:t>Application for review</w:t>
      </w:r>
      <w:bookmarkEnd w:id="114"/>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115" w:name="_Toc27129977"/>
      <w:r>
        <w:rPr>
          <w:rStyle w:val="CharSectno"/>
        </w:rPr>
        <w:t>44</w:t>
      </w:r>
      <w:r>
        <w:t>.</w:t>
      </w:r>
      <w:r>
        <w:tab/>
        <w:t>Procedure on review</w:t>
      </w:r>
      <w:bookmarkEnd w:id="115"/>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116" w:name="_Toc26966287"/>
      <w:bookmarkStart w:id="117" w:name="_Toc26970510"/>
      <w:bookmarkStart w:id="118" w:name="_Toc26970582"/>
      <w:bookmarkStart w:id="119" w:name="_Toc27129978"/>
      <w:r>
        <w:rPr>
          <w:rStyle w:val="CharDivNo"/>
        </w:rPr>
        <w:t>Division 4</w:t>
      </w:r>
      <w:r>
        <w:t> — </w:t>
      </w:r>
      <w:r>
        <w:rPr>
          <w:rStyle w:val="CharDivText"/>
        </w:rPr>
        <w:t>Proceedings</w:t>
      </w:r>
      <w:bookmarkEnd w:id="116"/>
      <w:bookmarkEnd w:id="117"/>
      <w:bookmarkEnd w:id="118"/>
      <w:bookmarkEnd w:id="119"/>
    </w:p>
    <w:p>
      <w:pPr>
        <w:pStyle w:val="Heading5"/>
      </w:pPr>
      <w:bookmarkStart w:id="120" w:name="_Toc27129979"/>
      <w:r>
        <w:rPr>
          <w:rStyle w:val="CharSectno"/>
        </w:rPr>
        <w:t>45</w:t>
      </w:r>
      <w:r>
        <w:t>.</w:t>
      </w:r>
      <w:r>
        <w:tab/>
        <w:t>Proceedings before Board</w:t>
      </w:r>
      <w:bookmarkEnd w:id="120"/>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121" w:name="_Toc26966289"/>
      <w:bookmarkStart w:id="122" w:name="_Toc26970512"/>
      <w:bookmarkStart w:id="123" w:name="_Toc26970584"/>
      <w:bookmarkStart w:id="124" w:name="_Toc27129980"/>
      <w:r>
        <w:rPr>
          <w:rStyle w:val="CharPartNo"/>
        </w:rPr>
        <w:t>Part 6</w:t>
      </w:r>
      <w:r>
        <w:rPr>
          <w:rStyle w:val="CharDivNo"/>
        </w:rPr>
        <w:t> </w:t>
      </w:r>
      <w:r>
        <w:t>—</w:t>
      </w:r>
      <w:r>
        <w:rPr>
          <w:rStyle w:val="CharDivText"/>
        </w:rPr>
        <w:t> </w:t>
      </w:r>
      <w:r>
        <w:rPr>
          <w:rStyle w:val="CharPartText"/>
        </w:rPr>
        <w:t>Miscellaneous</w:t>
      </w:r>
      <w:bookmarkEnd w:id="121"/>
      <w:bookmarkEnd w:id="122"/>
      <w:bookmarkEnd w:id="123"/>
      <w:bookmarkEnd w:id="124"/>
    </w:p>
    <w:p>
      <w:pPr>
        <w:pStyle w:val="Heading5"/>
      </w:pPr>
      <w:bookmarkStart w:id="125" w:name="_Toc27129981"/>
      <w:r>
        <w:rPr>
          <w:rStyle w:val="CharSectno"/>
        </w:rPr>
        <w:t>46</w:t>
      </w:r>
      <w:r>
        <w:t>.</w:t>
      </w:r>
      <w:r>
        <w:tab/>
        <w:t>Retention of records and documents</w:t>
      </w:r>
      <w:bookmarkEnd w:id="125"/>
    </w:p>
    <w:p>
      <w:pPr>
        <w:pStyle w:val="Subsection"/>
      </w:pPr>
      <w:r>
        <w:tab/>
      </w:r>
      <w:r>
        <w:tab/>
        <w:t>The EGRC must ensure that each record or document created for the purposes of these regulations is retained for at least 7 years after its creation.</w:t>
      </w:r>
    </w:p>
    <w:p>
      <w:pPr>
        <w:pStyle w:val="Heading5"/>
      </w:pPr>
      <w:bookmarkStart w:id="126" w:name="_Toc27129982"/>
      <w:r>
        <w:rPr>
          <w:rStyle w:val="CharSectno"/>
        </w:rPr>
        <w:t>47</w:t>
      </w:r>
      <w:r>
        <w:t>.</w:t>
      </w:r>
      <w:r>
        <w:tab/>
        <w:t>Exemption</w:t>
      </w:r>
      <w:bookmarkEnd w:id="126"/>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127" w:name="_Toc27129983"/>
      <w:r>
        <w:rPr>
          <w:rStyle w:val="CharSectno"/>
        </w:rPr>
        <w:t>48</w:t>
      </w:r>
      <w:r>
        <w:t>.</w:t>
      </w:r>
      <w:r>
        <w:tab/>
        <w:t>Review of EGRC regulatory scheme</w:t>
      </w:r>
      <w:bookmarkEnd w:id="127"/>
    </w:p>
    <w:p>
      <w:pPr>
        <w:pStyle w:val="Subsection"/>
      </w:pPr>
      <w:r>
        <w:tab/>
        <w:t>(1)</w:t>
      </w:r>
      <w:r>
        <w:tab/>
        <w:t xml:space="preserve">By 31 December 2021 and after that, at least once in every 2 years, the Authority must — </w:t>
      </w:r>
    </w:p>
    <w:p>
      <w:pPr>
        <w:pStyle w:val="Indenta"/>
      </w:pPr>
      <w:r>
        <w:tab/>
        <w:t>(a)</w:t>
      </w:r>
      <w:r>
        <w:tab/>
        <w:t>carry out a review of the operation of the EGRC regulatory scheme for the purpose of assessing its effectiveness; and</w:t>
      </w:r>
    </w:p>
    <w:p>
      <w:pPr>
        <w:pStyle w:val="Indenta"/>
      </w:pPr>
      <w:r>
        <w:tab/>
        <w:t>(b)</w:t>
      </w:r>
      <w:r>
        <w:tab/>
        <w:t>give the Minister a report based on its review.</w:t>
      </w:r>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Ednotesubsection"/>
      </w:pPr>
      <w:r>
        <w:tab/>
        <w:t>[(3)</w:t>
      </w:r>
      <w:r>
        <w:tab/>
      </w:r>
      <w:r>
        <w:tab/>
        <w:t>deleted]</w:t>
      </w:r>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Footnotesection"/>
      </w:pPr>
      <w:r>
        <w:tab/>
        <w:t>[Regulation 48 amended: Gazette 13 Dec 2019 p. 4230.]</w:t>
      </w:r>
    </w:p>
    <w:p>
      <w:pPr>
        <w:pStyle w:val="Heading5"/>
      </w:pPr>
      <w:bookmarkStart w:id="128" w:name="_Toc27129984"/>
      <w:r>
        <w:rPr>
          <w:rStyle w:val="CharSectno"/>
        </w:rPr>
        <w:t>49</w:t>
      </w:r>
      <w:r>
        <w:t>.</w:t>
      </w:r>
      <w:r>
        <w:tab/>
        <w:t>Deletion of commercially sensitive matters from Authority’s report</w:t>
      </w:r>
      <w:bookmarkEnd w:id="128"/>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9" w:name="_Toc26966294"/>
      <w:bookmarkStart w:id="130" w:name="_Toc26970517"/>
      <w:bookmarkStart w:id="131" w:name="_Toc26970589"/>
      <w:bookmarkStart w:id="132" w:name="_Toc27129985"/>
      <w:r>
        <w:rPr>
          <w:rStyle w:val="CharSchNo"/>
        </w:rPr>
        <w:t>Schedule 1</w:t>
      </w:r>
      <w:r>
        <w:rPr>
          <w:rStyle w:val="CharSDivNo"/>
        </w:rPr>
        <w:t> </w:t>
      </w:r>
      <w:r>
        <w:t>—</w:t>
      </w:r>
      <w:r>
        <w:rPr>
          <w:rStyle w:val="CharSDivText"/>
        </w:rPr>
        <w:t> </w:t>
      </w:r>
      <w:r>
        <w:rPr>
          <w:rStyle w:val="CharSchText"/>
        </w:rPr>
        <w:t>Civil penalty provisions</w:t>
      </w:r>
      <w:bookmarkEnd w:id="129"/>
      <w:bookmarkEnd w:id="130"/>
      <w:bookmarkEnd w:id="131"/>
      <w:bookmarkEnd w:id="132"/>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4" w:name="_Toc26966295"/>
      <w:bookmarkStart w:id="135" w:name="_Toc26970518"/>
      <w:bookmarkStart w:id="136" w:name="_Toc26970590"/>
      <w:bookmarkStart w:id="137" w:name="_Toc27129986"/>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(Electricity Generation and Retail Corporation) Regulations 2013</w:t>
      </w:r>
      <w:r>
        <w:rPr>
          <w:snapToGrid w:val="0"/>
        </w:rPr>
        <w:t xml:space="preserve"> and includes the amendments made by the other written laws referred to in the following table.  </w:t>
      </w:r>
    </w:p>
    <w:p>
      <w:pPr>
        <w:pStyle w:val="nHeading3"/>
      </w:pPr>
      <w:bookmarkStart w:id="138" w:name="_Toc27129987"/>
      <w:r>
        <w:t>Compilation table</w:t>
      </w:r>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Electricity Corporations (Electricity Generation and Retail Corporation) Regulations 2013</w:t>
            </w:r>
          </w:p>
        </w:tc>
        <w:tc>
          <w:tcPr>
            <w:tcW w:w="1276" w:type="dxa"/>
            <w:tcBorders>
              <w:bottom w:val="nil"/>
            </w:tcBorders>
          </w:tcPr>
          <w:p>
            <w:pPr>
              <w:pStyle w:val="nTable"/>
              <w:spacing w:after="40"/>
            </w:pPr>
            <w:r>
              <w:t>27 Dec 2013 p. 6487</w:t>
            </w:r>
            <w:r>
              <w:noBreakHyphen/>
              <w:t>523</w:t>
            </w:r>
          </w:p>
        </w:tc>
        <w:tc>
          <w:tcPr>
            <w:tcW w:w="2693" w:type="dxa"/>
            <w:tcBorders>
              <w:bottom w:val="nil"/>
            </w:tcBorders>
          </w:tcPr>
          <w:p>
            <w:pPr>
              <w:pStyle w:val="nTable"/>
              <w:spacing w:after="40"/>
            </w:pPr>
            <w:r>
              <w:rPr>
                <w:snapToGrid w:val="0"/>
                <w:spacing w:val="-2"/>
              </w:rPr>
              <w:t>r. 1 and 2: 27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r>
        <w:tc>
          <w:tcPr>
            <w:tcW w:w="3118" w:type="dxa"/>
            <w:tcBorders>
              <w:top w:val="nil"/>
              <w:bottom w:val="nil"/>
            </w:tcBorders>
          </w:tcPr>
          <w:p>
            <w:pPr>
              <w:pStyle w:val="nTable"/>
              <w:spacing w:after="40"/>
              <w:rPr>
                <w:i/>
                <w:noProof/>
                <w:snapToGrid w:val="0"/>
              </w:rPr>
            </w:pPr>
            <w:r>
              <w:rPr>
                <w:i/>
                <w:noProof/>
                <w:snapToGrid w:val="0"/>
              </w:rPr>
              <w:t>Electricity Corporations (Electricity Generation and Retail Corporation) Amendment Regulations 2014</w:t>
            </w:r>
          </w:p>
        </w:tc>
        <w:tc>
          <w:tcPr>
            <w:tcW w:w="1276" w:type="dxa"/>
            <w:tcBorders>
              <w:top w:val="nil"/>
              <w:bottom w:val="nil"/>
            </w:tcBorders>
          </w:tcPr>
          <w:p>
            <w:pPr>
              <w:pStyle w:val="nTable"/>
              <w:spacing w:after="40"/>
            </w:pPr>
            <w:r>
              <w:t>3 Jun 2014 p. 1742</w:t>
            </w:r>
          </w:p>
        </w:tc>
        <w:tc>
          <w:tcPr>
            <w:tcW w:w="2693" w:type="dxa"/>
            <w:tcBorders>
              <w:top w:val="nil"/>
              <w:bottom w:val="nil"/>
            </w:tcBorders>
          </w:tcPr>
          <w:p>
            <w:pPr>
              <w:pStyle w:val="nTable"/>
              <w:spacing w:after="40"/>
              <w:rPr>
                <w:snapToGrid w:val="0"/>
                <w:spacing w:val="-2"/>
              </w:rPr>
            </w:pPr>
            <w:r>
              <w:rPr>
                <w:snapToGrid w:val="0"/>
                <w:spacing w:val="-2"/>
              </w:rPr>
              <w:t>r. 1 and 2: 3 Jun 2014 (see r. 2(a));</w:t>
            </w:r>
            <w:r>
              <w:rPr>
                <w:snapToGrid w:val="0"/>
                <w:spacing w:val="-2"/>
              </w:rPr>
              <w:br/>
              <w:t>Regulations other than r. 1 and 2: 4 Jun 2014 (see r. 2(b))</w:t>
            </w:r>
          </w:p>
        </w:tc>
      </w:tr>
      <w:tr>
        <w:tc>
          <w:tcPr>
            <w:tcW w:w="3118" w:type="dxa"/>
            <w:tcBorders>
              <w:top w:val="nil"/>
              <w:bottom w:val="single" w:sz="4" w:space="0" w:color="auto"/>
            </w:tcBorders>
          </w:tcPr>
          <w:p>
            <w:pPr>
              <w:pStyle w:val="nTable"/>
              <w:spacing w:after="40"/>
              <w:rPr>
                <w:noProof/>
                <w:snapToGrid w:val="0"/>
              </w:rPr>
            </w:pPr>
            <w:r>
              <w:rPr>
                <w:i/>
                <w:noProof/>
                <w:snapToGrid w:val="0"/>
              </w:rPr>
              <w:t>Electricity Corporations (Electricity Generation and Retail Corporation) Amendment Regulations 2019</w:t>
            </w:r>
          </w:p>
        </w:tc>
        <w:tc>
          <w:tcPr>
            <w:tcW w:w="1276" w:type="dxa"/>
            <w:tcBorders>
              <w:top w:val="nil"/>
              <w:bottom w:val="single" w:sz="4" w:space="0" w:color="auto"/>
            </w:tcBorders>
          </w:tcPr>
          <w:p>
            <w:pPr>
              <w:pStyle w:val="nTable"/>
              <w:spacing w:after="40"/>
            </w:pPr>
            <w:r>
              <w:t>13 Dec 2019 p. 4229</w:t>
            </w:r>
            <w:r>
              <w:noBreakHyphen/>
              <w:t>30</w:t>
            </w:r>
          </w:p>
        </w:tc>
        <w:tc>
          <w:tcPr>
            <w:tcW w:w="2693" w:type="dxa"/>
            <w:tcBorders>
              <w:top w:val="nil"/>
              <w:bottom w:val="single" w:sz="4" w:space="0" w:color="auto"/>
            </w:tcBorders>
          </w:tcPr>
          <w:p>
            <w:pPr>
              <w:pStyle w:val="nTable"/>
              <w:spacing w:after="40"/>
              <w:rPr>
                <w:snapToGrid w:val="0"/>
                <w:spacing w:val="-2"/>
              </w:rPr>
            </w:pPr>
            <w:r>
              <w:rPr>
                <w:snapToGrid w:val="0"/>
                <w:spacing w:val="-2"/>
              </w:rPr>
              <w:t>r. 1 and 2: 13 Dec 2019 (see r. 2(a));</w:t>
            </w:r>
            <w:r>
              <w:rPr>
                <w:snapToGrid w:val="0"/>
                <w:spacing w:val="-2"/>
              </w:rPr>
              <w:br/>
              <w:t>Regulations other than r. 1 and 2: 14 Dec 2019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0" w:name="_Toc26966297"/>
      <w:bookmarkStart w:id="141" w:name="_Toc26970520"/>
      <w:bookmarkStart w:id="142" w:name="_Toc26970592"/>
      <w:bookmarkStart w:id="143" w:name="_Toc27129988"/>
      <w:r>
        <w:rPr>
          <w:sz w:val="28"/>
        </w:rPr>
        <w:t>Defined terms</w:t>
      </w:r>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AASB 8</w:t>
      </w:r>
      <w:r>
        <w:tab/>
        <w:t>3</w:t>
      </w:r>
    </w:p>
    <w:p>
      <w:pPr>
        <w:pStyle w:val="DefinedTerms"/>
      </w:pPr>
      <w:r>
        <w:t>applicable provision</w:t>
      </w:r>
      <w:r>
        <w:tab/>
        <w:t>3</w:t>
      </w:r>
    </w:p>
    <w:p>
      <w:pPr>
        <w:pStyle w:val="DefinedTerms"/>
      </w:pPr>
      <w:r>
        <w:t>audit</w:t>
      </w:r>
      <w:r>
        <w:tab/>
        <w:t>3</w:t>
      </w:r>
    </w:p>
    <w:p>
      <w:pPr>
        <w:pStyle w:val="DefinedTerms"/>
      </w:pPr>
      <w:r>
        <w:t>Authority</w:t>
      </w:r>
      <w:r>
        <w:tab/>
        <w:t>3</w:t>
      </w:r>
    </w:p>
    <w:p>
      <w:pPr>
        <w:pStyle w:val="DefinedTerms"/>
      </w:pPr>
      <w:r>
        <w:t>Board</w:t>
      </w:r>
      <w:r>
        <w:tab/>
        <w:t>3</w:t>
      </w:r>
    </w:p>
    <w:p>
      <w:pPr>
        <w:pStyle w:val="DefinedTerms"/>
      </w:pPr>
      <w:r>
        <w:t>civil penalty decision</w:t>
      </w:r>
      <w:r>
        <w:tab/>
        <w:t>3</w:t>
      </w:r>
    </w:p>
    <w:p>
      <w:pPr>
        <w:pStyle w:val="DefinedTerms"/>
      </w:pPr>
      <w:r>
        <w:t>civil penalty provision</w:t>
      </w:r>
      <w:r>
        <w:tab/>
        <w:t>3</w:t>
      </w:r>
    </w:p>
    <w:p>
      <w:pPr>
        <w:pStyle w:val="DefinedTerms"/>
      </w:pPr>
      <w:r>
        <w:t>contestable customer</w:t>
      </w:r>
      <w:r>
        <w:tab/>
        <w:t>3</w:t>
      </w:r>
    </w:p>
    <w:p>
      <w:pPr>
        <w:pStyle w:val="DefinedTerms"/>
      </w:pPr>
      <w:r>
        <w:t>customer</w:t>
      </w:r>
      <w:r>
        <w:tab/>
        <w:t>3</w:t>
      </w:r>
    </w:p>
    <w:p>
      <w:pPr>
        <w:pStyle w:val="DefinedTerms"/>
      </w:pPr>
      <w:r>
        <w:t>EGRC</w:t>
      </w:r>
      <w:r>
        <w:tab/>
        <w:t>3</w:t>
      </w:r>
    </w:p>
    <w:p>
      <w:pPr>
        <w:pStyle w:val="DefinedTerms"/>
      </w:pPr>
      <w:r>
        <w:t>EGRC business unit</w:t>
      </w:r>
      <w:r>
        <w:tab/>
        <w:t>3</w:t>
      </w:r>
    </w:p>
    <w:p>
      <w:pPr>
        <w:pStyle w:val="DefinedTerms"/>
      </w:pPr>
      <w:r>
        <w:t>EGRC regulatory scheme</w:t>
      </w:r>
      <w:r>
        <w:tab/>
        <w:t>3</w:t>
      </w:r>
    </w:p>
    <w:p>
      <w:pPr>
        <w:pStyle w:val="DefinedTerms"/>
      </w:pPr>
      <w:r>
        <w:t>foundation transfer price</w:t>
      </w:r>
      <w:r>
        <w:tab/>
        <w:t>3</w:t>
      </w:r>
    </w:p>
    <w:p>
      <w:pPr>
        <w:pStyle w:val="DefinedTerms"/>
      </w:pPr>
      <w:r>
        <w:t>foundation transfer price mechanism</w:t>
      </w:r>
      <w:r>
        <w:tab/>
        <w:t>3, 11(1)</w:t>
      </w:r>
    </w:p>
    <w:p>
      <w:pPr>
        <w:pStyle w:val="DefinedTerms"/>
      </w:pPr>
      <w:r>
        <w:t>generation business</w:t>
      </w:r>
      <w:r>
        <w:tab/>
        <w:t>3, 5(1)</w:t>
      </w:r>
    </w:p>
    <w:p>
      <w:pPr>
        <w:pStyle w:val="DefinedTerms"/>
      </w:pPr>
      <w:r>
        <w:t>generation business unit</w:t>
      </w:r>
      <w:r>
        <w:tab/>
        <w:t>3</w:t>
      </w:r>
    </w:p>
    <w:p>
      <w:pPr>
        <w:pStyle w:val="DefinedTerms"/>
      </w:pPr>
      <w:r>
        <w:t>generation competitor</w:t>
      </w:r>
      <w:r>
        <w:tab/>
        <w:t>3</w:t>
      </w:r>
    </w:p>
    <w:p>
      <w:pPr>
        <w:pStyle w:val="DefinedTerms"/>
      </w:pPr>
      <w:r>
        <w:t>generation operations</w:t>
      </w:r>
      <w:r>
        <w:tab/>
        <w:t>3</w:t>
      </w:r>
    </w:p>
    <w:p>
      <w:pPr>
        <w:pStyle w:val="DefinedTerms"/>
      </w:pPr>
      <w:r>
        <w:t>generation restricted information</w:t>
      </w:r>
      <w:r>
        <w:tab/>
        <w:t>3</w:t>
      </w:r>
    </w:p>
    <w:p>
      <w:pPr>
        <w:pStyle w:val="DefinedTerms"/>
      </w:pPr>
      <w:r>
        <w:t>generation staff</w:t>
      </w:r>
      <w:r>
        <w:tab/>
        <w:t>3</w:t>
      </w:r>
    </w:p>
    <w:p>
      <w:pPr>
        <w:pStyle w:val="DefinedTerms"/>
      </w:pPr>
      <w:r>
        <w:t>member of staff</w:t>
      </w:r>
      <w:r>
        <w:tab/>
        <w:t>3, 17(1)</w:t>
      </w:r>
    </w:p>
    <w:p>
      <w:pPr>
        <w:pStyle w:val="DefinedTerms"/>
      </w:pPr>
      <w:r>
        <w:t>merger time</w:t>
      </w:r>
      <w:r>
        <w:tab/>
        <w:t>3</w:t>
      </w:r>
    </w:p>
    <w:p>
      <w:pPr>
        <w:pStyle w:val="DefinedTerms"/>
      </w:pPr>
      <w:r>
        <w:t>new contestable customer arrangement</w:t>
      </w:r>
      <w:r>
        <w:tab/>
        <w:t>3, 4(1)</w:t>
      </w:r>
    </w:p>
    <w:p>
      <w:pPr>
        <w:pStyle w:val="DefinedTerms"/>
      </w:pPr>
      <w:r>
        <w:t>operating segment</w:t>
      </w:r>
      <w:r>
        <w:tab/>
        <w:t>7(1)</w:t>
      </w:r>
    </w:p>
    <w:p>
      <w:pPr>
        <w:pStyle w:val="DefinedTerms"/>
      </w:pPr>
      <w:r>
        <w:t>proceedings</w:t>
      </w:r>
      <w:r>
        <w:tab/>
        <w:t>45(1)</w:t>
      </w:r>
    </w:p>
    <w:p>
      <w:pPr>
        <w:pStyle w:val="DefinedTerms"/>
      </w:pPr>
      <w:r>
        <w:t>restricted information</w:t>
      </w:r>
      <w:r>
        <w:tab/>
        <w:t>3</w:t>
      </w:r>
    </w:p>
    <w:p>
      <w:pPr>
        <w:pStyle w:val="DefinedTerms"/>
      </w:pPr>
      <w:r>
        <w:t>retail business</w:t>
      </w:r>
      <w:r>
        <w:tab/>
        <w:t>3, 5(1)</w:t>
      </w:r>
    </w:p>
    <w:p>
      <w:pPr>
        <w:pStyle w:val="DefinedTerms"/>
      </w:pPr>
      <w:r>
        <w:t>retail business unit</w:t>
      </w:r>
      <w:r>
        <w:tab/>
        <w:t>3</w:t>
      </w:r>
    </w:p>
    <w:p>
      <w:pPr>
        <w:pStyle w:val="DefinedTerms"/>
      </w:pPr>
      <w:r>
        <w:t>retail competitor</w:t>
      </w:r>
      <w:r>
        <w:tab/>
        <w:t>3</w:t>
      </w:r>
    </w:p>
    <w:p>
      <w:pPr>
        <w:pStyle w:val="DefinedTerms"/>
      </w:pPr>
      <w:r>
        <w:t>retail operations</w:t>
      </w:r>
      <w:r>
        <w:tab/>
        <w:t>3</w:t>
      </w:r>
    </w:p>
    <w:p>
      <w:pPr>
        <w:pStyle w:val="DefinedTerms"/>
      </w:pPr>
      <w:r>
        <w:t>retail restricted information</w:t>
      </w:r>
      <w:r>
        <w:tab/>
        <w:t>3</w:t>
      </w:r>
    </w:p>
    <w:p>
      <w:pPr>
        <w:pStyle w:val="DefinedTerms"/>
      </w:pPr>
      <w:r>
        <w:t>retail staff</w:t>
      </w:r>
      <w:r>
        <w:tab/>
        <w:t>3</w:t>
      </w:r>
    </w:p>
    <w:p>
      <w:pPr>
        <w:pStyle w:val="DefinedTerms"/>
      </w:pPr>
      <w:r>
        <w:t>segregation arrangements</w:t>
      </w:r>
      <w:r>
        <w:tab/>
        <w:t>3, 19(1)</w:t>
      </w:r>
    </w:p>
    <w:p>
      <w:pPr>
        <w:pStyle w:val="DefinedTerms"/>
      </w:pPr>
      <w:r>
        <w:t>shared services operations</w:t>
      </w:r>
      <w:r>
        <w:tab/>
        <w:t>3</w:t>
      </w:r>
    </w:p>
    <w:p>
      <w:pPr>
        <w:pStyle w:val="DefinedTerms"/>
      </w:pPr>
      <w:r>
        <w:t>shared services staff</w:t>
      </w:r>
      <w:r>
        <w:tab/>
        <w:t>3</w:t>
      </w:r>
    </w:p>
    <w:p>
      <w:pPr>
        <w:pStyle w:val="DefinedTerms"/>
      </w:pPr>
      <w:r>
        <w:t>staff</w:t>
      </w:r>
      <w:r>
        <w:tab/>
        <w:t>3</w:t>
      </w:r>
    </w:p>
    <w:p>
      <w:pPr>
        <w:pStyle w:val="DefinedTerms"/>
      </w:pPr>
      <w:r>
        <w:t>warning notice</w:t>
      </w:r>
      <w:r>
        <w:tab/>
        <w:t>37(1)</w:t>
      </w:r>
    </w:p>
    <w:p>
      <w:pPr>
        <w:pStyle w:val="DefinedTerms"/>
      </w:pPr>
      <w:r>
        <w:t>wholesale arrangements</w:t>
      </w:r>
      <w:r>
        <w:tab/>
        <w:t>3, 27(1)</w:t>
      </w:r>
    </w:p>
    <w:p>
      <w:pPr>
        <w:pStyle w:val="DefinedTerms"/>
      </w:pPr>
      <w:r>
        <w:t>wholesale business</w:t>
      </w:r>
      <w:r>
        <w:tab/>
        <w:t>3, 5(1)</w:t>
      </w:r>
    </w:p>
    <w:p>
      <w:pPr>
        <w:pStyle w:val="DefinedTerms"/>
      </w:pPr>
      <w:r>
        <w:t>wholesale business unit</w:t>
      </w:r>
      <w:r>
        <w:tab/>
        <w:t>3</w:t>
      </w:r>
    </w:p>
    <w:p>
      <w:pPr>
        <w:pStyle w:val="DefinedTerms"/>
      </w:pPr>
      <w:r>
        <w:t>wholesale operations</w:t>
      </w:r>
      <w:r>
        <w:tab/>
        <w:t>3</w:t>
      </w:r>
    </w:p>
    <w:p>
      <w:pPr>
        <w:pStyle w:val="DefinedTerms"/>
      </w:pPr>
      <w:r>
        <w:t>wholesale products</w:t>
      </w:r>
      <w:r>
        <w:tab/>
        <w:t>3</w:t>
      </w:r>
    </w:p>
    <w:p>
      <w:pPr>
        <w:pStyle w:val="DefinedTerms"/>
      </w:pPr>
      <w:r>
        <w:t>wholesale staff</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1141437"/>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 w:name="WAFER_20140603125036" w:val="RemoveTocBookmarks,RunningHeaders"/>
    <w:docVar w:name="WAFER_20140603125036_GUID" w:val="90bbf453-7059-47b7-bab3-0b25bc169eff"/>
    <w:docVar w:name="WAFER_20140606103803" w:val="RemoveTocBookmarks,RemoveUnusedBookmarks,RemoveLanguageTags,UsedStyles,ResetPageSize,UpdateArrangement"/>
    <w:docVar w:name="WAFER_20140606103803_GUID" w:val="c9da1d05-01da-4589-87d4-db47d649fc68"/>
    <w:docVar w:name="WAFER_20140606103819" w:val="RemoveTocBookmarks,RunningHeaders"/>
    <w:docVar w:name="WAFER_20140606103819_GUID" w:val="e33fe408-7407-4b47-88d5-2d510d396c39"/>
    <w:docVar w:name="WAFER_20150413152106" w:val="ResetPageSize,UpdateArrangement,UpdateNTable"/>
    <w:docVar w:name="WAFER_20150413152106_GUID" w:val="beff72cd-e545-48e3-9b69-2dc3c4b0c840"/>
    <w:docVar w:name="WAFER_20151105115651" w:val="UpdateStyles,UsedStyles"/>
    <w:docVar w:name="WAFER_20151105115651_GUID" w:val="ee88a2e8-047a-4376-8f75-36d5dc937a2e"/>
    <w:docVar w:name="WAFER_20191211140347" w:val="RemoveTocBookmarks,RemoveUnusedBookmarks,RemoveLanguageTags,ResetPageSize,RunningHeaders,UpdateStyles,UsedStyles"/>
    <w:docVar w:name="WAFER_20191211140347_GUID" w:val="9ef0bcc8-4d55-412f-b841-6a7dc207db35"/>
    <w:docVar w:name="WAFER_20191211141437" w:val="RemoveTocBookmarks,RemoveUnusedBookmarks,RemoveLanguageTags,ResetPageSize,RunningHeaders,UpdateStyles,UsedStyles"/>
    <w:docVar w:name="WAFER_20191211141437_GUID" w:val="79a85e63-e2e5-49e8-859d-d63de520a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287D-7719-423D-9683-0E30B7CA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7436</Words>
  <Characters>38818</Characters>
  <Application>Microsoft Office Word</Application>
  <DocSecurity>0</DocSecurity>
  <Lines>1078</Lines>
  <Paragraphs>660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2013 - 00-c0-00</dc:title>
  <dc:subject/>
  <dc:creator/>
  <cp:keywords/>
  <dc:description/>
  <cp:lastModifiedBy>svcMRProcess</cp:lastModifiedBy>
  <cp:revision>4</cp:revision>
  <cp:lastPrinted>2019-12-13T03:35:00Z</cp:lastPrinted>
  <dcterms:created xsi:type="dcterms:W3CDTF">2019-12-13T07:44:00Z</dcterms:created>
  <dcterms:modified xsi:type="dcterms:W3CDTF">2019-12-13T07:44:00Z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DocumentType">
    <vt:lpwstr>Reg</vt:lpwstr>
  </property>
  <property fmtid="{D5CDD505-2E9C-101B-9397-08002B2CF9AE}" pid="4" name="AsAtDate">
    <vt:lpwstr>14 Dec 2019</vt:lpwstr>
  </property>
  <property fmtid="{D5CDD505-2E9C-101B-9397-08002B2CF9AE}" pid="5" name="Suffix">
    <vt:lpwstr>00-c0-00</vt:lpwstr>
  </property>
  <property fmtid="{D5CDD505-2E9C-101B-9397-08002B2CF9AE}" pid="6" name="CommencementDate">
    <vt:lpwstr>20191214</vt:lpwstr>
  </property>
</Properties>
</file>