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_Toc32393389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_Toc32393390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_Toc32393391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_Toc32393393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_Toc32393394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_Toc32393395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_Toc32393396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_Toc32393398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_Toc32393399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_Toc32393400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_Toc32393401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_Toc32393402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_Toc32393403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_Toc32393404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_Toc32393405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_Toc32393406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_Toc32393407 \h </w:instrText>
      </w:r>
      <w:r>
        <w:fldChar w:fldCharType="separate"/>
      </w:r>
      <w:r>
        <w:t>15</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_Toc32393408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_Toc32393409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_Toc32393410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_Toc32393412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_Toc32393413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_Toc32393415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_Toc32393416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_Toc32393417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_Toc32393418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_Toc32393427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_Toc32393428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3239338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393389"/>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6" w:name="_Toc3239339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7" w:name="_Toc32393391"/>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8" w:name="_Toc32393392"/>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32393393"/>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32393394"/>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32393395"/>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32393396"/>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32393397"/>
      <w:r>
        <w:rPr>
          <w:rStyle w:val="CharPartNo"/>
        </w:rPr>
        <w:t>Part 3</w:t>
      </w:r>
      <w:r>
        <w:rPr>
          <w:rStyle w:val="CharDivNo"/>
        </w:rPr>
        <w:t> </w:t>
      </w:r>
      <w:r>
        <w:t>—</w:t>
      </w:r>
      <w:r>
        <w:rPr>
          <w:rStyle w:val="CharDivText"/>
        </w:rPr>
        <w:t> </w:t>
      </w:r>
      <w:r>
        <w:rPr>
          <w:rStyle w:val="CharPartText"/>
        </w:rPr>
        <w:t>Fees</w:t>
      </w:r>
      <w:bookmarkEnd w:id="13"/>
    </w:p>
    <w:p>
      <w:pPr>
        <w:pStyle w:val="Heading5"/>
      </w:pPr>
      <w:bookmarkStart w:id="14" w:name="_Toc32393398"/>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32393399"/>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32393400"/>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32393401"/>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32393402"/>
      <w:r>
        <w:rPr>
          <w:rStyle w:val="CharSectno"/>
        </w:rPr>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32393403"/>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32393404"/>
      <w:r>
        <w:rPr>
          <w:rStyle w:val="CharSectno"/>
        </w:rPr>
        <w:t>9F</w:t>
      </w:r>
      <w:r>
        <w:t>.</w:t>
      </w:r>
      <w:r>
        <w:tab/>
        <w:t>Waiving fee for copy of document or transcript</w:t>
      </w:r>
      <w:bookmarkEnd w:id="2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1" w:name="_Toc32393405"/>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22" w:name="_Toc32393406"/>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23" w:name="_Toc32393407"/>
      <w:r>
        <w:rPr>
          <w:rStyle w:val="CharSectno"/>
        </w:rPr>
        <w:t>11A</w:t>
      </w:r>
      <w:r>
        <w:t>.</w:t>
      </w:r>
      <w:r>
        <w:tab/>
        <w:t>No fee relating to application under provision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24" w:name="_Toc32393408"/>
      <w:r>
        <w:rPr>
          <w:rStyle w:val="CharSectno"/>
        </w:rPr>
        <w:t>11B</w:t>
      </w:r>
      <w:r>
        <w:t>.</w:t>
      </w:r>
      <w:r>
        <w:tab/>
        <w:t>Fees relating to application not covered by r. 9, 10 or 11A</w:t>
      </w:r>
      <w:bookmarkEnd w:id="2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25" w:name="_Toc32393409"/>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32393410"/>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3239341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32393412"/>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32393413"/>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3239341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32393415"/>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32393416"/>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32393417"/>
      <w:r>
        <w:rPr>
          <w:rStyle w:val="CharSectno"/>
        </w:rPr>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32393418"/>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3239341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7" w:name="_Toc32393420"/>
      <w:r>
        <w:rPr>
          <w:rStyle w:val="CharSchNo"/>
        </w:rPr>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38" w:name="_Toc32393421"/>
      <w:r>
        <w:rPr>
          <w:rStyle w:val="CharSchNo"/>
        </w:rPr>
        <w:t>Schedule 3</w:t>
      </w:r>
      <w:r>
        <w:t> — </w:t>
      </w:r>
      <w:r>
        <w:rPr>
          <w:rStyle w:val="CharSchText"/>
        </w:rPr>
        <w:t>Provision under which proceedings commenced</w:t>
      </w:r>
      <w:bookmarkEnd w:id="38"/>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39" w:name="_Toc32393422"/>
      <w:r>
        <w:rPr>
          <w:rStyle w:val="CharSchNo"/>
        </w:rPr>
        <w:t>Schedule 4</w:t>
      </w:r>
      <w:r>
        <w:t> — </w:t>
      </w:r>
      <w:r>
        <w:rPr>
          <w:rStyle w:val="CharSchText"/>
        </w:rPr>
        <w:t>Provision under which proceedings commenced</w:t>
      </w:r>
      <w:bookmarkEnd w:id="39"/>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40" w:name="_Toc32393423"/>
      <w:r>
        <w:rPr>
          <w:rStyle w:val="CharSchNo"/>
        </w:rPr>
        <w:t>Schedule 6</w:t>
      </w:r>
      <w:r>
        <w:t> — </w:t>
      </w:r>
      <w:r>
        <w:rPr>
          <w:rStyle w:val="CharSchText"/>
        </w:rPr>
        <w:t>Provision under which proceedings commenced</w:t>
      </w:r>
      <w:bookmarkEnd w:id="4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w:t>
      </w:r>
    </w:p>
    <w:p>
      <w:pPr>
        <w:pStyle w:val="yScheduleHeading"/>
      </w:pPr>
      <w:bookmarkStart w:id="41" w:name="_Toc32393424"/>
      <w:r>
        <w:rPr>
          <w:rStyle w:val="CharSchNo"/>
        </w:rPr>
        <w:t>Schedule 7</w:t>
      </w:r>
      <w:r>
        <w:t> — </w:t>
      </w:r>
      <w:r>
        <w:rPr>
          <w:rStyle w:val="CharSchText"/>
        </w:rPr>
        <w:t>Enactments under which proceedings commenced</w:t>
      </w:r>
      <w:bookmarkEnd w:id="41"/>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42" w:name="_Toc32393425"/>
      <w:r>
        <w:rPr>
          <w:rStyle w:val="CharSchNo"/>
        </w:rPr>
        <w:t>Schedule 20</w:t>
      </w:r>
      <w:r>
        <w:rPr>
          <w:rStyle w:val="CharSDivNo"/>
        </w:rPr>
        <w:t> </w:t>
      </w:r>
      <w:r>
        <w:t>—</w:t>
      </w:r>
      <w:r>
        <w:rPr>
          <w:rStyle w:val="CharSDivText"/>
        </w:rPr>
        <w:t> </w:t>
      </w:r>
      <w:r>
        <w:rPr>
          <w:rStyle w:val="CharSchText"/>
        </w:rPr>
        <w:t>Other fees</w:t>
      </w:r>
      <w:bookmarkEnd w:id="42"/>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32393426"/>
      <w:r>
        <w:t>Notes</w:t>
      </w:r>
      <w:bookmarkEnd w:id="4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44" w:name="_Toc32393427"/>
      <w:r>
        <w:t>Compilation table</w:t>
      </w:r>
      <w:bookmarkEnd w:id="4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693"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693" w:type="dxa"/>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693" w:type="dxa"/>
            <w:shd w:val="clear" w:color="auto" w:fill="auto"/>
          </w:tcPr>
          <w:p>
            <w:pPr>
              <w:pStyle w:val="nTable"/>
              <w:keepNext/>
              <w:spacing w:after="40"/>
            </w:pPr>
            <w:r>
              <w:t>r. 1 and 2: 27 Sep 2019 (see r. 2(a));</w:t>
            </w:r>
            <w:r>
              <w:br/>
              <w:t>Regulations other than r. 1 and 2: 1 Oct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State Administrative Tribunal Amendment Regulations (No. 3) 2019</w:t>
            </w:r>
          </w:p>
        </w:tc>
        <w:tc>
          <w:tcPr>
            <w:tcW w:w="1276" w:type="dxa"/>
            <w:tcBorders>
              <w:bottom w:val="single" w:sz="4" w:space="0" w:color="auto"/>
            </w:tcBorders>
            <w:shd w:val="clear" w:color="auto" w:fill="auto"/>
          </w:tcPr>
          <w:p>
            <w:pPr>
              <w:pStyle w:val="nTable"/>
              <w:keepNext/>
              <w:spacing w:after="40"/>
            </w:pPr>
            <w:r>
              <w:t>24 Dec 2019 p. 4430</w:t>
            </w:r>
            <w:r>
              <w:noBreakHyphen/>
              <w:t>1</w:t>
            </w:r>
          </w:p>
        </w:tc>
        <w:tc>
          <w:tcPr>
            <w:tcW w:w="2693" w:type="dxa"/>
            <w:tcBorders>
              <w:bottom w:val="single" w:sz="4" w:space="0" w:color="auto"/>
            </w:tcBorders>
            <w:shd w:val="clear" w:color="auto" w:fill="auto"/>
          </w:tcPr>
          <w:p>
            <w:pPr>
              <w:pStyle w:val="nTable"/>
              <w:keepNext/>
              <w:spacing w:after="40"/>
            </w:pPr>
            <w:r>
              <w:t>r. 1 and 2: 24 Dec 2019 (see r. 2(a));</w:t>
            </w:r>
            <w:r>
              <w:br/>
              <w:t>Regulations other than r. 1 and 2: 25 Dec 2019 (see r. 2(b))</w:t>
            </w:r>
          </w:p>
        </w:tc>
      </w:tr>
    </w:tbl>
    <w:p>
      <w:pPr>
        <w:pStyle w:val="nHeading3"/>
      </w:pPr>
      <w:bookmarkStart w:id="45" w:name="_Toc32393428"/>
      <w:r>
        <w:t>Other notes</w:t>
      </w:r>
      <w:bookmarkEnd w:id="45"/>
    </w:p>
    <w:p>
      <w:pPr>
        <w:pStyle w:val="nNote"/>
        <w:spacing w:before="160"/>
        <w:rPr>
          <w:vertAlign w:val="superscript"/>
        </w:rPr>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7" w:name="_Toc32393429"/>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64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2002120946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646_GUID" w:val="093012a6-d9a7-4ff9-b113-16da9b5e8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D913-7EC9-4AEE-93DD-F78A3324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8360</Words>
  <Characters>39882</Characters>
  <Application>Microsoft Office Word</Application>
  <DocSecurity>0</DocSecurity>
  <Lines>1734</Lines>
  <Paragraphs>984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2004 - 05-n0-01</dc:title>
  <dc:subject/>
  <dc:creator/>
  <cp:keywords/>
  <dc:description/>
  <cp:lastModifiedBy>svcMRProcess</cp:lastModifiedBy>
  <cp:revision>4</cp:revision>
  <cp:lastPrinted>2018-09-28T01:40:00Z</cp:lastPrinted>
  <dcterms:created xsi:type="dcterms:W3CDTF">2020-02-12T02:50:00Z</dcterms:created>
  <dcterms:modified xsi:type="dcterms:W3CDTF">2020-02-12T02:50:00Z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20191225</vt:lpwstr>
  </property>
  <property fmtid="{D5CDD505-2E9C-101B-9397-08002B2CF9AE}" pid="8" name="AsAtDate">
    <vt:lpwstr>25 Dec 2019</vt:lpwstr>
  </property>
  <property fmtid="{D5CDD505-2E9C-101B-9397-08002B2CF9AE}" pid="9" name="Suffix">
    <vt:lpwstr>05-n0-01</vt:lpwstr>
  </property>
</Properties>
</file>