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Street Collections (Regulation) Act 1940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Street Collections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_Toc32309419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_Toc32309420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Application for permit</w:t>
      </w:r>
      <w:r>
        <w:tab/>
      </w:r>
      <w:r>
        <w:fldChar w:fldCharType="begin"/>
      </w:r>
      <w:r>
        <w:instrText xml:space="preserve"> PAGEREF _Toc32309421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permit</w:t>
      </w:r>
      <w:r>
        <w:tab/>
      </w:r>
      <w:r>
        <w:fldChar w:fldCharType="begin"/>
      </w:r>
      <w:r>
        <w:instrText xml:space="preserve"> PAGEREF _Toc32309422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Identification badges</w:t>
      </w:r>
      <w:r>
        <w:tab/>
      </w:r>
      <w:r>
        <w:fldChar w:fldCharType="begin"/>
      </w:r>
      <w:r>
        <w:instrText xml:space="preserve"> PAGEREF _Toc32309423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Minimum age for collectors</w:t>
      </w:r>
      <w:r>
        <w:tab/>
      </w:r>
      <w:r>
        <w:fldChar w:fldCharType="begin"/>
      </w:r>
      <w:r>
        <w:instrText xml:space="preserve"> PAGEREF _Toc32309424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Collection boxes</w:t>
      </w:r>
      <w:r>
        <w:tab/>
      </w:r>
      <w:r>
        <w:fldChar w:fldCharType="begin"/>
      </w:r>
      <w:r>
        <w:instrText xml:space="preserve"> PAGEREF _Toc32309425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Making a collection</w:t>
      </w:r>
      <w:r>
        <w:tab/>
      </w:r>
      <w:r>
        <w:fldChar w:fldCharType="begin"/>
      </w:r>
      <w:r>
        <w:instrText xml:space="preserve"> PAGEREF _Toc32309426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Obstruction</w:t>
      </w:r>
      <w:r>
        <w:tab/>
      </w:r>
      <w:r>
        <w:fldChar w:fldCharType="begin"/>
      </w:r>
      <w:r>
        <w:instrText xml:space="preserve"> PAGEREF _Toc32309427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Collection returns</w:t>
      </w:r>
      <w:r>
        <w:tab/>
      </w:r>
      <w:r>
        <w:fldChar w:fldCharType="begin"/>
      </w:r>
      <w:r>
        <w:instrText xml:space="preserve"> PAGEREF _Toc32309428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Collectors, promoters etc. not to be paid</w:t>
      </w:r>
      <w:r>
        <w:tab/>
      </w:r>
      <w:r>
        <w:fldChar w:fldCharType="begin"/>
      </w:r>
      <w:r>
        <w:instrText xml:space="preserve"> PAGEREF _Toc32309429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Investigation by Commissioner</w:t>
      </w:r>
      <w:r>
        <w:rPr>
          <w:vertAlign w:val="superscript"/>
        </w:rPr>
        <w:t> </w:t>
      </w:r>
      <w:r>
        <w:tab/>
      </w:r>
      <w:r>
        <w:fldChar w:fldCharType="begin"/>
      </w:r>
      <w:r>
        <w:instrText xml:space="preserve"> PAGEREF _Toc32309430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Offence</w:t>
      </w:r>
      <w:r>
        <w:tab/>
      </w:r>
      <w:r>
        <w:fldChar w:fldCharType="begin"/>
      </w:r>
      <w:r>
        <w:instrText xml:space="preserve"> PAGEREF _Toc32309431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Infringement notices</w:t>
      </w:r>
      <w:r>
        <w:tab/>
      </w:r>
      <w:r>
        <w:fldChar w:fldCharType="begin"/>
      </w:r>
      <w:r>
        <w:instrText xml:space="preserve"> PAGEREF _Toc32309432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Forms</w:t>
      </w:r>
      <w:r>
        <w:tab/>
      </w:r>
      <w:r>
        <w:fldChar w:fldCharType="begin"/>
      </w:r>
      <w:r>
        <w:instrText xml:space="preserve"> PAGEREF _Toc32309433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Form of permit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1 — Infringement notice</w:t>
      </w:r>
      <w:r>
        <w:tab/>
      </w:r>
      <w:r>
        <w:fldChar w:fldCharType="begin"/>
      </w:r>
      <w:r>
        <w:instrText xml:space="preserve"> PAGEREF _Toc32309436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_Toc32309437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_Toc32309439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_Toc32309440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Street Collections (Regulation) Act 1940</w:t>
      </w:r>
    </w:p>
    <w:p>
      <w:pPr>
        <w:pStyle w:val="NameofActReg"/>
      </w:pPr>
      <w:r>
        <w:t>Street Collections Regulations 1999</w:t>
      </w:r>
    </w:p>
    <w:p>
      <w:pPr>
        <w:pStyle w:val="Heading5"/>
      </w:pPr>
      <w:bookmarkStart w:id="3" w:name="_Toc3230941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>
      <w:pPr>
        <w:pStyle w:val="Heading5"/>
      </w:pPr>
      <w:bookmarkStart w:id="5" w:name="_Toc32309420"/>
      <w:r>
        <w:rPr>
          <w:rStyle w:val="CharSectno"/>
        </w:rPr>
        <w:t>2</w:t>
      </w:r>
      <w:r>
        <w:t>.</w:t>
      </w:r>
      <w:r>
        <w:tab/>
        <w:t>Terms used in these regulations</w:t>
      </w:r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authorise</w:t>
      </w:r>
      <w:r>
        <w:t xml:space="preserve"> means authorise in writing;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meaning given in the </w:t>
      </w:r>
      <w:r>
        <w:rPr>
          <w:i/>
        </w:rPr>
        <w:t>Fair Trading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permit</w:t>
      </w:r>
      <w:r>
        <w:t xml:space="preserve"> means a permit under section 4 of the Act;</w:t>
      </w:r>
    </w:p>
    <w:p>
      <w:pPr>
        <w:pStyle w:val="Defstart"/>
      </w:pPr>
      <w:r>
        <w:tab/>
      </w:r>
      <w:r>
        <w:rPr>
          <w:rStyle w:val="CharDefText"/>
        </w:rPr>
        <w:t>permit holder</w:t>
      </w:r>
      <w:r>
        <w:t xml:space="preserve"> means a person to whom a permit has been granted.</w:t>
      </w:r>
    </w:p>
    <w:p>
      <w:pPr>
        <w:pStyle w:val="Footnotesection"/>
      </w:pPr>
      <w:r>
        <w:tab/>
        <w:t>[Regulation 2 amended: Gazette 22 Sep 2006 p. 4134; 2 Oct 2018 p. 3796.]</w:t>
      </w:r>
    </w:p>
    <w:p>
      <w:pPr>
        <w:pStyle w:val="Heading5"/>
      </w:pPr>
      <w:bookmarkStart w:id="6" w:name="_Toc32309421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6"/>
    </w:p>
    <w:p>
      <w:pPr>
        <w:pStyle w:val="Subsection"/>
      </w:pPr>
      <w:r>
        <w:tab/>
      </w:r>
      <w:r>
        <w:tab/>
        <w:t>An application for a permit is to be in a form approved by the Minister.</w:t>
      </w:r>
    </w:p>
    <w:p>
      <w:pPr>
        <w:pStyle w:val="Heading5"/>
      </w:pPr>
      <w:bookmarkStart w:id="7" w:name="_Toc32309422"/>
      <w:r>
        <w:rPr>
          <w:rStyle w:val="CharSectno"/>
        </w:rPr>
        <w:t>4</w:t>
      </w:r>
      <w:r>
        <w:t>.</w:t>
      </w:r>
      <w:r>
        <w:tab/>
        <w:t>Form of permit</w:t>
      </w:r>
      <w:bookmarkEnd w:id="7"/>
    </w:p>
    <w:p>
      <w:pPr>
        <w:pStyle w:val="Subsection"/>
      </w:pPr>
      <w:r>
        <w:tab/>
      </w:r>
      <w:r>
        <w:tab/>
        <w:t>A permit is to be in the form set out in Schedule 1.</w:t>
      </w:r>
    </w:p>
    <w:p>
      <w:pPr>
        <w:pStyle w:val="Heading5"/>
      </w:pPr>
      <w:bookmarkStart w:id="8" w:name="_Toc32309423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8"/>
    </w:p>
    <w:p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>
      <w:pPr>
        <w:pStyle w:val="Subsection"/>
      </w:pPr>
      <w:r>
        <w:tab/>
        <w:t>(2)</w:t>
      </w:r>
      <w:r>
        <w:tab/>
        <w:t>A collector must allow a person authorised by the Minister to inspect the collector’s identification badge on request.</w:t>
      </w:r>
    </w:p>
    <w:p>
      <w:pPr>
        <w:pStyle w:val="Heading5"/>
      </w:pPr>
      <w:bookmarkStart w:id="9" w:name="_Toc32309424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9"/>
    </w:p>
    <w:p>
      <w:pPr>
        <w:pStyle w:val="Subsection"/>
      </w:pPr>
      <w:r>
        <w:tab/>
      </w:r>
      <w:r>
        <w:tab/>
        <w:t>A permit holder must not allow a person who is under 16 to be a collector unless authorised by the Minister to do so.</w:t>
      </w:r>
    </w:p>
    <w:p>
      <w:pPr>
        <w:pStyle w:val="Heading5"/>
      </w:pPr>
      <w:bookmarkStart w:id="10" w:name="_Toc32309425"/>
      <w:r>
        <w:rPr>
          <w:rStyle w:val="CharSectno"/>
        </w:rPr>
        <w:t>7</w:t>
      </w:r>
      <w:r>
        <w:t>.</w:t>
      </w:r>
      <w:r>
        <w:tab/>
        <w:t>Collection boxes</w:t>
      </w:r>
      <w:bookmarkEnd w:id="10"/>
    </w:p>
    <w:p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>
      <w:pPr>
        <w:pStyle w:val="Subsection"/>
        <w:keepNext/>
      </w:pPr>
      <w:r>
        <w:tab/>
        <w:t>(2)</w:t>
      </w:r>
      <w:r>
        <w:tab/>
        <w:t>A collection box —</w:t>
      </w:r>
    </w:p>
    <w:p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>
      <w:pPr>
        <w:pStyle w:val="Indenta"/>
      </w:pPr>
      <w:r>
        <w:tab/>
        <w:t>(d)</w:t>
      </w:r>
      <w:r>
        <w:tab/>
        <w:t>must have prominently displayed on it —</w:t>
      </w:r>
    </w:p>
    <w:p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>
      <w:pPr>
        <w:pStyle w:val="Indenti"/>
      </w:pPr>
      <w:r>
        <w:tab/>
        <w:t>(ii)</w:t>
      </w:r>
      <w:r>
        <w:tab/>
        <w:t>the date of the collection.</w:t>
      </w:r>
    </w:p>
    <w:p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>
      <w:pPr>
        <w:pStyle w:val="Heading5"/>
      </w:pPr>
      <w:bookmarkStart w:id="11" w:name="_Toc32309426"/>
      <w:r>
        <w:rPr>
          <w:rStyle w:val="CharSectno"/>
        </w:rPr>
        <w:t>8</w:t>
      </w:r>
      <w:r>
        <w:t>.</w:t>
      </w:r>
      <w:r>
        <w:tab/>
        <w:t>Making a collection</w:t>
      </w:r>
      <w:bookmarkEnd w:id="11"/>
    </w:p>
    <w:p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authorised by the permit holder to receive collection boxes.</w:t>
      </w:r>
    </w:p>
    <w:p>
      <w:pPr>
        <w:pStyle w:val="Heading5"/>
      </w:pPr>
      <w:bookmarkStart w:id="12" w:name="_Toc32309427"/>
      <w:r>
        <w:rPr>
          <w:rStyle w:val="CharSectno"/>
        </w:rPr>
        <w:t>9</w:t>
      </w:r>
      <w:r>
        <w:t>.</w:t>
      </w:r>
      <w:r>
        <w:tab/>
        <w:t>Obstruction</w:t>
      </w:r>
      <w:bookmarkEnd w:id="12"/>
      <w:r>
        <w:t xml:space="preserve"> </w:t>
      </w:r>
    </w:p>
    <w:p>
      <w:pPr>
        <w:pStyle w:val="Subsection"/>
      </w:pPr>
      <w:r>
        <w:tab/>
      </w:r>
      <w:r>
        <w:tab/>
        <w:t>While taking part in a collection a collector must not obstruct a public street (as defined in section 3 of the Act) or annoy any person using a public street.</w:t>
      </w:r>
    </w:p>
    <w:p>
      <w:pPr>
        <w:pStyle w:val="Heading5"/>
      </w:pPr>
      <w:bookmarkStart w:id="13" w:name="_Toc32309428"/>
      <w:r>
        <w:rPr>
          <w:rStyle w:val="CharSectno"/>
        </w:rPr>
        <w:t>10</w:t>
      </w:r>
      <w:r>
        <w:t>.</w:t>
      </w:r>
      <w:r>
        <w:tab/>
        <w:t>Collection returns</w:t>
      </w:r>
      <w:bookmarkEnd w:id="13"/>
      <w:r>
        <w:t xml:space="preserve"> </w:t>
      </w:r>
    </w:p>
    <w:p>
      <w:pPr>
        <w:pStyle w:val="Subsection"/>
        <w:keepNext/>
      </w:pPr>
      <w:r>
        <w:tab/>
      </w:r>
      <w:r>
        <w:tab/>
        <w:t>Within 30 days after the date of a collection a permit holder must give to the Minister a written statement, signed by the permit holder, setting out —</w:t>
      </w:r>
    </w:p>
    <w:p>
      <w:pPr>
        <w:pStyle w:val="Indenta"/>
      </w:pPr>
      <w:r>
        <w:tab/>
        <w:t>(a)</w:t>
      </w:r>
      <w:r>
        <w:tab/>
        <w:t xml:space="preserve">the amount collected; </w:t>
      </w:r>
    </w:p>
    <w:p>
      <w:pPr>
        <w:pStyle w:val="Indenta"/>
      </w:pPr>
      <w:r>
        <w:tab/>
        <w:t>(b)</w:t>
      </w:r>
      <w:r>
        <w:tab/>
        <w:t>the expenses incurred in carrying out the collection; and</w:t>
      </w:r>
    </w:p>
    <w:p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>
      <w:pPr>
        <w:pStyle w:val="Heading5"/>
      </w:pPr>
      <w:bookmarkStart w:id="14" w:name="_Toc32309429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14"/>
    </w:p>
    <w:p>
      <w:pPr>
        <w:pStyle w:val="Subsection"/>
      </w:pPr>
      <w:r>
        <w:tab/>
        <w:t>(1)</w:t>
      </w:r>
      <w:r>
        <w:tab/>
        <w:t>A person must not pay —</w:t>
      </w:r>
    </w:p>
    <w:p>
      <w:pPr>
        <w:pStyle w:val="Indenta"/>
      </w:pPr>
      <w:r>
        <w:tab/>
        <w:t>(a)</w:t>
      </w:r>
      <w:r>
        <w:tab/>
        <w:t>a person for being a collector; or</w:t>
      </w:r>
    </w:p>
    <w:p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>
      <w:pPr>
        <w:pStyle w:val="Subsection"/>
      </w:pPr>
      <w:r>
        <w:tab/>
      </w:r>
      <w:r>
        <w:tab/>
        <w:t>unless the permit authorises that payment.</w:t>
      </w:r>
    </w:p>
    <w:p>
      <w:pPr>
        <w:pStyle w:val="Subsection"/>
      </w:pPr>
      <w:r>
        <w:tab/>
        <w:t>(2)</w:t>
      </w:r>
      <w:r>
        <w:tab/>
        <w:t>In subregulation (1) —</w:t>
      </w:r>
    </w:p>
    <w:p>
      <w:pPr>
        <w:pStyle w:val="Defstart"/>
      </w:pPr>
      <w:r>
        <w:tab/>
      </w:r>
      <w:r>
        <w:rPr>
          <w:rStyle w:val="CharDefText"/>
        </w:rPr>
        <w:t>pay</w:t>
      </w:r>
      <w:r>
        <w:t xml:space="preserve"> includes give, whether directly or indirectly, any benefit or reward. </w:t>
      </w:r>
    </w:p>
    <w:p>
      <w:pPr>
        <w:pStyle w:val="Heading5"/>
      </w:pPr>
      <w:bookmarkStart w:id="15" w:name="_Toc32309430"/>
      <w:r>
        <w:rPr>
          <w:rStyle w:val="CharSectno"/>
        </w:rPr>
        <w:t>12</w:t>
      </w:r>
      <w:r>
        <w:t>.</w:t>
      </w:r>
      <w:r>
        <w:tab/>
        <w:t>Investigation by Commissioner</w:t>
      </w:r>
      <w:r>
        <w:rPr>
          <w:vertAlign w:val="superscript"/>
        </w:rPr>
        <w:t> 1</w:t>
      </w:r>
      <w:bookmarkEnd w:id="15"/>
    </w:p>
    <w:p>
      <w:pPr>
        <w:pStyle w:val="Subsection"/>
      </w:pPr>
      <w:r>
        <w:tab/>
        <w:t>(1)</w:t>
      </w:r>
      <w:r>
        <w:tab/>
        <w:t>The Minister may request the Commissioner</w:t>
      </w:r>
      <w:r>
        <w:rPr>
          <w:vertAlign w:val="superscript"/>
        </w:rPr>
        <w:t> 1</w:t>
      </w:r>
      <w:r>
        <w:t xml:space="preserve"> under the </w:t>
      </w:r>
      <w:r>
        <w:rPr>
          <w:i/>
        </w:rPr>
        <w:t xml:space="preserve">Fair Trading Act 2010 </w:t>
      </w:r>
      <w:r>
        <w:t>to investigate a collection.</w:t>
      </w:r>
    </w:p>
    <w:p>
      <w:pPr>
        <w:pStyle w:val="Subsection"/>
      </w:pPr>
      <w:r>
        <w:tab/>
        <w:t>(2)</w:t>
      </w:r>
      <w:r>
        <w:tab/>
        <w:t>On receipt of a request the Commissioner</w:t>
      </w:r>
      <w:r>
        <w:rPr>
          <w:vertAlign w:val="superscript"/>
        </w:rPr>
        <w:t> 1</w:t>
      </w:r>
      <w:r>
        <w:t xml:space="preserve"> is to —</w:t>
      </w:r>
    </w:p>
    <w:p>
      <w:pPr>
        <w:pStyle w:val="Indenta"/>
      </w:pPr>
      <w:r>
        <w:tab/>
        <w:t>(a)</w:t>
      </w:r>
      <w:r>
        <w:tab/>
        <w:t>make all investigations the Commissioner</w:t>
      </w:r>
      <w:r>
        <w:rPr>
          <w:vertAlign w:val="superscript"/>
        </w:rPr>
        <w:t> 1</w:t>
      </w:r>
      <w:r>
        <w:t xml:space="preserve"> considers appropriate; and</w:t>
      </w:r>
    </w:p>
    <w:p>
      <w:pPr>
        <w:pStyle w:val="Indenta"/>
      </w:pPr>
      <w:r>
        <w:tab/>
        <w:t>(b)</w:t>
      </w:r>
      <w:r>
        <w:tab/>
        <w:t>report the result of the investigations to the Minister.</w:t>
      </w:r>
    </w:p>
    <w:p>
      <w:pPr>
        <w:pStyle w:val="Subsection"/>
      </w:pPr>
      <w:r>
        <w:tab/>
        <w:t>(3)</w:t>
      </w:r>
      <w:r>
        <w:tab/>
        <w:t>For the purpose of subregulation (2) the Commissioner</w:t>
      </w:r>
      <w:r>
        <w:rPr>
          <w:vertAlign w:val="superscript"/>
        </w:rPr>
        <w:t> 1</w:t>
      </w:r>
      <w:r>
        <w:t xml:space="preserve"> may direct a person to produce any documents specified in the direction and the person must comply with that direction. </w:t>
      </w:r>
    </w:p>
    <w:p>
      <w:pPr>
        <w:pStyle w:val="Footnotesection"/>
      </w:pPr>
      <w:r>
        <w:tab/>
        <w:t>[Regulation 12 amended: Gazette 12 Jan 2007 p. 49; 2 Oct 2018 p. 3796.]</w:t>
      </w:r>
    </w:p>
    <w:p>
      <w:pPr>
        <w:pStyle w:val="Heading5"/>
      </w:pPr>
      <w:bookmarkStart w:id="16" w:name="_Toc32309431"/>
      <w:r>
        <w:rPr>
          <w:rStyle w:val="CharSectno"/>
        </w:rPr>
        <w:t>13</w:t>
      </w:r>
      <w:r>
        <w:t>.</w:t>
      </w:r>
      <w:r>
        <w:tab/>
        <w:t>Offence</w:t>
      </w:r>
      <w:bookmarkEnd w:id="16"/>
    </w:p>
    <w:p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>
      <w:pPr>
        <w:pStyle w:val="Penstart"/>
      </w:pPr>
      <w:r>
        <w:tab/>
        <w:t>Penalty: $40.</w:t>
      </w:r>
    </w:p>
    <w:p>
      <w:pPr>
        <w:pStyle w:val="Heading5"/>
      </w:pPr>
      <w:bookmarkStart w:id="17" w:name="_Toc32309432"/>
      <w:r>
        <w:rPr>
          <w:rStyle w:val="CharSectno"/>
        </w:rPr>
        <w:t>14</w:t>
      </w:r>
      <w:r>
        <w:t>.</w:t>
      </w:r>
      <w:r>
        <w:tab/>
        <w:t>Infringement notices</w:t>
      </w:r>
      <w:bookmarkEnd w:id="17"/>
    </w:p>
    <w:p>
      <w:pPr>
        <w:pStyle w:val="Subsection"/>
      </w:pPr>
      <w:r>
        <w:tab/>
        <w:t>(1)</w:t>
      </w:r>
      <w:r>
        <w:tab/>
        <w:t xml:space="preserve">An offence under section 3(1) of the Act is an offence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For the purposes of section 5(3)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rPr>
          <w:iCs/>
        </w:rPr>
        <w:t>, $400 is the modified penalty for an offence under section 3(1) of the Act.</w:t>
      </w:r>
    </w:p>
    <w:p>
      <w:pPr>
        <w:pStyle w:val="Subsection"/>
      </w:pPr>
      <w:r>
        <w:tab/>
        <w:t>(3)</w:t>
      </w:r>
      <w:r>
        <w:tab/>
        <w:t>The Commissioner</w:t>
      </w:r>
      <w:r>
        <w:rPr>
          <w:vertAlign w:val="superscript"/>
        </w:rPr>
        <w:t> 1</w:t>
      </w:r>
      <w:r>
        <w:t xml:space="preserve">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</w:t>
      </w:r>
      <w:r>
        <w:rPr>
          <w:vertAlign w:val="superscript"/>
        </w:rPr>
        <w:t> 1</w:t>
      </w:r>
      <w:r>
        <w:t xml:space="preserve">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14 inserted: Gazette 22 Sep 2006 p. 4134; amended: Gazette 24 Dec 2019 p. 4420.]</w:t>
      </w:r>
    </w:p>
    <w:p>
      <w:pPr>
        <w:pStyle w:val="Heading5"/>
      </w:pPr>
      <w:bookmarkStart w:id="18" w:name="_Toc32309433"/>
      <w:r>
        <w:rPr>
          <w:rStyle w:val="CharSectno"/>
        </w:rPr>
        <w:t>15</w:t>
      </w:r>
      <w:r>
        <w:t>.</w:t>
      </w:r>
      <w:r>
        <w:tab/>
        <w:t>Forms</w:t>
      </w:r>
      <w:bookmarkEnd w:id="18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</w:pPr>
      <w:r>
        <w:tab/>
        <w:t>[Regulation 15 inserted: Gazette 22 Sep 2006 p. 4134.]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9" w:name="_Toc32308911"/>
      <w:bookmarkStart w:id="20" w:name="_Toc32308934"/>
      <w:bookmarkStart w:id="21" w:name="_Toc32309434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Form of permit</w:t>
      </w:r>
      <w:bookmarkEnd w:id="19"/>
      <w:bookmarkEnd w:id="20"/>
      <w:bookmarkEnd w:id="21"/>
    </w:p>
    <w:p>
      <w:pPr>
        <w:pStyle w:val="yShoulderClause"/>
      </w:pPr>
      <w:r>
        <w:t>[r. 4]</w:t>
      </w:r>
    </w:p>
    <w:p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Collections (Regulation) Act 1940</w:t>
      </w:r>
    </w:p>
    <w:p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 1940 </w:t>
            </w:r>
            <w:r>
              <w:t xml:space="preserve">to conduct a street collection in the </w:t>
            </w:r>
            <w:r>
              <w:rPr>
                <w:szCs w:val="22"/>
              </w:rPr>
              <w:t>metropolitan region.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 xml:space="preserve">The street collection may be carried out — </w:t>
            </w: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  <w:r>
              <w:t>on</w:t>
            </w:r>
            <w:r>
              <w:rPr>
                <w:sz w:val="18"/>
              </w:rPr>
              <w:t xml:space="preserve">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</w:tr>
      <w:tr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right"/>
            </w:pPr>
            <w:r>
              <w:t>a.m. /p.m.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  <w:r>
              <w:t>Signature of Minister</w:t>
            </w:r>
          </w:p>
        </w:tc>
      </w:tr>
      <w:tr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  <w:p>
            <w:pPr>
              <w:pStyle w:val="yTable"/>
            </w:pPr>
          </w:p>
          <w:p>
            <w:pPr>
              <w:pStyle w:val="yTable"/>
            </w:pPr>
          </w:p>
        </w:tc>
      </w:tr>
      <w:tr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yTable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</w:pPr>
          </w:p>
        </w:tc>
      </w:tr>
    </w:tbl>
    <w:p>
      <w:pPr>
        <w:pStyle w:val="yFootnotesection"/>
      </w:pPr>
      <w:r>
        <w:tab/>
        <w:t>[Schedule 1 amended: Gazette 24 Dec 2019 p. 4420.]</w:t>
      </w:r>
    </w:p>
    <w:p>
      <w:pPr>
        <w:pStyle w:val="yEdnoteschedule"/>
      </w:pPr>
      <w:r>
        <w:t>[Schedule 2 deleted: Gazette 24 Dec 2019 p. 4420.]</w:t>
      </w:r>
    </w:p>
    <w:p>
      <w:pPr>
        <w:pStyle w:val="yHeading2"/>
      </w:pPr>
      <w:bookmarkStart w:id="22" w:name="_Toc32308912"/>
      <w:bookmarkStart w:id="23" w:name="_Toc32308935"/>
      <w:bookmarkStart w:id="24" w:name="_Toc32309435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2"/>
      <w:bookmarkEnd w:id="23"/>
      <w:bookmarkEnd w:id="24"/>
    </w:p>
    <w:p>
      <w:pPr>
        <w:pStyle w:val="yShoulderClause"/>
        <w:keepNext/>
      </w:pPr>
      <w:r>
        <w:t>[r. 15]</w:t>
      </w:r>
    </w:p>
    <w:p>
      <w:pPr>
        <w:pStyle w:val="yFootnoteheading"/>
        <w:keepNext/>
        <w:keepLines/>
      </w:pPr>
      <w:r>
        <w:tab/>
        <w:t>[Heading inserted: Gazette 22 Sep 2006 p. 4135.]</w:t>
      </w:r>
    </w:p>
    <w:p>
      <w:pPr>
        <w:pStyle w:val="yHeading5"/>
      </w:pPr>
      <w:bookmarkStart w:id="25" w:name="_Toc32309436"/>
      <w:r>
        <w:t>Form 1 — Infringement notice</w:t>
      </w:r>
      <w:bookmarkEnd w:id="25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Cs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1876"/>
                <w:tab w:val="left" w:pos="2585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keepNext/>
              <w:keepLines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keepNext/>
              <w:keepLines/>
              <w:tabs>
                <w:tab w:val="left" w:pos="884"/>
              </w:tabs>
              <w:spacing w:before="40"/>
              <w:ind w:left="460" w:hanging="284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NAm"/>
              <w:keepNext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Locked Bag 14 Cloisters Square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Perth  WA  6850</w:t>
            </w:r>
          </w:p>
          <w:p>
            <w:pPr>
              <w:pStyle w:val="yTableNAm"/>
              <w:tabs>
                <w:tab w:val="clear" w:pos="567"/>
                <w:tab w:val="left" w:pos="274"/>
              </w:tabs>
              <w:spacing w:before="0"/>
              <w:ind w:left="514" w:hanging="634"/>
              <w:rPr>
                <w:sz w:val="20"/>
              </w:rPr>
            </w:pPr>
            <w:r>
              <w:rPr>
                <w:b/>
                <w:sz w:val="20"/>
              </w:rPr>
              <w:tab/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Department of Mines, Industry Regulation and Safety</w:t>
            </w:r>
          </w:p>
          <w:p>
            <w:pPr>
              <w:pStyle w:val="yTableNAm"/>
              <w:tabs>
                <w:tab w:val="clear" w:pos="567"/>
                <w:tab w:val="left" w:pos="754"/>
              </w:tabs>
              <w:spacing w:before="0"/>
              <w:rPr>
                <w:i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[street address to be inserted]</w:t>
            </w:r>
          </w:p>
          <w:p>
            <w:pPr>
              <w:pStyle w:val="yTable"/>
              <w:keepNext/>
              <w:keepLines/>
              <w:spacing w:before="40"/>
              <w:ind w:left="601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b/>
                <w:bCs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4135; amended: Gazette 20 Aug 2013 p. 3842; 2 Oct 2018 p  3796.]</w:t>
      </w:r>
    </w:p>
    <w:p>
      <w:pPr>
        <w:pStyle w:val="yHeading5"/>
        <w:spacing w:after="40"/>
      </w:pPr>
      <w:bookmarkStart w:id="26" w:name="_Toc32309437"/>
      <w:r>
        <w:t>Form 2 — Withdrawal of infringement notice</w:t>
      </w:r>
      <w:bookmarkEnd w:id="26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 xml:space="preserve">Street Collections (Regulation) Act 1940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bCs/>
                <w:i/>
                <w:iCs/>
                <w:sz w:val="20"/>
              </w:rPr>
              <w:t>Street Collections (Regulation) Act 1940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Mines, Industry Regulation and Safety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keepNext/>
              <w:keepLines/>
              <w:tabs>
                <w:tab w:val="left" w:pos="4054"/>
                <w:tab w:val="left" w:pos="4621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4135</w:t>
      </w:r>
      <w:r>
        <w:noBreakHyphen/>
        <w:t>6; amended: Gazette 2 Oct 2018 p. 3796.]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8" w:name="_Toc32308915"/>
      <w:bookmarkStart w:id="29" w:name="_Toc32308938"/>
      <w:bookmarkStart w:id="30" w:name="_Toc32309438"/>
      <w:r>
        <w:t>Notes</w:t>
      </w:r>
      <w:bookmarkEnd w:id="28"/>
      <w:bookmarkEnd w:id="29"/>
      <w:bookmarkEnd w:id="3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Street Collections Regulations 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31" w:name="_Toc32309439"/>
      <w:r>
        <w:t>Compilation table</w:t>
      </w:r>
      <w:bookmarkEnd w:id="3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 p. 5991</w:t>
            </w:r>
            <w: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Dec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4133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Street Collections Amendment Regulations 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Jan 2007 p. 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 Jan 2007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 The </w:t>
            </w:r>
            <w:r>
              <w:rPr>
                <w:b/>
                <w:bCs/>
                <w:i/>
              </w:rPr>
              <w:t xml:space="preserve">Street Collections Regulations 1999 </w:t>
            </w:r>
            <w:r>
              <w:rPr>
                <w:b/>
                <w:bCs/>
              </w:rPr>
              <w:t>as at 2 Feb 2007</w:t>
            </w:r>
            <w:r>
              <w:t xml:space="preserve"> (includes amendments listed above) 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Street Collections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Aug 2013 p. 3842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Oct 2018 p. 3794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3 Oct 2018 (see r. 2(b))</w:t>
            </w:r>
          </w:p>
        </w:tc>
      </w:tr>
      <w:t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Consumer Protection Regulations Amendment Regulations 2019 </w:t>
            </w:r>
            <w:r>
              <w:t>Pt. 7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 Dec 2019 p. 4416</w:t>
            </w:r>
            <w:r>
              <w:noBreakHyphen/>
              <w:t>20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1 Jan 2020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24 Dec 2019 p. 4415)</w:t>
            </w:r>
          </w:p>
        </w:tc>
      </w:tr>
    </w:tbl>
    <w:p>
      <w:pPr>
        <w:pStyle w:val="nHeading3"/>
      </w:pPr>
      <w:bookmarkStart w:id="32" w:name="_Toc32309440"/>
      <w:r>
        <w:t>Other notes</w:t>
      </w:r>
      <w:bookmarkEnd w:id="32"/>
    </w:p>
    <w:p>
      <w:pPr>
        <w:pStyle w:val="nNote"/>
        <w:spacing w:before="160"/>
      </w:pPr>
      <w:r>
        <w:rPr>
          <w:vertAlign w:val="superscript"/>
        </w:rPr>
        <w:t>1</w:t>
      </w:r>
      <w:r>
        <w:tab/>
        <w:t xml:space="preserve">As at the time of this compilation the person designated as the Commissioner for the purposes of the Act is known as the Commissioner for Consumer Protection (see </w:t>
      </w:r>
      <w:r>
        <w:rPr>
          <w:i/>
          <w:iCs/>
        </w:rPr>
        <w:t>Gazette</w:t>
      </w:r>
      <w:r>
        <w:t xml:space="preserve"> 18 August 2006 p. 3372).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4" w:name="_Toc32308918"/>
      <w:bookmarkStart w:id="35" w:name="_Toc32308941"/>
      <w:bookmarkStart w:id="36" w:name="_Toc32309441"/>
      <w:r>
        <w:rPr>
          <w:sz w:val="28"/>
        </w:rPr>
        <w:t>Defined terms</w:t>
      </w:r>
      <w:bookmarkEnd w:id="34"/>
      <w:bookmarkEnd w:id="35"/>
      <w:bookmarkEnd w:id="3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</w:t>
      </w:r>
      <w:r>
        <w:tab/>
        <w:t>2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permit</w:t>
      </w:r>
      <w:r>
        <w:tab/>
        <w:t>2</w:t>
      </w:r>
    </w:p>
    <w:p>
      <w:pPr>
        <w:pStyle w:val="DefinedTerms"/>
      </w:pPr>
      <w:r>
        <w:t>permit holder</w:t>
      </w:r>
      <w:r>
        <w:tab/>
        <w:t>2</w:t>
      </w:r>
    </w:p>
    <w:p>
      <w:pPr>
        <w:pStyle w:val="DefinedTerms"/>
      </w:pPr>
      <w:r>
        <w:t>pay</w:t>
      </w:r>
      <w:r>
        <w:tab/>
        <w:t>11(2)</w:t>
      </w:r>
    </w:p>
    <w:p>
      <w:pPr>
        <w:pStyle w:val="DefinedTerms"/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Schedule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7" w:name="DefinedTerms"/>
    <w:bookmarkEnd w:id="37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6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Street Collections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211101934"/>
    <w:docVar w:name="WAFER_20140203143617" w:val="RemoveTocBookmarks,RemoveUnusedBookmarks,RemoveLanguageTags,UsedStyles,ResetPageSize,UpdateArrangement"/>
    <w:docVar w:name="WAFER_20140203143617_GUID" w:val="60a21274-f57f-452c-8a33-ddbb180bd4cb"/>
    <w:docVar w:name="WAFER_20140203144917" w:val="RemoveTocBookmarks,RunningHeaders"/>
    <w:docVar w:name="WAFER_20140203144917_GUID" w:val="5ac9f288-b9fd-453e-8525-f7a65019cb8d"/>
    <w:docVar w:name="WAFER_20150720161227" w:val="ResetPageSize,UpdateArrangement,UpdateNTable"/>
    <w:docVar w:name="WAFER_20150720161227_GUID" w:val="6504765a-88b9-474e-bdf5-70140b1b84d6"/>
    <w:docVar w:name="WAFER_20151111104943" w:val="UpdateStyles,UsedStyles"/>
    <w:docVar w:name="WAFER_20151111104943_GUID" w:val="a88f86d5-fd1e-49a0-92d4-e448b9443b8b"/>
    <w:docVar w:name="WAFER_20181001135851" w:val="RemoveTocBookmarks,RemoveUnusedBookmarks,RemoveLanguageTags,UsedStyles,ResetPageSize"/>
    <w:docVar w:name="WAFER_20181001135851_GUID" w:val="3a3cc203-760c-4f09-9857-e7b21d56ed4a"/>
    <w:docVar w:name="WAFER_20191220140118" w:val="RemoveTocBookmarks,RemoveUnusedBookmarks,RemoveLanguageTags,ResetPageSize,RunningHeaders,UpdateStyles,UsedStyles"/>
    <w:docVar w:name="WAFER_20191220140118_GUID" w:val="606d3c2f-3cdf-406f-b422-e23fb3881aab"/>
    <w:docVar w:name="WAFER_20200211101934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1101934_GUID" w:val="dd206aa3-c91b-49f2-a8c1-3402437237a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yTableNAm">
    <w:name w:val="yTableNAm"/>
    <w:basedOn w:val="TableNAm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2048</Words>
  <Characters>10283</Characters>
  <Application>Microsoft Office Word</Application>
  <DocSecurity>0</DocSecurity>
  <Lines>428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12038</CharactersWithSpaces>
  <SharedDoc>false</SharedDoc>
  <HLinks>
    <vt:vector size="12" baseType="variant">
      <vt:variant>
        <vt:i4>65542</vt:i4>
      </vt:variant>
      <vt:variant>
        <vt:i4>2770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1032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1999 - 01-d0-02</dc:title>
  <dc:subject/>
  <dc:creator/>
  <cp:keywords/>
  <dc:description/>
  <cp:lastModifiedBy>svcMRProcess</cp:lastModifiedBy>
  <cp:revision>4</cp:revision>
  <cp:lastPrinted>2018-10-02T08:30:00Z</cp:lastPrinted>
  <dcterms:created xsi:type="dcterms:W3CDTF">2020-08-19T02:01:00Z</dcterms:created>
  <dcterms:modified xsi:type="dcterms:W3CDTF">2020-08-19T02:01:00Z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DocumentType">
    <vt:lpwstr>Reg</vt:lpwstr>
  </property>
  <property fmtid="{D5CDD505-2E9C-101B-9397-08002B2CF9AE}" pid="4" name="OwlsUID">
    <vt:i4>1399</vt:i4>
  </property>
  <property fmtid="{D5CDD505-2E9C-101B-9397-08002B2CF9AE}" pid="5" name="ReprintNo">
    <vt:lpwstr>1</vt:lpwstr>
  </property>
  <property fmtid="{D5CDD505-2E9C-101B-9397-08002B2CF9AE}" pid="6" name="CommencementDate">
    <vt:lpwstr>20200101</vt:lpwstr>
  </property>
  <property fmtid="{D5CDD505-2E9C-101B-9397-08002B2CF9AE}" pid="7" name="AsAtDate">
    <vt:lpwstr>01 Jan 2020</vt:lpwstr>
  </property>
  <property fmtid="{D5CDD505-2E9C-101B-9397-08002B2CF9AE}" pid="8" name="Suffix">
    <vt:lpwstr>01-d0-02</vt:lpwstr>
  </property>
</Properties>
</file>