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_Toc32303689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_Toc32303690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_Toc32303691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_Toc32303692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_Toc32303693 \h </w:instrText>
      </w:r>
      <w:r>
        <w:fldChar w:fldCharType="separate"/>
      </w:r>
      <w:r>
        <w:t>4</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_Toc32303694 \h </w:instrText>
      </w:r>
      <w:r>
        <w:fldChar w:fldCharType="separate"/>
      </w:r>
      <w:r>
        <w:t>4</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_Toc32303695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_Toc32303696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_Toc32303697 \h </w:instrText>
      </w:r>
      <w:r>
        <w:fldChar w:fldCharType="separate"/>
      </w:r>
      <w:r>
        <w:t>5</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_Toc32303698 \h </w:instrText>
      </w:r>
      <w:r>
        <w:fldChar w:fldCharType="separate"/>
      </w:r>
      <w:r>
        <w:t>5</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_Toc32303699 \h </w:instrText>
      </w:r>
      <w:r>
        <w:fldChar w:fldCharType="separate"/>
      </w:r>
      <w:r>
        <w:t>6</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_Toc32303700 \h </w:instrText>
      </w:r>
      <w:r>
        <w:fldChar w:fldCharType="separate"/>
      </w:r>
      <w:r>
        <w:t>6</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_Toc32303701 \h </w:instrText>
      </w:r>
      <w:r>
        <w:fldChar w:fldCharType="separate"/>
      </w:r>
      <w:r>
        <w:t>6</w:t>
      </w:r>
      <w:r>
        <w:fldChar w:fldCharType="end"/>
      </w:r>
    </w:p>
    <w:p>
      <w:pPr>
        <w:pStyle w:val="TOC8"/>
        <w:rPr>
          <w:rFonts w:asciiTheme="minorHAnsi" w:eastAsiaTheme="minorEastAsia" w:hAnsiTheme="minorHAnsi" w:cstheme="minorBidi"/>
          <w:szCs w:val="22"/>
        </w:rPr>
      </w:pPr>
      <w:r>
        <w:t>4AE.</w:t>
      </w:r>
      <w:r>
        <w:tab/>
        <w:t>Substance prescribed (liqueur chocolate) (Act s. 3(1) liquor)</w:t>
      </w:r>
      <w:r>
        <w:tab/>
      </w:r>
      <w:r>
        <w:fldChar w:fldCharType="begin"/>
      </w:r>
      <w:r>
        <w:instrText xml:space="preserve"> PAGEREF _Toc32303702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_Toc32303703 \h </w:instrText>
      </w:r>
      <w:r>
        <w:fldChar w:fldCharType="separate"/>
      </w:r>
      <w:r>
        <w:t>7</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_Toc32303704 \h </w:instrText>
      </w:r>
      <w:r>
        <w:fldChar w:fldCharType="separate"/>
      </w:r>
      <w:r>
        <w:t>9</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_Toc32303705 \h </w:instrText>
      </w:r>
      <w:r>
        <w:fldChar w:fldCharType="separate"/>
      </w:r>
      <w:r>
        <w:t>9</w:t>
      </w:r>
      <w:r>
        <w:fldChar w:fldCharType="end"/>
      </w:r>
    </w:p>
    <w:p>
      <w:pPr>
        <w:pStyle w:val="TOC8"/>
        <w:rPr>
          <w:rFonts w:asciiTheme="minorHAnsi" w:eastAsiaTheme="minorEastAsia" w:hAnsiTheme="minorHAnsi" w:cstheme="minorBidi"/>
          <w:szCs w:val="22"/>
        </w:rPr>
      </w:pPr>
      <w:r>
        <w:t>5C.</w:t>
      </w:r>
      <w:r>
        <w:tab/>
        <w:t>Types of special facility licence prescribed (Act s. 4(6))</w:t>
      </w:r>
      <w:r>
        <w:tab/>
      </w:r>
      <w:r>
        <w:fldChar w:fldCharType="begin"/>
      </w:r>
      <w:r>
        <w:instrText xml:space="preserve"> PAGEREF _Toc32303706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_Toc32303707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_Toc32303708 \h </w:instrText>
      </w:r>
      <w:r>
        <w:fldChar w:fldCharType="separate"/>
      </w:r>
      <w:r>
        <w:t>11</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_Toc32303709 \h </w:instrText>
      </w:r>
      <w:r>
        <w:fldChar w:fldCharType="separate"/>
      </w:r>
      <w:r>
        <w:t>16</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_Toc32303710 \h </w:instrText>
      </w:r>
      <w:r>
        <w:fldChar w:fldCharType="separate"/>
      </w:r>
      <w:r>
        <w:t>21</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_Toc32303711 \h </w:instrText>
      </w:r>
      <w:r>
        <w:fldChar w:fldCharType="separate"/>
      </w:r>
      <w:r>
        <w:t>23</w:t>
      </w:r>
      <w:r>
        <w:fldChar w:fldCharType="end"/>
      </w:r>
    </w:p>
    <w:p>
      <w:pPr>
        <w:pStyle w:val="TOC8"/>
        <w:rPr>
          <w:rFonts w:asciiTheme="minorHAnsi" w:eastAsiaTheme="minorEastAsia" w:hAnsiTheme="minorHAnsi" w:cstheme="minorBidi"/>
          <w:szCs w:val="22"/>
        </w:rPr>
      </w:pPr>
      <w:r>
        <w:t>8CA.</w:t>
      </w:r>
      <w:r>
        <w:tab/>
        <w:t>Exemption for complimentary supply by tourism businesses</w:t>
      </w:r>
      <w:r>
        <w:tab/>
      </w:r>
      <w:r>
        <w:fldChar w:fldCharType="begin"/>
      </w:r>
      <w:r>
        <w:instrText xml:space="preserve"> PAGEREF _Toc32303712 \h </w:instrText>
      </w:r>
      <w:r>
        <w:fldChar w:fldCharType="separate"/>
      </w:r>
      <w:r>
        <w:t>23</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_Toc32303713 \h </w:instrText>
      </w:r>
      <w:r>
        <w:fldChar w:fldCharType="separate"/>
      </w:r>
      <w:r>
        <w:t>25</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_Toc32303714 \h </w:instrText>
      </w:r>
      <w:r>
        <w:fldChar w:fldCharType="separate"/>
      </w:r>
      <w:r>
        <w:t>26</w:t>
      </w:r>
      <w:r>
        <w:fldChar w:fldCharType="end"/>
      </w:r>
    </w:p>
    <w:p>
      <w:pPr>
        <w:pStyle w:val="TOC8"/>
        <w:rPr>
          <w:rFonts w:asciiTheme="minorHAnsi" w:eastAsiaTheme="minorEastAsia" w:hAnsiTheme="minorHAnsi" w:cstheme="minorBidi"/>
          <w:szCs w:val="22"/>
        </w:rPr>
      </w:pPr>
      <w:r>
        <w:t>8F.</w:t>
      </w:r>
      <w:r>
        <w:tab/>
        <w:t>Exemption from Act for consumption in on</w:t>
      </w:r>
      <w:r>
        <w:noBreakHyphen/>
        <w:t>demand charter vehicle (Act s. 6(1)(o))</w:t>
      </w:r>
      <w:r>
        <w:tab/>
      </w:r>
      <w:r>
        <w:fldChar w:fldCharType="begin"/>
      </w:r>
      <w:r>
        <w:instrText xml:space="preserve"> PAGEREF _Toc32303715 \h </w:instrText>
      </w:r>
      <w:r>
        <w:fldChar w:fldCharType="separate"/>
      </w:r>
      <w:r>
        <w:t>27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_Toc32303716 \h </w:instrText>
      </w:r>
      <w:r>
        <w:fldChar w:fldCharType="separate"/>
      </w:r>
      <w:r>
        <w:t>28</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_Toc32303717 \h </w:instrText>
      </w:r>
      <w:r>
        <w:fldChar w:fldCharType="separate"/>
      </w:r>
      <w:r>
        <w:t>29</w:t>
      </w:r>
      <w:r>
        <w:fldChar w:fldCharType="end"/>
      </w:r>
    </w:p>
    <w:p>
      <w:pPr>
        <w:pStyle w:val="TOC8"/>
        <w:rPr>
          <w:rFonts w:asciiTheme="minorHAnsi" w:eastAsiaTheme="minorEastAsia" w:hAnsiTheme="minorHAnsi" w:cstheme="minorBidi"/>
          <w:szCs w:val="22"/>
        </w:rPr>
      </w:pPr>
      <w:r>
        <w:t>9AAA.</w:t>
      </w:r>
      <w:r>
        <w:tab/>
        <w:t>Area prescribed (Act s. 36B)</w:t>
      </w:r>
      <w:r>
        <w:tab/>
      </w:r>
      <w:r>
        <w:fldChar w:fldCharType="begin"/>
      </w:r>
      <w:r>
        <w:instrText xml:space="preserve"> PAGEREF _Toc32303718 \h </w:instrText>
      </w:r>
      <w:r>
        <w:fldChar w:fldCharType="separate"/>
      </w:r>
      <w:r>
        <w:t>29</w:t>
      </w:r>
      <w:r>
        <w:fldChar w:fldCharType="end"/>
      </w:r>
    </w:p>
    <w:p>
      <w:pPr>
        <w:pStyle w:val="TOC8"/>
        <w:rPr>
          <w:rFonts w:asciiTheme="minorHAnsi" w:eastAsiaTheme="minorEastAsia" w:hAnsiTheme="minorHAnsi" w:cstheme="minorBidi"/>
          <w:szCs w:val="22"/>
        </w:rPr>
      </w:pPr>
      <w:r>
        <w:t>9AAB.</w:t>
      </w:r>
      <w:r>
        <w:tab/>
        <w:t>Distance prescribed (Act s. 36B)</w:t>
      </w:r>
      <w:r>
        <w:tab/>
      </w:r>
      <w:r>
        <w:fldChar w:fldCharType="begin"/>
      </w:r>
      <w:r>
        <w:instrText xml:space="preserve"> PAGEREF _Toc32303719 \h </w:instrText>
      </w:r>
      <w:r>
        <w:fldChar w:fldCharType="separate"/>
      </w:r>
      <w:r>
        <w:t>29</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_Toc32303720 \h </w:instrText>
      </w:r>
      <w:r>
        <w:fldChar w:fldCharType="separate"/>
      </w:r>
      <w:r>
        <w:t>30</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_Toc32303721 \h </w:instrText>
      </w:r>
      <w:r>
        <w:fldChar w:fldCharType="separate"/>
      </w:r>
      <w:r>
        <w:t>38</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_Toc32303722 \h </w:instrText>
      </w:r>
      <w:r>
        <w:fldChar w:fldCharType="separate"/>
      </w:r>
      <w:r>
        <w:t>38</w:t>
      </w:r>
      <w:r>
        <w:fldChar w:fldCharType="end"/>
      </w:r>
    </w:p>
    <w:p>
      <w:pPr>
        <w:pStyle w:val="TOC8"/>
        <w:rPr>
          <w:rFonts w:asciiTheme="minorHAnsi" w:eastAsiaTheme="minorEastAsia" w:hAnsiTheme="minorHAnsi" w:cstheme="minorBidi"/>
          <w:szCs w:val="22"/>
        </w:rPr>
      </w:pPr>
      <w:r>
        <w:t>9C.</w:t>
      </w:r>
      <w:r>
        <w:tab/>
        <w:t>Types of special facility licence prescribed (Act s. 46(6))</w:t>
      </w:r>
      <w:r>
        <w:tab/>
      </w:r>
      <w:r>
        <w:fldChar w:fldCharType="begin"/>
      </w:r>
      <w:r>
        <w:instrText xml:space="preserve"> PAGEREF _Toc32303723 \h </w:instrText>
      </w:r>
      <w:r>
        <w:fldChar w:fldCharType="separate"/>
      </w:r>
      <w:r>
        <w:t>38</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_Toc32303724 \h </w:instrText>
      </w:r>
      <w:r>
        <w:fldChar w:fldCharType="separate"/>
      </w:r>
      <w:r>
        <w:t>39</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_Toc32303725 \h </w:instrText>
      </w:r>
      <w:r>
        <w:fldChar w:fldCharType="separate"/>
      </w:r>
      <w:r>
        <w:t>39</w:t>
      </w:r>
      <w:r>
        <w:fldChar w:fldCharType="end"/>
      </w:r>
    </w:p>
    <w:p>
      <w:pPr>
        <w:pStyle w:val="TOC8"/>
        <w:rPr>
          <w:rFonts w:asciiTheme="minorHAnsi" w:eastAsiaTheme="minorEastAsia" w:hAnsiTheme="minorHAnsi" w:cstheme="minorBidi"/>
          <w:szCs w:val="22"/>
        </w:rPr>
      </w:pPr>
      <w:r>
        <w:t>9EA.</w:t>
      </w:r>
      <w:r>
        <w:tab/>
        <w:t>Kinds of licence prescribed (Act s. 38(1)(a))</w:t>
      </w:r>
      <w:r>
        <w:tab/>
      </w:r>
      <w:r>
        <w:fldChar w:fldCharType="begin"/>
      </w:r>
      <w:r>
        <w:instrText xml:space="preserve"> PAGEREF _Toc32303726 \h </w:instrText>
      </w:r>
      <w:r>
        <w:fldChar w:fldCharType="separate"/>
      </w:r>
      <w:r>
        <w:t>39</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_Toc32303727 \h </w:instrText>
      </w:r>
      <w:r>
        <w:fldChar w:fldCharType="separate"/>
      </w:r>
      <w:r>
        <w:t>40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_Toc32303728 \h </w:instrText>
      </w:r>
      <w:r>
        <w:fldChar w:fldCharType="separate"/>
      </w:r>
      <w:r>
        <w:t>40</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_Toc32303729 \h </w:instrText>
      </w:r>
      <w:r>
        <w:fldChar w:fldCharType="separate"/>
      </w:r>
      <w:r>
        <w:t>41</w:t>
      </w:r>
      <w:r>
        <w:fldChar w:fldCharType="end"/>
      </w:r>
    </w:p>
    <w:p>
      <w:pPr>
        <w:pStyle w:val="TOC8"/>
        <w:rPr>
          <w:rFonts w:asciiTheme="minorHAnsi" w:eastAsiaTheme="minorEastAsia" w:hAnsiTheme="minorHAnsi" w:cstheme="minorBidi"/>
          <w:szCs w:val="22"/>
        </w:rPr>
      </w:pPr>
      <w:r>
        <w:t>10B.</w:t>
      </w:r>
      <w:r>
        <w:tab/>
        <w:t>Days for making application prescribed (Act s. 64(1BA))</w:t>
      </w:r>
      <w:r>
        <w:tab/>
      </w:r>
      <w:r>
        <w:fldChar w:fldCharType="begin"/>
      </w:r>
      <w:r>
        <w:instrText xml:space="preserve"> PAGEREF _Toc32303730 \h </w:instrText>
      </w:r>
      <w:r>
        <w:fldChar w:fldCharType="separate"/>
      </w:r>
      <w:r>
        <w:t>41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_Toc32303731 \h </w:instrText>
      </w:r>
      <w:r>
        <w:fldChar w:fldCharType="separate"/>
      </w:r>
      <w:r>
        <w:t>42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_Toc32303732 \h </w:instrText>
      </w:r>
      <w:r>
        <w:fldChar w:fldCharType="separate"/>
      </w:r>
      <w:r>
        <w:t>44</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_Toc32303733 \h </w:instrText>
      </w:r>
      <w:r>
        <w:fldChar w:fldCharType="separate"/>
      </w:r>
      <w:r>
        <w:t>44</w:t>
      </w:r>
      <w:r>
        <w:fldChar w:fldCharType="end"/>
      </w:r>
    </w:p>
    <w:p>
      <w:pPr>
        <w:pStyle w:val="TOC8"/>
        <w:rPr>
          <w:rFonts w:asciiTheme="minorHAnsi" w:eastAsiaTheme="minorEastAsia" w:hAnsiTheme="minorHAnsi" w:cstheme="minorBidi"/>
          <w:szCs w:val="22"/>
        </w:rPr>
      </w:pPr>
      <w:r>
        <w:t>14AA.</w:t>
      </w:r>
      <w:r>
        <w:tab/>
        <w:t>Area prescribed (Act s. 77A)</w:t>
      </w:r>
      <w:r>
        <w:tab/>
      </w:r>
      <w:r>
        <w:fldChar w:fldCharType="begin"/>
      </w:r>
      <w:r>
        <w:instrText xml:space="preserve"> PAGEREF _Toc32303734 \h </w:instrText>
      </w:r>
      <w:r>
        <w:fldChar w:fldCharType="separate"/>
      </w:r>
      <w:r>
        <w:t>45</w:t>
      </w:r>
      <w:r>
        <w:fldChar w:fldCharType="end"/>
      </w:r>
    </w:p>
    <w:p>
      <w:pPr>
        <w:pStyle w:val="TOC8"/>
        <w:rPr>
          <w:rFonts w:asciiTheme="minorHAnsi" w:eastAsiaTheme="minorEastAsia" w:hAnsiTheme="minorHAnsi" w:cstheme="minorBidi"/>
          <w:szCs w:val="22"/>
        </w:rPr>
      </w:pPr>
      <w:r>
        <w:t>14AAA.</w:t>
      </w:r>
      <w:r>
        <w:tab/>
        <w:t>Distance prescribed (Act s. 77A)</w:t>
      </w:r>
      <w:r>
        <w:tab/>
      </w:r>
      <w:r>
        <w:fldChar w:fldCharType="begin"/>
      </w:r>
      <w:r>
        <w:instrText xml:space="preserve"> PAGEREF _Toc32303735 \h </w:instrText>
      </w:r>
      <w:r>
        <w:fldChar w:fldCharType="separate"/>
      </w:r>
      <w:r>
        <w:t>45</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_Toc32303736 \h </w:instrText>
      </w:r>
      <w:r>
        <w:fldChar w:fldCharType="separate"/>
      </w:r>
      <w:r>
        <w:t>45</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_Toc32303737 \h </w:instrText>
      </w:r>
      <w:r>
        <w:fldChar w:fldCharType="separate"/>
      </w:r>
      <w:r>
        <w:t>46</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_Toc32303738 \h </w:instrText>
      </w:r>
      <w:r>
        <w:fldChar w:fldCharType="separate"/>
      </w:r>
      <w:r>
        <w:t>46</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_Toc32303739 \h </w:instrText>
      </w:r>
      <w:r>
        <w:fldChar w:fldCharType="separate"/>
      </w:r>
      <w:r>
        <w:t>47</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_Toc32303740 \h </w:instrText>
      </w:r>
      <w:r>
        <w:fldChar w:fldCharType="separate"/>
      </w:r>
      <w:r>
        <w:t>48</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_Toc32303741 \h </w:instrText>
      </w:r>
      <w:r>
        <w:fldChar w:fldCharType="separate"/>
      </w:r>
      <w:r>
        <w:t>48</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_Toc32303742 \h </w:instrText>
      </w:r>
      <w:r>
        <w:fldChar w:fldCharType="separate"/>
      </w:r>
      <w:r>
        <w:t>49</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_Toc32303743 \h </w:instrText>
      </w:r>
      <w:r>
        <w:fldChar w:fldCharType="separate"/>
      </w:r>
      <w:r>
        <w:t>49</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_Toc32303744 \h </w:instrText>
      </w:r>
      <w:r>
        <w:fldChar w:fldCharType="separate"/>
      </w:r>
      <w:r>
        <w:t>50</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_Toc32303745 \h </w:instrText>
      </w:r>
      <w:r>
        <w:fldChar w:fldCharType="separate"/>
      </w:r>
      <w:r>
        <w:t>50</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_Toc32303746 \h </w:instrText>
      </w:r>
      <w:r>
        <w:fldChar w:fldCharType="separate"/>
      </w:r>
      <w:r>
        <w:t>52</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_Toc32303747 \h </w:instrText>
      </w:r>
      <w:r>
        <w:fldChar w:fldCharType="separate"/>
      </w:r>
      <w:r>
        <w:t>53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_Toc32303748 \h </w:instrText>
      </w:r>
      <w:r>
        <w:fldChar w:fldCharType="separate"/>
      </w:r>
      <w:r>
        <w:t>54</w:t>
      </w:r>
      <w:r>
        <w:fldChar w:fldCharType="end"/>
      </w:r>
    </w:p>
    <w:p>
      <w:pPr>
        <w:pStyle w:val="TOC8"/>
        <w:rPr>
          <w:rFonts w:asciiTheme="minorHAnsi" w:eastAsiaTheme="minorEastAsia" w:hAnsiTheme="minorHAnsi" w:cstheme="minorBidi"/>
          <w:szCs w:val="22"/>
        </w:rPr>
      </w:pPr>
      <w:r>
        <w:t>16A.</w:t>
      </w:r>
      <w:r>
        <w:tab/>
        <w:t xml:space="preserve">Sports arenas prescribed (Act s. 110(4B) </w:t>
      </w:r>
      <w:r>
        <w:rPr>
          <w:i/>
        </w:rPr>
        <w:t>sports arena</w:t>
      </w:r>
      <w:r>
        <w:t>)</w:t>
      </w:r>
      <w:r>
        <w:tab/>
      </w:r>
      <w:r>
        <w:fldChar w:fldCharType="begin"/>
      </w:r>
      <w:r>
        <w:instrText xml:space="preserve"> PAGEREF _Toc32303749 \h </w:instrText>
      </w:r>
      <w:r>
        <w:fldChar w:fldCharType="separate"/>
      </w:r>
      <w:r>
        <w:t>54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_Toc32303750 \h </w:instrText>
      </w:r>
      <w:r>
        <w:fldChar w:fldCharType="separate"/>
      </w:r>
      <w:r>
        <w:t>55</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_Toc32303751 \h </w:instrText>
      </w:r>
      <w:r>
        <w:fldChar w:fldCharType="separate"/>
      </w:r>
      <w:r>
        <w:t>55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_Toc32303752 \h </w:instrText>
      </w:r>
      <w:r>
        <w:fldChar w:fldCharType="separate"/>
      </w:r>
      <w:r>
        <w:t>56</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_Toc32303753 \h </w:instrText>
      </w:r>
      <w:r>
        <w:fldChar w:fldCharType="separate"/>
      </w:r>
      <w:r>
        <w:t>57</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_Toc32303754 \h </w:instrText>
      </w:r>
      <w:r>
        <w:fldChar w:fldCharType="separate"/>
      </w:r>
      <w:r>
        <w:t>58</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_Toc32303755 \h </w:instrText>
      </w:r>
      <w:r>
        <w:fldChar w:fldCharType="separate"/>
      </w:r>
      <w:r>
        <w:t>59</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_Toc32303756 \h </w:instrText>
      </w:r>
      <w:r>
        <w:fldChar w:fldCharType="separate"/>
      </w:r>
      <w:r>
        <w:t>59</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_Toc32303757 \h </w:instrText>
      </w:r>
      <w:r>
        <w:fldChar w:fldCharType="separate"/>
      </w:r>
      <w:r>
        <w:t>59</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_Toc32303758 \h </w:instrText>
      </w:r>
      <w:r>
        <w:fldChar w:fldCharType="separate"/>
      </w:r>
      <w:r>
        <w:t>60</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_Toc32303759 \h </w:instrText>
      </w:r>
      <w:r>
        <w:fldChar w:fldCharType="separate"/>
      </w:r>
      <w:r>
        <w:t>61</w:t>
      </w:r>
      <w:r>
        <w:fldChar w:fldCharType="end"/>
      </w:r>
    </w:p>
    <w:p>
      <w:pPr>
        <w:pStyle w:val="TOC8"/>
        <w:rPr>
          <w:rFonts w:asciiTheme="minorHAnsi" w:eastAsiaTheme="minorEastAsia" w:hAnsiTheme="minorHAnsi" w:cstheme="minorBidi"/>
          <w:szCs w:val="22"/>
        </w:rPr>
      </w:pPr>
      <w:r>
        <w:t>18EC.</w:t>
      </w:r>
      <w:r>
        <w:tab/>
        <w:t>Prescribed incidents involving physical force</w:t>
      </w:r>
      <w:r>
        <w:tab/>
      </w:r>
      <w:r>
        <w:fldChar w:fldCharType="begin"/>
      </w:r>
      <w:r>
        <w:instrText xml:space="preserve"> PAGEREF _Toc32303760 \h </w:instrText>
      </w:r>
      <w:r>
        <w:fldChar w:fldCharType="separate"/>
      </w:r>
      <w:r>
        <w:t>62</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_Toc32303761 \h </w:instrText>
      </w:r>
      <w:r>
        <w:fldChar w:fldCharType="separate"/>
      </w:r>
      <w:r>
        <w:t>64</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_Toc32303762 \h </w:instrText>
      </w:r>
      <w:r>
        <w:fldChar w:fldCharType="separate"/>
      </w:r>
      <w:r>
        <w:t>64</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_Toc32303763 \h </w:instrText>
      </w:r>
      <w:r>
        <w:fldChar w:fldCharType="separate"/>
      </w:r>
      <w:r>
        <w:t>65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_Toc32303764 \h </w:instrText>
      </w:r>
      <w:r>
        <w:fldChar w:fldCharType="separate"/>
      </w:r>
      <w:r>
        <w:t>65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_Toc32303765 \h </w:instrText>
      </w:r>
      <w:r>
        <w:fldChar w:fldCharType="separate"/>
      </w:r>
      <w:r>
        <w:t>65</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_Toc32303766 \h </w:instrText>
      </w:r>
      <w:r>
        <w:fldChar w:fldCharType="separate"/>
      </w:r>
      <w:r>
        <w:t>66</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_Toc32303767 \h </w:instrText>
      </w:r>
      <w:r>
        <w:fldChar w:fldCharType="separate"/>
      </w:r>
      <w:r>
        <w:t>67</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_Toc32303768 \h </w:instrText>
      </w:r>
      <w:r>
        <w:fldChar w:fldCharType="separate"/>
      </w:r>
      <w:r>
        <w:t>68</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_Toc32303769 \h </w:instrText>
      </w:r>
      <w:r>
        <w:fldChar w:fldCharType="separate"/>
      </w:r>
      <w:r>
        <w:t>68</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_Toc32303770 \h </w:instrText>
      </w:r>
      <w:r>
        <w:fldChar w:fldCharType="separate"/>
      </w:r>
      <w:r>
        <w:t>68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_Toc32303771 \h </w:instrText>
      </w:r>
      <w:r>
        <w:fldChar w:fldCharType="separate"/>
      </w:r>
      <w:r>
        <w:t>68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_Toc32303772 \h </w:instrText>
      </w:r>
      <w:r>
        <w:fldChar w:fldCharType="separate"/>
      </w:r>
      <w:r>
        <w:t>71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_Toc32303773 \h </w:instrText>
      </w:r>
      <w:r>
        <w:fldChar w:fldCharType="separate"/>
      </w:r>
      <w:r>
        <w:t>72</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_Toc32303774 \h </w:instrText>
      </w:r>
      <w:r>
        <w:fldChar w:fldCharType="separate"/>
      </w:r>
      <w:r>
        <w:t>74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_Toc32303775 \h </w:instrText>
      </w:r>
      <w:r>
        <w:fldChar w:fldCharType="separate"/>
      </w:r>
      <w:r>
        <w:t>74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_Toc32303776 \h </w:instrText>
      </w:r>
      <w:r>
        <w:fldChar w:fldCharType="separate"/>
      </w:r>
      <w:r>
        <w:t>74</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_Toc32303777 \h </w:instrText>
      </w:r>
      <w:r>
        <w:fldChar w:fldCharType="separate"/>
      </w:r>
      <w:r>
        <w:t>76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r>
      <w:r>
        <w:t>Prescribed offences for infringement notices (Act s. 167(2))</w:t>
      </w:r>
      <w:r>
        <w:tab/>
      </w:r>
      <w:r>
        <w:fldChar w:fldCharType="begin"/>
      </w:r>
      <w:r>
        <w:instrText xml:space="preserve"> PAGEREF _Toc32303778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_Toc32303785 \h </w:instrText>
      </w:r>
      <w:r>
        <w:fldChar w:fldCharType="separate"/>
      </w:r>
      <w:r>
        <w:t>96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_Toc32303786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32303689"/>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w:t>
      </w:r>
    </w:p>
    <w:p>
      <w:pPr>
        <w:pStyle w:val="Footnotesection"/>
      </w:pPr>
      <w:r>
        <w:tab/>
        <w:t>[Regulation 1 amended: Gazette 1 May 2007 p. 1864.]</w:t>
      </w:r>
    </w:p>
    <w:p>
      <w:pPr>
        <w:pStyle w:val="Heading5"/>
        <w:rPr>
          <w:snapToGrid w:val="0"/>
        </w:rPr>
      </w:pPr>
      <w:bookmarkStart w:id="4" w:name="_Toc32303690"/>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1</w:t>
      </w:r>
      <w:r>
        <w:rPr>
          <w:snapToGrid w:val="0"/>
        </w:rPr>
        <w:t xml:space="preserve"> comes into operation.</w:t>
      </w:r>
    </w:p>
    <w:p>
      <w:pPr>
        <w:pStyle w:val="Heading5"/>
        <w:rPr>
          <w:snapToGrid w:val="0"/>
        </w:rPr>
      </w:pPr>
      <w:bookmarkStart w:id="5" w:name="_Toc32303691"/>
      <w:r>
        <w:rPr>
          <w:rStyle w:val="CharSectno"/>
        </w:rPr>
        <w:t>3</w:t>
      </w:r>
      <w:r>
        <w:rPr>
          <w:snapToGrid w:val="0"/>
        </w:rPr>
        <w:t>.</w:t>
      </w:r>
      <w:r>
        <w:rPr>
          <w:snapToGrid w:val="0"/>
        </w:rPr>
        <w:tab/>
        <w:t>Forms prescribed etc. (Sch. 1)</w:t>
      </w:r>
      <w:bookmarkEnd w:id="5"/>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Gazette 3 Jun 2011 p. 1999.]</w:t>
      </w:r>
    </w:p>
    <w:p>
      <w:pPr>
        <w:pStyle w:val="Heading5"/>
        <w:rPr>
          <w:snapToGrid w:val="0"/>
        </w:rPr>
      </w:pPr>
      <w:bookmarkStart w:id="6" w:name="_Toc32303692"/>
      <w:r>
        <w:rPr>
          <w:rStyle w:val="CharSectno"/>
        </w:rPr>
        <w:t>3A</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xml:space="preserve"> means, in relation to an application for a permit or licence, or an application to vary a condition of a permit or licence,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xml:space="preserve"> means — </w:t>
      </w:r>
    </w:p>
    <w:p>
      <w:pPr>
        <w:pStyle w:val="Defpara"/>
      </w:pPr>
      <w:r>
        <w:tab/>
        <w:t>(a)</w:t>
      </w:r>
      <w:r>
        <w:tab/>
        <w:t>in relation to a day of the period to which an application for a permit or licence relates, the maximum number of patrons that the person making the application reasonably expects to be in the place or on the premises in respect of which the application is made at any one time on that day;</w:t>
      </w:r>
    </w:p>
    <w:p>
      <w:pPr>
        <w:pStyle w:val="Defpara"/>
      </w:pPr>
      <w:r>
        <w:tab/>
        <w:t>(b)</w:t>
      </w:r>
      <w:r>
        <w:tab/>
        <w:t>in relation to a day of the period to which an application to add or vary a condition of a permit or licence relates, the maximum number of patrons that the person making the application reasonably expects to be in the place or on the premises in respect of which the application is made at any one time on that day;</w:t>
      </w:r>
    </w:p>
    <w:p>
      <w:pPr>
        <w:pStyle w:val="Defpara"/>
        <w:rPr>
          <w:rStyle w:val="DraftersNotes"/>
          <w:snapToGrid/>
        </w:rPr>
      </w:pPr>
      <w:r>
        <w:tab/>
        <w:t>(c)</w:t>
      </w:r>
      <w:r>
        <w:tab/>
        <w:t xml:space="preserve">in relation to a day of the period for which an occasional licence is granted, the maximum number of patrons that the licensee reasonably expected (at the time that they applied for the licence) to be on the licensed premises at any one time on that day; </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keepLines w:val="0"/>
        <w:ind w:left="890" w:hanging="890"/>
      </w:pPr>
      <w:r>
        <w:tab/>
        <w:t>[Regulation 3A inserted: Gazette 30 Jan 1998 p. 561; amended: Gazette 22 May 1998 p. 2940; 28 Jul 2000 p. 4029; 28 Jun 2002 p. 3105</w:t>
      </w:r>
      <w:r>
        <w:noBreakHyphen/>
        <w:t>6; 10 Aug 2004 p. 3186; 1 May 2007 p. 1864 and 1888; 15 Jan 2010 p. 70</w:t>
      </w:r>
      <w:r>
        <w:noBreakHyphen/>
        <w:t>1; 22 Oct 2010 p. 5225; 3 Jun 2011 p. 1994; 6 Sep 2016 p. 3828; 10 Jan 2017 p. 140; 2 Oct 2018 p. 3798</w:t>
      </w:r>
      <w:r>
        <w:noBreakHyphen/>
        <w:t>9; 1 Nov 2019 p. 3858.]</w:t>
      </w:r>
    </w:p>
    <w:p>
      <w:pPr>
        <w:pStyle w:val="Heading5"/>
        <w:keepLines w:val="0"/>
      </w:pPr>
      <w:bookmarkStart w:id="7" w:name="_Toc32303693"/>
      <w:r>
        <w:rPr>
          <w:rStyle w:val="CharSectno"/>
        </w:rPr>
        <w:t>3AB</w:t>
      </w:r>
      <w:r>
        <w:t>.</w:t>
      </w:r>
      <w:r>
        <w:tab/>
        <w:t xml:space="preserve">Kind of liquor prescribed (mist containing ethanol) (Act s. 3(1) </w:t>
      </w:r>
      <w:r>
        <w:rPr>
          <w:i/>
        </w:rPr>
        <w:t>kind</w:t>
      </w:r>
      <w:r>
        <w:t>)</w:t>
      </w:r>
      <w:bookmarkEnd w:id="7"/>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Gazette 11 Jan 2005 p. 98; amended: Gazette 1 May 2007 p. 1888.]</w:t>
      </w:r>
    </w:p>
    <w:p>
      <w:pPr>
        <w:pStyle w:val="Heading5"/>
        <w:keepLines w:val="0"/>
      </w:pPr>
      <w:bookmarkStart w:id="8" w:name="_Toc32303694"/>
      <w:r>
        <w:rPr>
          <w:rStyle w:val="CharSectno"/>
        </w:rPr>
        <w:t>3AC</w:t>
      </w:r>
      <w:r>
        <w:t>.</w:t>
      </w:r>
      <w:r>
        <w:tab/>
        <w:t xml:space="preserve">Kind of liquor prescribed (aerosol containing ethanol) (Act s. 3(1) </w:t>
      </w:r>
      <w:r>
        <w:rPr>
          <w:i/>
        </w:rPr>
        <w:t>kind</w:t>
      </w:r>
      <w:r>
        <w:t>)</w:t>
      </w:r>
      <w:bookmarkEnd w:id="8"/>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Gazette 11 Jan 2005 p. 98; amended: Gazette 1 May 2007 p. 1888.]</w:t>
      </w:r>
    </w:p>
    <w:p>
      <w:pPr>
        <w:pStyle w:val="Heading5"/>
        <w:spacing w:before="180"/>
      </w:pPr>
      <w:bookmarkStart w:id="9" w:name="_Toc32303695"/>
      <w:r>
        <w:rPr>
          <w:rStyle w:val="CharSectno"/>
        </w:rPr>
        <w:t>3AD</w:t>
      </w:r>
      <w:r>
        <w:t>.</w:t>
      </w:r>
      <w:r>
        <w:tab/>
        <w:t xml:space="preserve">Kind of liquor prescribed (powdered alcohol) (Act s. 3(1) </w:t>
      </w:r>
      <w:r>
        <w:rPr>
          <w:i/>
        </w:rPr>
        <w:t>kind</w:t>
      </w:r>
      <w:r>
        <w:t>)</w:t>
      </w:r>
      <w:bookmarkEnd w:id="9"/>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pPr>
      <w:r>
        <w:tab/>
        <w:t>[Regulation 3AD inserted: Gazette 7 Aug 2015 p. 3206.]</w:t>
      </w:r>
    </w:p>
    <w:p>
      <w:pPr>
        <w:pStyle w:val="Heading5"/>
        <w:keepLines w:val="0"/>
        <w:spacing w:before="180"/>
        <w:rPr>
          <w:snapToGrid w:val="0"/>
        </w:rPr>
      </w:pPr>
      <w:bookmarkStart w:id="10" w:name="_Toc32303696"/>
      <w:r>
        <w:rPr>
          <w:rStyle w:val="CharSectno"/>
        </w:rPr>
        <w:t>4</w:t>
      </w:r>
      <w:r>
        <w:rPr>
          <w:snapToGrid w:val="0"/>
        </w:rPr>
        <w:t>.</w:t>
      </w:r>
      <w:r>
        <w:rPr>
          <w:snapToGrid w:val="0"/>
        </w:rPr>
        <w:tab/>
        <w:t xml:space="preserve">Level prescribed </w:t>
      </w:r>
      <w:r>
        <w:t xml:space="preserve">(Act s. 3(1) </w:t>
      </w:r>
      <w:r>
        <w:rPr>
          <w:i/>
        </w:rPr>
        <w:t>low alcohol liquor</w:t>
      </w:r>
      <w:r>
        <w:t>)</w:t>
      </w:r>
      <w:bookmarkEnd w:id="10"/>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Gazette 22 May 1998 p. 2940; amended: Gazette 28 Jul 2000 p. 4029; 1 May 2007 p. 1888.]</w:t>
      </w:r>
    </w:p>
    <w:p>
      <w:pPr>
        <w:pStyle w:val="Heading5"/>
        <w:spacing w:before="180"/>
        <w:rPr>
          <w:snapToGrid w:val="0"/>
        </w:rPr>
      </w:pPr>
      <w:bookmarkStart w:id="11" w:name="_Toc32303697"/>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1"/>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Gazette 22 May 1998 p. 2940; amended: Gazette 6 Oct 1998 p. 5564; 1 May 2007 p. 1888.]</w:t>
      </w:r>
    </w:p>
    <w:p>
      <w:pPr>
        <w:pStyle w:val="Heading5"/>
        <w:keepNext w:val="0"/>
        <w:keepLines w:val="0"/>
        <w:spacing w:before="180"/>
        <w:rPr>
          <w:bCs/>
          <w:snapToGrid w:val="0"/>
        </w:rPr>
      </w:pPr>
      <w:bookmarkStart w:id="12" w:name="_Toc32303698"/>
      <w:r>
        <w:rPr>
          <w:rStyle w:val="CharSectno"/>
        </w:rPr>
        <w:t>4A</w:t>
      </w:r>
      <w:r>
        <w:rPr>
          <w:snapToGrid w:val="0"/>
        </w:rPr>
        <w:t>.</w:t>
      </w:r>
      <w:r>
        <w:rPr>
          <w:snapToGrid w:val="0"/>
        </w:rPr>
        <w:tab/>
        <w:t xml:space="preserve">Substances prescribed (food items) </w:t>
      </w:r>
      <w:r>
        <w:t xml:space="preserve">(Act s. 3(1) </w:t>
      </w:r>
      <w:r>
        <w:rPr>
          <w:i/>
        </w:rPr>
        <w:t>liquor</w:t>
      </w:r>
      <w:r>
        <w:t>)</w:t>
      </w:r>
      <w:bookmarkEnd w:id="12"/>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Gazette 23 Sep 1994 p. 4901; amended: Gazette 30 Dec 1994 p. 7329; 26 Nov 1996 p. 6629; 30 Apr 1999 p. 1820</w:t>
      </w:r>
      <w:r>
        <w:noBreakHyphen/>
        <w:t>1.]</w:t>
      </w:r>
    </w:p>
    <w:p>
      <w:pPr>
        <w:pStyle w:val="Heading5"/>
      </w:pPr>
      <w:bookmarkStart w:id="13" w:name="_Toc32303699"/>
      <w:r>
        <w:rPr>
          <w:rStyle w:val="CharSectno"/>
        </w:rPr>
        <w:t>4AB</w:t>
      </w:r>
      <w:r>
        <w:t>.</w:t>
      </w:r>
      <w:r>
        <w:tab/>
        <w:t>Substance prescribed (mist containing ethanol) (Act s. 3(1) </w:t>
      </w:r>
      <w:r>
        <w:rPr>
          <w:i/>
        </w:rPr>
        <w:t>liquor</w:t>
      </w:r>
      <w:r>
        <w:t>)</w:t>
      </w:r>
      <w:bookmarkEnd w:id="1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Gazette 11 Jan 2005 p. 98</w:t>
      </w:r>
      <w:r>
        <w:noBreakHyphen/>
        <w:t>9; amended: Gazette 1 May 2007 p. 1888</w:t>
      </w:r>
      <w:r>
        <w:noBreakHyphen/>
        <w:t>9.]</w:t>
      </w:r>
    </w:p>
    <w:p>
      <w:pPr>
        <w:pStyle w:val="Heading5"/>
        <w:keepNext w:val="0"/>
        <w:keepLines w:val="0"/>
        <w:spacing w:before="180"/>
        <w:rPr>
          <w:bCs/>
          <w:snapToGrid w:val="0"/>
        </w:rPr>
      </w:pPr>
      <w:bookmarkStart w:id="14" w:name="_Toc32303700"/>
      <w:r>
        <w:rPr>
          <w:rStyle w:val="CharSectno"/>
        </w:rPr>
        <w:t>4AC</w:t>
      </w:r>
      <w:r>
        <w:t>.</w:t>
      </w:r>
      <w:r>
        <w:tab/>
        <w:t xml:space="preserve">Substance prescribed (aerosol containing ethanol) (Act s. 3(1) </w:t>
      </w:r>
      <w:r>
        <w:rPr>
          <w:i/>
        </w:rPr>
        <w:t>liquor</w:t>
      </w:r>
      <w:r>
        <w:t>)</w:t>
      </w:r>
      <w:bookmarkEnd w:id="1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Gazette 11 Jan 2005 p. 99; amended: Gazette 1 May 2007 p. 1888</w:t>
      </w:r>
      <w:r>
        <w:noBreakHyphen/>
        <w:t>9.]</w:t>
      </w:r>
    </w:p>
    <w:p>
      <w:pPr>
        <w:pStyle w:val="Heading5"/>
      </w:pPr>
      <w:bookmarkStart w:id="15" w:name="_Toc32303701"/>
      <w:r>
        <w:rPr>
          <w:rStyle w:val="CharSectno"/>
        </w:rPr>
        <w:t>4AD</w:t>
      </w:r>
      <w:r>
        <w:t>.</w:t>
      </w:r>
      <w:r>
        <w:tab/>
        <w:t xml:space="preserve">Substance prescribed (powdered alcohol) (Act s. 3(1) </w:t>
      </w:r>
      <w:r>
        <w:rPr>
          <w:i/>
        </w:rPr>
        <w:t>liquor</w:t>
      </w:r>
      <w:r>
        <w:t>)</w:t>
      </w:r>
      <w:bookmarkEnd w:id="15"/>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keepNext/>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pPr>
      <w:r>
        <w:tab/>
        <w:t>[Regulation 4AD inserted: Gazette 7 Aug 2015 p. 3206</w:t>
      </w:r>
      <w:r>
        <w:noBreakHyphen/>
        <w:t>7.]</w:t>
      </w:r>
    </w:p>
    <w:p>
      <w:pPr>
        <w:pStyle w:val="Heading5"/>
        <w:rPr>
          <w:rStyle w:val="CharSectno"/>
        </w:rPr>
      </w:pPr>
      <w:bookmarkStart w:id="16" w:name="_Toc32303702"/>
      <w:r>
        <w:rPr>
          <w:rStyle w:val="CharSectno"/>
        </w:rPr>
        <w:t>4AE</w:t>
      </w:r>
      <w:r>
        <w:t>.</w:t>
      </w:r>
      <w:r>
        <w:rPr>
          <w:rStyle w:val="CharSectno"/>
        </w:rPr>
        <w:tab/>
      </w:r>
      <w:r>
        <w:t>Substance prescribed (liqueur chocolate) (Act s. 3(1) liquor)</w:t>
      </w:r>
      <w:bookmarkEnd w:id="16"/>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Gazette 1 Dec 2015 p. 4821</w:t>
      </w:r>
      <w:r>
        <w:noBreakHyphen/>
        <w:t>2.]</w:t>
      </w:r>
    </w:p>
    <w:p>
      <w:pPr>
        <w:pStyle w:val="Heading5"/>
      </w:pPr>
      <w:bookmarkStart w:id="17" w:name="_Toc32303703"/>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2</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Gazette 30 Jan 1998 p. 562.]</w:t>
      </w:r>
    </w:p>
    <w:p>
      <w:pPr>
        <w:pStyle w:val="Heading5"/>
        <w:keepNext w:val="0"/>
        <w:keepLines w:val="0"/>
        <w:spacing w:before="180"/>
      </w:pPr>
      <w:bookmarkStart w:id="18" w:name="_Toc32303704"/>
      <w:r>
        <w:rPr>
          <w:rStyle w:val="CharSectno"/>
        </w:rPr>
        <w:t>5A</w:t>
      </w:r>
      <w:r>
        <w:t>.</w:t>
      </w:r>
      <w:r>
        <w:tab/>
        <w:t xml:space="preserve">Quantities prescribed </w:t>
      </w:r>
      <w:r>
        <w:rPr>
          <w:snapToGrid w:val="0"/>
        </w:rPr>
        <w:t>(Act s.</w:t>
      </w:r>
      <w:r>
        <w:t xml:space="preserve"> 3(1) </w:t>
      </w:r>
      <w:r>
        <w:rPr>
          <w:i/>
        </w:rPr>
        <w:t>sample</w:t>
      </w:r>
      <w:r>
        <w:t>)</w:t>
      </w:r>
      <w:bookmarkEnd w:id="18"/>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Gazette 1 May 2007 p. 1865.]</w:t>
      </w:r>
    </w:p>
    <w:p>
      <w:pPr>
        <w:pStyle w:val="Heading5"/>
      </w:pPr>
      <w:bookmarkStart w:id="19" w:name="_Toc32303705"/>
      <w:r>
        <w:rPr>
          <w:rStyle w:val="CharSectno"/>
        </w:rPr>
        <w:t>5B</w:t>
      </w:r>
      <w:r>
        <w:t>.</w:t>
      </w:r>
      <w:r>
        <w:tab/>
        <w:t xml:space="preserve">Positions of authority in body corporate prescribed </w:t>
      </w:r>
      <w:r>
        <w:rPr>
          <w:snapToGrid w:val="0"/>
        </w:rPr>
        <w:t>(Act s.</w:t>
      </w:r>
      <w:r>
        <w:t> 3(4)(d))</w:t>
      </w:r>
      <w:bookmarkEnd w:id="1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Gazette 1 May 2007 p. 1865</w:t>
      </w:r>
      <w:r>
        <w:noBreakHyphen/>
        <w:t>6.]</w:t>
      </w:r>
    </w:p>
    <w:p>
      <w:pPr>
        <w:pStyle w:val="Heading5"/>
      </w:pPr>
      <w:bookmarkStart w:id="20" w:name="_Toc32303706"/>
      <w:r>
        <w:rPr>
          <w:rStyle w:val="CharSectno"/>
        </w:rPr>
        <w:t>5C</w:t>
      </w:r>
      <w:r>
        <w:t>.</w:t>
      </w:r>
      <w:r>
        <w:tab/>
        <w:t>Types of special facility licence prescribed (Act s. 4(6))</w:t>
      </w:r>
      <w:bookmarkEnd w:id="20"/>
    </w:p>
    <w:p>
      <w:pPr>
        <w:pStyle w:val="Subsection"/>
      </w:pPr>
      <w:r>
        <w:tab/>
      </w:r>
      <w:r>
        <w:tab/>
        <w:t xml:space="preserve">For the purposes of section 4(6) a special facility licence is of a prescribed type if — </w:t>
      </w:r>
    </w:p>
    <w:p>
      <w:pPr>
        <w:pStyle w:val="Indenta"/>
      </w:pPr>
      <w:r>
        <w:tab/>
        <w:t>(a)</w:t>
      </w:r>
      <w:r>
        <w:tab/>
        <w:t xml:space="preserve">it is granted for a purpose described in 1 of the following regulations — </w:t>
      </w:r>
    </w:p>
    <w:p>
      <w:pPr>
        <w:pStyle w:val="Indenti"/>
      </w:pPr>
      <w:r>
        <w:tab/>
        <w:t>(i)</w:t>
      </w:r>
      <w:r>
        <w:tab/>
        <w:t>regulation 9A(7) — tourism;</w:t>
      </w:r>
    </w:p>
    <w:p>
      <w:pPr>
        <w:pStyle w:val="Indenti"/>
      </w:pPr>
      <w:r>
        <w:tab/>
        <w:t>(ii)</w:t>
      </w:r>
      <w:r>
        <w:tab/>
        <w:t>regulation 9A(22) — auction;</w:t>
      </w:r>
    </w:p>
    <w:p>
      <w:pPr>
        <w:pStyle w:val="Indenti"/>
        <w:keepNext/>
      </w:pPr>
      <w:r>
        <w:tab/>
        <w:t>(iii)</w:t>
      </w:r>
      <w:r>
        <w:tab/>
        <w:t>regulation 9A(24) — online wine sales;</w:t>
      </w:r>
    </w:p>
    <w:p>
      <w:pPr>
        <w:pStyle w:val="Indenta"/>
      </w:pPr>
      <w:r>
        <w:tab/>
      </w:r>
      <w:r>
        <w:tab/>
        <w:t>or</w:t>
      </w:r>
    </w:p>
    <w:p>
      <w:pPr>
        <w:pStyle w:val="Indenta"/>
      </w:pPr>
      <w:r>
        <w:tab/>
        <w:t>(b)</w:t>
      </w:r>
      <w:r>
        <w:tab/>
        <w:t>it remains in force by operation of Schedule 1 clause 20 of the Act.</w:t>
      </w:r>
    </w:p>
    <w:p>
      <w:pPr>
        <w:pStyle w:val="Footnotesection"/>
      </w:pPr>
      <w:r>
        <w:tab/>
        <w:t>[Regulation 5C inserted: Gazette 2 Oct 2018 p. 3799.]</w:t>
      </w:r>
    </w:p>
    <w:p>
      <w:pPr>
        <w:pStyle w:val="Ednotesection"/>
        <w:rPr>
          <w:szCs w:val="24"/>
        </w:rPr>
      </w:pPr>
      <w:r>
        <w:rPr>
          <w:szCs w:val="24"/>
        </w:rPr>
        <w:t>[</w:t>
      </w:r>
      <w:r>
        <w:rPr>
          <w:b/>
          <w:bCs/>
          <w:szCs w:val="24"/>
        </w:rPr>
        <w:t>6.</w:t>
      </w:r>
      <w:r>
        <w:rPr>
          <w:szCs w:val="24"/>
        </w:rPr>
        <w:tab/>
        <w:t>Deleted: Gazette 1 May 2007 p. 1867.]</w:t>
      </w:r>
    </w:p>
    <w:p>
      <w:pPr>
        <w:pStyle w:val="Heading5"/>
        <w:rPr>
          <w:snapToGrid w:val="0"/>
        </w:rPr>
      </w:pPr>
      <w:bookmarkStart w:id="21" w:name="_Toc32303707"/>
      <w:r>
        <w:rPr>
          <w:rStyle w:val="CharSectno"/>
        </w:rPr>
        <w:t>7</w:t>
      </w:r>
      <w:r>
        <w:rPr>
          <w:snapToGrid w:val="0"/>
        </w:rPr>
        <w:t>.</w:t>
      </w:r>
      <w:r>
        <w:rPr>
          <w:snapToGrid w:val="0"/>
        </w:rPr>
        <w:tab/>
        <w:t>Approved courses (Act s. 6(1)(c))</w:t>
      </w:r>
      <w:bookmarkEnd w:id="21"/>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Gazette 16 May 1995 p. 1859; amended: Gazette 1 May 2007 p. 1867 and 1888</w:t>
      </w:r>
      <w:r>
        <w:noBreakHyphen/>
        <w:t>9; 15 Jan 2010 p. 71.]</w:t>
      </w:r>
    </w:p>
    <w:p>
      <w:pPr>
        <w:pStyle w:val="Heading5"/>
        <w:rPr>
          <w:snapToGrid w:val="0"/>
        </w:rPr>
      </w:pPr>
      <w:bookmarkStart w:id="22" w:name="_Toc32303708"/>
      <w:r>
        <w:rPr>
          <w:rStyle w:val="CharSectno"/>
        </w:rPr>
        <w:t>8</w:t>
      </w:r>
      <w:r>
        <w:rPr>
          <w:snapToGrid w:val="0"/>
        </w:rPr>
        <w:t>.</w:t>
      </w:r>
      <w:r>
        <w:rPr>
          <w:snapToGrid w:val="0"/>
        </w:rPr>
        <w:tab/>
        <w:t>Exemption from Act, certain sales etc.</w:t>
      </w:r>
      <w:bookmarkEnd w:id="22"/>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keepNext/>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w:t>
      </w:r>
    </w:p>
    <w:p>
      <w:pPr>
        <w:pStyle w:val="Heading5"/>
        <w:keepNext w:val="0"/>
        <w:keepLines w:val="0"/>
      </w:pPr>
      <w:bookmarkStart w:id="23" w:name="_Toc32303709"/>
      <w:r>
        <w:rPr>
          <w:rStyle w:val="CharSectno"/>
        </w:rPr>
        <w:t>8A</w:t>
      </w:r>
      <w:r>
        <w:t>.</w:t>
      </w:r>
      <w:r>
        <w:tab/>
        <w:t>Exemption from Act, consumption at live entertainment venues</w:t>
      </w:r>
      <w:bookmarkEnd w:id="23"/>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Gazette 15 Jul 2011 p. 2956</w:t>
      </w:r>
      <w:r>
        <w:noBreakHyphen/>
        <w:t>60.]</w:t>
      </w:r>
    </w:p>
    <w:p>
      <w:pPr>
        <w:pStyle w:val="Heading5"/>
      </w:pPr>
      <w:bookmarkStart w:id="24" w:name="_Toc32303710"/>
      <w:r>
        <w:rPr>
          <w:rStyle w:val="CharSectno"/>
        </w:rPr>
        <w:t>8B</w:t>
      </w:r>
      <w:r>
        <w:t>.</w:t>
      </w:r>
      <w:r>
        <w:tab/>
        <w:t>Exemption from Act, sales etc. at certain functions</w:t>
      </w:r>
      <w:bookmarkEnd w:id="24"/>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Gazette 15 Jul 2011 p. 2960</w:t>
      </w:r>
      <w:r>
        <w:noBreakHyphen/>
        <w:t>1.]</w:t>
      </w:r>
    </w:p>
    <w:p>
      <w:pPr>
        <w:pStyle w:val="Heading5"/>
      </w:pPr>
      <w:bookmarkStart w:id="25" w:name="_Toc32303711"/>
      <w:r>
        <w:rPr>
          <w:rStyle w:val="CharSectno"/>
        </w:rPr>
        <w:t>8C</w:t>
      </w:r>
      <w:r>
        <w:t>.</w:t>
      </w:r>
      <w:r>
        <w:tab/>
        <w:t>Exemption from Act, complimentary supply by business</w:t>
      </w:r>
      <w:bookmarkEnd w:id="25"/>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Gazette 15 Jul 2011 p. 2961</w:t>
      </w:r>
      <w:r>
        <w:noBreakHyphen/>
        <w:t>2; amended: Gazette 6 Sep 2016 p. 3828.]</w:t>
      </w:r>
    </w:p>
    <w:p>
      <w:pPr>
        <w:pStyle w:val="Heading5"/>
      </w:pPr>
      <w:bookmarkStart w:id="26" w:name="_Toc32303712"/>
      <w:r>
        <w:rPr>
          <w:rStyle w:val="CharSectno"/>
        </w:rPr>
        <w:t>8CA</w:t>
      </w:r>
      <w:r>
        <w:t>.</w:t>
      </w:r>
      <w:r>
        <w:tab/>
        <w:t>Exemption for complimentary supply by tourism businesses</w:t>
      </w:r>
      <w:bookmarkEnd w:id="26"/>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Gazette 6 Sep 2016 p. 3828-9; amended: Gazette 12 Sep 2017 p. 4735</w:t>
      </w:r>
      <w:r>
        <w:noBreakHyphen/>
        <w:t>6.]</w:t>
      </w:r>
    </w:p>
    <w:p>
      <w:pPr>
        <w:pStyle w:val="Heading5"/>
        <w:spacing w:before="180"/>
      </w:pPr>
      <w:bookmarkStart w:id="27" w:name="_Toc32303713"/>
      <w:r>
        <w:rPr>
          <w:rStyle w:val="CharSectno"/>
        </w:rPr>
        <w:t>8D</w:t>
      </w:r>
      <w:r>
        <w:t>.</w:t>
      </w:r>
      <w:r>
        <w:tab/>
        <w:t>Exemption from Act, sales etc. at farmers’ markets</w:t>
      </w:r>
      <w:bookmarkEnd w:id="27"/>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keepNext/>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Gazette 15 Jul 2011 p. 2962</w:t>
      </w:r>
      <w:r>
        <w:noBreakHyphen/>
        <w:t>3; amended: Gazette 10 Jan 2017 p. 142.]</w:t>
      </w:r>
    </w:p>
    <w:p>
      <w:pPr>
        <w:pStyle w:val="Heading5"/>
      </w:pPr>
      <w:bookmarkStart w:id="28" w:name="_Toc32303714"/>
      <w:r>
        <w:rPr>
          <w:rStyle w:val="CharSectno"/>
        </w:rPr>
        <w:t>8E</w:t>
      </w:r>
      <w:r>
        <w:t>.</w:t>
      </w:r>
      <w:r>
        <w:tab/>
        <w:t>Exemption from Act, sales etc. at functions on licensed premises</w:t>
      </w:r>
      <w:bookmarkEnd w:id="28"/>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Gazette 15 Jul 2011 p. 2963</w:t>
      </w:r>
      <w:r>
        <w:noBreakHyphen/>
        <w:t>4.]</w:t>
      </w:r>
    </w:p>
    <w:p>
      <w:pPr>
        <w:pStyle w:val="Heading5"/>
      </w:pPr>
      <w:bookmarkStart w:id="29" w:name="_Toc32303715"/>
      <w:r>
        <w:rPr>
          <w:rStyle w:val="CharSectno"/>
        </w:rPr>
        <w:t>8F</w:t>
      </w:r>
      <w:r>
        <w:t>.</w:t>
      </w:r>
      <w:r>
        <w:tab/>
        <w:t>Exemption from Act for consumption in on</w:t>
      </w:r>
      <w:r>
        <w:noBreakHyphen/>
        <w:t>demand charter vehicle (Act s. 6(1)(o))</w:t>
      </w:r>
      <w:bookmarkEnd w:id="29"/>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on</w:t>
      </w:r>
      <w:r>
        <w:rPr>
          <w:rStyle w:val="CharDefText"/>
        </w:rPr>
        <w:noBreakHyphen/>
        <w:t>demand charter vehicle authorisation</w:t>
      </w:r>
      <w:r>
        <w:t xml:space="preserve"> means a passenger transport vehicle authorisation that authorises the operation of the vehicle for use in providing an on</w:t>
      </w:r>
      <w:r>
        <w:noBreakHyphen/>
        <w:t xml:space="preserve">demand charter passenger transport service under the </w:t>
      </w:r>
      <w:r>
        <w:rPr>
          <w:i/>
        </w:rPr>
        <w:t>Transport (Road Passenger Services) Act 2018</w:t>
      </w:r>
      <w:r>
        <w: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keepNext/>
      </w:pPr>
      <w:r>
        <w:tab/>
        <w:t>(2)</w:t>
      </w:r>
      <w:r>
        <w:tab/>
        <w:t xml:space="preserve">The consumption of liquor by a person who is at least 18 years of age is exempted from the application of the Act if — </w:t>
      </w:r>
    </w:p>
    <w:p>
      <w:pPr>
        <w:pStyle w:val="Indenta"/>
      </w:pPr>
      <w:r>
        <w:tab/>
        <w:t>(a)</w:t>
      </w:r>
      <w:r>
        <w:tab/>
        <w:t>at the time of the consumption the person is a passenger in a vehicle in relation to which an on</w:t>
      </w:r>
      <w:r>
        <w:noBreakHyphen/>
        <w:t>demand charter vehicle authorisation is in force;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Gazette 15 Jul 2011 p. 2964</w:t>
      </w:r>
      <w:r>
        <w:noBreakHyphen/>
        <w:t>5; amended: Gazette 6 Sep 2016 p. 3830-1; 28 Jun 2019 p. 2491</w:t>
      </w:r>
      <w:r>
        <w:noBreakHyphen/>
        <w:t>2.]</w:t>
      </w:r>
    </w:p>
    <w:p>
      <w:pPr>
        <w:pStyle w:val="Heading5"/>
        <w:spacing w:before="240"/>
        <w:rPr>
          <w:snapToGrid w:val="0"/>
        </w:rPr>
      </w:pPr>
      <w:bookmarkStart w:id="30" w:name="_Toc32303716"/>
      <w:r>
        <w:rPr>
          <w:rStyle w:val="CharSectno"/>
        </w:rPr>
        <w:t>9</w:t>
      </w:r>
      <w:r>
        <w:rPr>
          <w:snapToGrid w:val="0"/>
        </w:rPr>
        <w:t>.</w:t>
      </w:r>
      <w:r>
        <w:rPr>
          <w:snapToGrid w:val="0"/>
        </w:rPr>
        <w:tab/>
        <w:t>Persons who may take and administer oaths and affirmations (Act s. 18(3)(c))</w:t>
      </w:r>
      <w:bookmarkEnd w:id="30"/>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Gazette 22 May 1998 p. 2941; 28 Sep 2007 p. 4928.]</w:t>
      </w:r>
    </w:p>
    <w:p>
      <w:pPr>
        <w:pStyle w:val="Heading5"/>
      </w:pPr>
      <w:bookmarkStart w:id="31" w:name="_Toc32303717"/>
      <w:r>
        <w:rPr>
          <w:rStyle w:val="CharSectno"/>
        </w:rPr>
        <w:t>9AA</w:t>
      </w:r>
      <w:r>
        <w:t>.</w:t>
      </w:r>
      <w:r>
        <w:tab/>
        <w:t xml:space="preserve">Distance prescribed </w:t>
      </w:r>
      <w:r>
        <w:rPr>
          <w:snapToGrid w:val="0"/>
        </w:rPr>
        <w:t>(Act s.</w:t>
      </w:r>
      <w:r>
        <w:t> 36A(2)(b))</w:t>
      </w:r>
      <w:bookmarkEnd w:id="31"/>
    </w:p>
    <w:p>
      <w:pPr>
        <w:pStyle w:val="Subsection"/>
      </w:pPr>
      <w:r>
        <w:tab/>
      </w:r>
      <w:r>
        <w:tab/>
        <w:t>For the purpose of section 36A(2)(b) a distance of 25 km is prescribed.</w:t>
      </w:r>
    </w:p>
    <w:p>
      <w:pPr>
        <w:pStyle w:val="Footnotesection"/>
        <w:ind w:left="890" w:hanging="890"/>
      </w:pPr>
      <w:r>
        <w:tab/>
        <w:t>[Regulation 9AA inserted: Gazette 29 Sep 2000 p. 5549; amended: Gazette 1 May 2007 p. 1888</w:t>
      </w:r>
      <w:r>
        <w:noBreakHyphen/>
        <w:t>9.]</w:t>
      </w:r>
    </w:p>
    <w:p>
      <w:pPr>
        <w:pStyle w:val="Heading5"/>
      </w:pPr>
      <w:bookmarkStart w:id="32" w:name="_Toc32303718"/>
      <w:r>
        <w:rPr>
          <w:rStyle w:val="CharSectno"/>
        </w:rPr>
        <w:t>9AAA</w:t>
      </w:r>
      <w:r>
        <w:t>.</w:t>
      </w:r>
      <w:r>
        <w:tab/>
        <w:t>Area prescribed (Act s. 36B)</w:t>
      </w:r>
      <w:bookmarkEnd w:id="32"/>
    </w:p>
    <w:p>
      <w:pPr>
        <w:pStyle w:val="Subsection"/>
      </w:pPr>
      <w:r>
        <w:tab/>
      </w:r>
      <w:r>
        <w:tab/>
        <w:t>For the purposes of section 36B, the area of 400 m</w:t>
      </w:r>
      <w:r>
        <w:rPr>
          <w:vertAlign w:val="superscript"/>
        </w:rPr>
        <w:t>2</w:t>
      </w:r>
      <w:r>
        <w:t xml:space="preserve"> is prescribed.</w:t>
      </w:r>
    </w:p>
    <w:p>
      <w:pPr>
        <w:pStyle w:val="Footnotesection"/>
        <w:ind w:left="890" w:hanging="890"/>
      </w:pPr>
      <w:r>
        <w:tab/>
        <w:t>[Regulation 9AAA inserted: Gazette 1 Nov 2019 p. 3858.]</w:t>
      </w:r>
    </w:p>
    <w:p>
      <w:pPr>
        <w:pStyle w:val="Heading5"/>
      </w:pPr>
      <w:bookmarkStart w:id="33" w:name="_Toc32303719"/>
      <w:r>
        <w:rPr>
          <w:rStyle w:val="CharSectno"/>
        </w:rPr>
        <w:t>9AAB</w:t>
      </w:r>
      <w:r>
        <w:t>.</w:t>
      </w:r>
      <w:r>
        <w:tab/>
        <w:t>Distance prescribed (Act s. 36B)</w:t>
      </w:r>
      <w:bookmarkEnd w:id="33"/>
    </w:p>
    <w:p>
      <w:pPr>
        <w:pStyle w:val="Subsection"/>
      </w:pPr>
      <w:r>
        <w:tab/>
        <w:t>(1)</w:t>
      </w:r>
      <w:r>
        <w:tab/>
        <w:t xml:space="preserve">For the purposes of section 36B,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pPr>
      <w:r>
        <w:tab/>
        <w:t>(2)</w:t>
      </w:r>
      <w:r>
        <w:tab/>
        <w:t>The distances referred to in subregulation (1) are to be calculated using the shortest route by road.</w:t>
      </w:r>
    </w:p>
    <w:p>
      <w:pPr>
        <w:pStyle w:val="Footnotesection"/>
        <w:ind w:left="890" w:hanging="890"/>
      </w:pPr>
      <w:r>
        <w:tab/>
        <w:t>[Regulation 9AAB inserted: Gazette 1 Nov 2019 p. 3859.]</w:t>
      </w:r>
    </w:p>
    <w:p>
      <w:pPr>
        <w:pStyle w:val="Heading5"/>
        <w:rPr>
          <w:snapToGrid w:val="0"/>
        </w:rPr>
      </w:pPr>
      <w:bookmarkStart w:id="34" w:name="_Toc32303720"/>
      <w:r>
        <w:rPr>
          <w:rStyle w:val="CharSectno"/>
        </w:rPr>
        <w:t>9A</w:t>
      </w:r>
      <w:r>
        <w:t>.</w:t>
      </w:r>
      <w:r>
        <w:tab/>
      </w:r>
      <w:r>
        <w:rPr>
          <w:snapToGrid w:val="0"/>
        </w:rPr>
        <w:t>Special facility licence, purposes for which may be granted</w:t>
      </w:r>
      <w:bookmarkEnd w:id="34"/>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keepNext/>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Gazette 4 Jan 2002 p. 8</w:t>
      </w:r>
      <w:r>
        <w:noBreakHyphen/>
        <w:t>11; amended: Gazette 28 Mar 2003 p. 984; 10 Oct 2003 p. 4406; 10 Aug 2004 p. 3186; 19 Aug 2005 p. 3874; 1 May 2007 p. 1868</w:t>
      </w:r>
      <w:r>
        <w:noBreakHyphen/>
        <w:t>71; 13 Mar 2009 p. 763; 15 Jan 2010 p. 71</w:t>
      </w:r>
      <w:r>
        <w:noBreakHyphen/>
        <w:t>2; 22 Oct 2010 p. 5226; 7 Oct 2011 p. 4068-9; 6 Jan 2012 p. 48 (disallowed: Gazette 18 Sep 2012 p. 4411); 16 Nov 2012 p. 5658; 10 Jan 2017 p. 142</w:t>
      </w:r>
      <w:r>
        <w:noBreakHyphen/>
        <w:t>3; 3 Feb 2017 p. 1115.]</w:t>
      </w:r>
    </w:p>
    <w:p>
      <w:pPr>
        <w:pStyle w:val="Heading5"/>
      </w:pPr>
      <w:bookmarkStart w:id="35" w:name="_Toc32303721"/>
      <w:r>
        <w:rPr>
          <w:rStyle w:val="CharSectno"/>
        </w:rPr>
        <w:t>9AB</w:t>
      </w:r>
      <w:r>
        <w:t>.</w:t>
      </w:r>
      <w:r>
        <w:tab/>
        <w:t xml:space="preserve">Kind of extended trading permit prescribed </w:t>
      </w:r>
      <w:r>
        <w:rPr>
          <w:snapToGrid w:val="0"/>
        </w:rPr>
        <w:t>(Act s.</w:t>
      </w:r>
      <w:r>
        <w:t> 25(5a))</w:t>
      </w:r>
      <w:bookmarkEnd w:id="35"/>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Gazette 1 May 2007 p. 1871.]</w:t>
      </w:r>
    </w:p>
    <w:p>
      <w:pPr>
        <w:pStyle w:val="Heading5"/>
        <w:rPr>
          <w:snapToGrid w:val="0"/>
        </w:rPr>
      </w:pPr>
      <w:bookmarkStart w:id="36" w:name="_Toc32303722"/>
      <w:r>
        <w:rPr>
          <w:rStyle w:val="CharSectno"/>
        </w:rPr>
        <w:t>9B</w:t>
      </w:r>
      <w:r>
        <w:rPr>
          <w:snapToGrid w:val="0"/>
        </w:rPr>
        <w:t>.</w:t>
      </w:r>
      <w:r>
        <w:rPr>
          <w:snapToGrid w:val="0"/>
        </w:rPr>
        <w:tab/>
        <w:t>Special facility licence, effect of as to sale of packaged liquor</w:t>
      </w:r>
      <w:bookmarkEnd w:id="36"/>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Gazette 4 Jan 2002 p. 11.]</w:t>
      </w:r>
    </w:p>
    <w:p>
      <w:pPr>
        <w:pStyle w:val="Heading5"/>
      </w:pPr>
      <w:bookmarkStart w:id="37" w:name="_Toc32303723"/>
      <w:r>
        <w:rPr>
          <w:rStyle w:val="CharSectno"/>
        </w:rPr>
        <w:t>9C</w:t>
      </w:r>
      <w:r>
        <w:t>.</w:t>
      </w:r>
      <w:r>
        <w:tab/>
        <w:t>Types of special facility licence prescribed (Act s. 46(6))</w:t>
      </w:r>
      <w:bookmarkEnd w:id="37"/>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Gazette 8 Dec 2017 p. 5850.]</w:t>
      </w:r>
    </w:p>
    <w:p>
      <w:pPr>
        <w:pStyle w:val="Heading5"/>
      </w:pPr>
      <w:bookmarkStart w:id="38" w:name="_Toc32303724"/>
      <w:r>
        <w:rPr>
          <w:rStyle w:val="CharSectno"/>
        </w:rPr>
        <w:t>9D</w:t>
      </w:r>
      <w:r>
        <w:t>.</w:t>
      </w:r>
      <w:r>
        <w:tab/>
      </w:r>
      <w:r>
        <w:rPr>
          <w:snapToGrid w:val="0"/>
        </w:rPr>
        <w:t>Act s.</w:t>
      </w:r>
      <w:r>
        <w:t> 33(6b) modified as to occasional licences</w:t>
      </w:r>
      <w:bookmarkEnd w:id="38"/>
    </w:p>
    <w:p>
      <w:pPr>
        <w:pStyle w:val="Subsection"/>
      </w:pPr>
      <w:r>
        <w:tab/>
        <w:t>(1)</w:t>
      </w:r>
      <w:r>
        <w:tab/>
        <w:t>For the purposes of a determination under section 33(6) in respect of an application for an occasional licence where the maximum number of patrons on any day of the period to which the application relates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maximum number of patrons on any day of the period to which the application relates is not greater than 250, section 33(6b) does not have effect unless the Director otherwise determines.</w:t>
      </w:r>
    </w:p>
    <w:p>
      <w:pPr>
        <w:pStyle w:val="Footnotesection"/>
      </w:pPr>
      <w:r>
        <w:tab/>
        <w:t>[Regulation 9D inserted: Gazette 1 May 2007 p. 1871</w:t>
      </w:r>
      <w:r>
        <w:noBreakHyphen/>
        <w:t>2; amended: Gazette 22 Oct 2010 p. 5226; 2 Oct 2018 p. 3800.]</w:t>
      </w:r>
    </w:p>
    <w:p>
      <w:pPr>
        <w:pStyle w:val="Heading5"/>
      </w:pPr>
      <w:bookmarkStart w:id="39" w:name="_Toc32303725"/>
      <w:r>
        <w:rPr>
          <w:rStyle w:val="CharSectno"/>
        </w:rPr>
        <w:t>9E</w:t>
      </w:r>
      <w:r>
        <w:t>.</w:t>
      </w:r>
      <w:r>
        <w:tab/>
        <w:t>Period prescribed (Act s. 33(6D)(b))</w:t>
      </w:r>
      <w:bookmarkEnd w:id="39"/>
    </w:p>
    <w:p>
      <w:pPr>
        <w:pStyle w:val="Subsection"/>
        <w:keepNext/>
      </w:pPr>
      <w:r>
        <w:tab/>
      </w:r>
      <w:r>
        <w:tab/>
        <w:t>For the purposes of section 33(6D)(b) the period of 3 months is prescribed.</w:t>
      </w:r>
    </w:p>
    <w:p>
      <w:pPr>
        <w:pStyle w:val="Footnotesection"/>
        <w:keepNext/>
        <w:ind w:left="890" w:hanging="890"/>
      </w:pPr>
      <w:r>
        <w:tab/>
        <w:t>[Regulation 9E inserted: Gazette 16 Nov 2012 p. 5658.]</w:t>
      </w:r>
    </w:p>
    <w:p>
      <w:pPr>
        <w:pStyle w:val="Heading5"/>
      </w:pPr>
      <w:bookmarkStart w:id="40" w:name="_Toc32303726"/>
      <w:r>
        <w:rPr>
          <w:rStyle w:val="CharSectno"/>
        </w:rPr>
        <w:t>9EA</w:t>
      </w:r>
      <w:r>
        <w:t>.</w:t>
      </w:r>
      <w:r>
        <w:tab/>
        <w:t>Kinds of licence prescribed (Act s. 38(1)(a))</w:t>
      </w:r>
      <w:bookmarkEnd w:id="40"/>
    </w:p>
    <w:p>
      <w:pPr>
        <w:pStyle w:val="Subsection"/>
      </w:pPr>
      <w:r>
        <w:tab/>
      </w:r>
      <w:r>
        <w:tab/>
        <w:t xml:space="preserve">For the purposes of section 38(1)(a), the following kinds of licence are prescribed — </w:t>
      </w:r>
    </w:p>
    <w:p>
      <w:pPr>
        <w:pStyle w:val="Indenta"/>
      </w:pPr>
      <w:r>
        <w:tab/>
        <w:t>(a)</w:t>
      </w:r>
      <w:r>
        <w:tab/>
        <w:t>a hotel licence;</w:t>
      </w:r>
    </w:p>
    <w:p>
      <w:pPr>
        <w:pStyle w:val="Indenta"/>
      </w:pPr>
      <w:r>
        <w:tab/>
        <w:t>(b)</w:t>
      </w:r>
      <w:r>
        <w:tab/>
        <w:t>a nightclub licence;</w:t>
      </w:r>
    </w:p>
    <w:p>
      <w:pPr>
        <w:pStyle w:val="Indenta"/>
      </w:pPr>
      <w:r>
        <w:tab/>
        <w:t>(c)</w:t>
      </w:r>
      <w:r>
        <w:tab/>
        <w:t>a casino liquor licence;</w:t>
      </w:r>
    </w:p>
    <w:p>
      <w:pPr>
        <w:pStyle w:val="Indenta"/>
      </w:pPr>
      <w:r>
        <w:tab/>
        <w:t>(d)</w:t>
      </w:r>
      <w:r>
        <w:tab/>
        <w:t>a liquor store licence.</w:t>
      </w:r>
    </w:p>
    <w:p>
      <w:pPr>
        <w:pStyle w:val="Footnotesection"/>
        <w:keepNext/>
        <w:ind w:left="890" w:hanging="890"/>
      </w:pPr>
      <w:r>
        <w:tab/>
        <w:t>[Regulation 9EA inserted: Gazette 2 Oct 2018 p. 3800.]</w:t>
      </w:r>
    </w:p>
    <w:p>
      <w:pPr>
        <w:pStyle w:val="Heading5"/>
      </w:pPr>
      <w:bookmarkStart w:id="41" w:name="_Toc32303727"/>
      <w:r>
        <w:rPr>
          <w:rStyle w:val="CharSectno"/>
        </w:rPr>
        <w:t>9F</w:t>
      </w:r>
      <w:r>
        <w:t>.</w:t>
      </w:r>
      <w:r>
        <w:tab/>
        <w:t>Kinds of permit prescribed (Act s. 38(1)(b))</w:t>
      </w:r>
      <w:bookmarkEnd w:id="41"/>
    </w:p>
    <w:p>
      <w:pPr>
        <w:pStyle w:val="Subsection"/>
      </w:pPr>
      <w:r>
        <w:tab/>
      </w:r>
      <w:r>
        <w:tab/>
        <w:t>For the purposes of section 38(1)(b), an extended trading permit to be issued for the purpose referred to in section 60(4)(g) and for a specified period exceeding 3 weeks is prescribed.</w:t>
      </w:r>
    </w:p>
    <w:p>
      <w:pPr>
        <w:pStyle w:val="Footnotesection"/>
        <w:spacing w:before="100"/>
        <w:ind w:left="890" w:hanging="890"/>
      </w:pPr>
      <w:r>
        <w:tab/>
        <w:t>[Regulation 9F inserted: Gazette 2 Oct 2018 p. 3800.]</w:t>
      </w:r>
    </w:p>
    <w:p>
      <w:pPr>
        <w:pStyle w:val="Ednotesection"/>
      </w:pPr>
      <w:r>
        <w:t>[</w:t>
      </w:r>
      <w:r>
        <w:rPr>
          <w:b/>
        </w:rPr>
        <w:t>9G.</w:t>
      </w:r>
      <w:r>
        <w:rPr>
          <w:b/>
        </w:rPr>
        <w:tab/>
      </w:r>
      <w:r>
        <w:t>Deleted: Gazette 2 Oct 2018 p. 3800.]</w:t>
      </w:r>
    </w:p>
    <w:p>
      <w:pPr>
        <w:pStyle w:val="Heading5"/>
        <w:spacing w:before="240"/>
        <w:rPr>
          <w:snapToGrid w:val="0"/>
        </w:rPr>
      </w:pPr>
      <w:bookmarkStart w:id="42" w:name="_Toc32303728"/>
      <w:r>
        <w:rPr>
          <w:rStyle w:val="CharSectno"/>
        </w:rPr>
        <w:t>10</w:t>
      </w:r>
      <w:r>
        <w:rPr>
          <w:snapToGrid w:val="0"/>
        </w:rPr>
        <w:t>.</w:t>
      </w:r>
      <w:r>
        <w:rPr>
          <w:snapToGrid w:val="0"/>
        </w:rPr>
        <w:tab/>
        <w:t>Requirements prescribed (Act s. </w:t>
      </w:r>
      <w:r>
        <w:t>57(2)(d)</w:t>
      </w:r>
      <w:r>
        <w:rPr>
          <w:snapToGrid w:val="0"/>
        </w:rPr>
        <w:t>)</w:t>
      </w:r>
      <w:bookmarkEnd w:id="42"/>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keepNext/>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Gazette 22 May 1998 p. 2942; amended: Gazette 1 May 2007 p. 1873 and 1888</w:t>
      </w:r>
      <w:r>
        <w:noBreakHyphen/>
        <w:t>9; 6 Feb 2009 p. 248; 3 Jun 2011 p. 1999.]</w:t>
      </w:r>
    </w:p>
    <w:p>
      <w:pPr>
        <w:pStyle w:val="Heading5"/>
        <w:rPr>
          <w:snapToGrid w:val="0"/>
        </w:rPr>
      </w:pPr>
      <w:bookmarkStart w:id="43" w:name="_Toc32303729"/>
      <w:r>
        <w:rPr>
          <w:rStyle w:val="CharSectno"/>
        </w:rPr>
        <w:t>10A</w:t>
      </w:r>
      <w:r>
        <w:rPr>
          <w:snapToGrid w:val="0"/>
        </w:rPr>
        <w:t>.</w:t>
      </w:r>
      <w:r>
        <w:rPr>
          <w:snapToGrid w:val="0"/>
        </w:rPr>
        <w:tab/>
        <w:t>Condition prescribed (Act s. 55(2))</w:t>
      </w:r>
      <w:bookmarkEnd w:id="43"/>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Gazette 22 May 1998 p. 2942; amended: Gazette 1 May 2007 p. 1888</w:t>
      </w:r>
      <w:r>
        <w:noBreakHyphen/>
        <w:t>9.]</w:t>
      </w:r>
    </w:p>
    <w:p>
      <w:pPr>
        <w:pStyle w:val="Heading5"/>
      </w:pPr>
      <w:bookmarkStart w:id="44" w:name="_Toc32303730"/>
      <w:r>
        <w:rPr>
          <w:rStyle w:val="CharSectno"/>
        </w:rPr>
        <w:t>10B</w:t>
      </w:r>
      <w:r>
        <w:t>.</w:t>
      </w:r>
      <w:r>
        <w:tab/>
        <w:t>Days for making application prescribed (Act s. 64(1BA))</w:t>
      </w:r>
      <w:bookmarkEnd w:id="44"/>
    </w:p>
    <w:p>
      <w:pPr>
        <w:pStyle w:val="Subsection"/>
      </w:pPr>
      <w:r>
        <w:tab/>
      </w:r>
      <w:r>
        <w:tab/>
        <w:t xml:space="preserve">For the purposes of section 64(1BA), the prescribed number of days is — </w:t>
      </w:r>
    </w:p>
    <w:p>
      <w:pPr>
        <w:pStyle w:val="Indenta"/>
      </w:pPr>
      <w:r>
        <w:tab/>
        <w:t>(a)</w:t>
      </w:r>
      <w:r>
        <w:tab/>
        <w:t xml:space="preserve">if the condition as varied is proposed to have effect for a period not exceeding 21 days — </w:t>
      </w:r>
    </w:p>
    <w:p>
      <w:pPr>
        <w:pStyle w:val="Indenti"/>
      </w:pPr>
      <w:r>
        <w:tab/>
        <w:t>(i)</w:t>
      </w:r>
      <w:r>
        <w:tab/>
        <w:t>if the anticipated number of patrons is not greater than 500 — 14 days; or</w:t>
      </w:r>
    </w:p>
    <w:p>
      <w:pPr>
        <w:pStyle w:val="Indenti"/>
      </w:pPr>
      <w:r>
        <w:tab/>
        <w:t>(ii)</w:t>
      </w:r>
      <w:r>
        <w:tab/>
        <w:t>if the anticipated number of patrons is greater than 500 but not greater than 5 000 — 30 days; or</w:t>
      </w:r>
    </w:p>
    <w:p>
      <w:pPr>
        <w:pStyle w:val="Indenti"/>
      </w:pPr>
      <w:r>
        <w:tab/>
        <w:t>(iii)</w:t>
      </w:r>
      <w:r>
        <w:tab/>
        <w:t>if the anticipated number of patrons is greater than 5 000 — 60 days;</w:t>
      </w:r>
    </w:p>
    <w:p>
      <w:pPr>
        <w:pStyle w:val="Indenta"/>
      </w:pPr>
      <w:r>
        <w:tab/>
      </w:r>
      <w:r>
        <w:tab/>
        <w:t>or</w:t>
      </w:r>
    </w:p>
    <w:p>
      <w:pPr>
        <w:pStyle w:val="Indenta"/>
      </w:pPr>
      <w:r>
        <w:tab/>
        <w:t>(b)</w:t>
      </w:r>
      <w:r>
        <w:tab/>
        <w:t>if the condition as varied is proposed to have effect for a period exceeding 21 days, or if the condition is proposed to be varied permanently — 30 days.</w:t>
      </w:r>
    </w:p>
    <w:p>
      <w:pPr>
        <w:pStyle w:val="Footnotesection"/>
        <w:ind w:left="890" w:hanging="890"/>
      </w:pPr>
      <w:r>
        <w:tab/>
        <w:t>[Regulation 10B inserted: Gazette 2 Oct 2018 p. 3800</w:t>
      </w:r>
      <w:r>
        <w:noBreakHyphen/>
        <w:t>1.]</w:t>
      </w:r>
    </w:p>
    <w:p>
      <w:pPr>
        <w:pStyle w:val="Heading5"/>
        <w:rPr>
          <w:snapToGrid w:val="0"/>
        </w:rPr>
      </w:pPr>
      <w:bookmarkStart w:id="45" w:name="_Toc32303731"/>
      <w:r>
        <w:rPr>
          <w:rStyle w:val="CharSectno"/>
        </w:rPr>
        <w:t>11</w:t>
      </w:r>
      <w:r>
        <w:rPr>
          <w:snapToGrid w:val="0"/>
        </w:rPr>
        <w:t>.</w:t>
      </w:r>
      <w:r>
        <w:rPr>
          <w:snapToGrid w:val="0"/>
        </w:rPr>
        <w:tab/>
        <w:t>Plans and specifications, requirements for (Act s. 66(4) and (5))</w:t>
      </w:r>
      <w:bookmarkEnd w:id="45"/>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keepNext/>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46" w:name="_Toc32303732"/>
      <w:r>
        <w:rPr>
          <w:rStyle w:val="CharSectno"/>
        </w:rPr>
        <w:t>13</w:t>
      </w:r>
      <w:r>
        <w:rPr>
          <w:snapToGrid w:val="0"/>
        </w:rPr>
        <w:t>.</w:t>
      </w:r>
      <w:r>
        <w:rPr>
          <w:snapToGrid w:val="0"/>
        </w:rPr>
        <w:tab/>
        <w:t>Records as to applicant, requirements for (Act s. 68(1)(b))</w:t>
      </w:r>
      <w:bookmarkEnd w:id="46"/>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Gazette 28 Sep 2007 p. 4928.]</w:t>
      </w:r>
    </w:p>
    <w:p>
      <w:pPr>
        <w:pStyle w:val="Heading5"/>
      </w:pPr>
      <w:bookmarkStart w:id="47" w:name="_Toc32303733"/>
      <w:r>
        <w:rPr>
          <w:rStyle w:val="CharSectno"/>
        </w:rPr>
        <w:t>14A</w:t>
      </w:r>
      <w:r>
        <w:t>.</w:t>
      </w:r>
      <w:r>
        <w:tab/>
        <w:t xml:space="preserve">Types etc. of premises prescribed </w:t>
      </w:r>
      <w:r>
        <w:rPr>
          <w:snapToGrid w:val="0"/>
        </w:rPr>
        <w:t>(Act s. 77(5a)(b))</w:t>
      </w:r>
      <w:bookmarkEnd w:id="4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Gazette 2 May 2008 p. 1704; amended: Gazette 18 Dec 2012 p. 6596-7.]</w:t>
      </w:r>
    </w:p>
    <w:p>
      <w:pPr>
        <w:pStyle w:val="Heading5"/>
      </w:pPr>
      <w:bookmarkStart w:id="48" w:name="_Toc32303734"/>
      <w:r>
        <w:rPr>
          <w:rStyle w:val="CharSectno"/>
        </w:rPr>
        <w:t>14AA</w:t>
      </w:r>
      <w:r>
        <w:t>.</w:t>
      </w:r>
      <w:r>
        <w:tab/>
        <w:t>Area prescribed (Act s. 77A)</w:t>
      </w:r>
      <w:bookmarkEnd w:id="48"/>
    </w:p>
    <w:p>
      <w:pPr>
        <w:pStyle w:val="Subsection"/>
      </w:pPr>
      <w:r>
        <w:tab/>
      </w:r>
      <w:r>
        <w:tab/>
        <w:t>For the purposes of section 77A, the area of 400 m</w:t>
      </w:r>
      <w:r>
        <w:rPr>
          <w:vertAlign w:val="superscript"/>
        </w:rPr>
        <w:t>2</w:t>
      </w:r>
      <w:r>
        <w:t xml:space="preserve"> is prescribed.</w:t>
      </w:r>
    </w:p>
    <w:p>
      <w:pPr>
        <w:pStyle w:val="Footnotesection"/>
        <w:ind w:left="890" w:hanging="890"/>
      </w:pPr>
      <w:r>
        <w:tab/>
        <w:t>[Regulation 14AA inserted: Gazette 1 Nov 2019 p. 3859.]</w:t>
      </w:r>
    </w:p>
    <w:p>
      <w:pPr>
        <w:pStyle w:val="Heading5"/>
      </w:pPr>
      <w:bookmarkStart w:id="49" w:name="_Toc32303735"/>
      <w:r>
        <w:rPr>
          <w:rStyle w:val="CharSectno"/>
        </w:rPr>
        <w:t>14AAA</w:t>
      </w:r>
      <w:r>
        <w:t>.</w:t>
      </w:r>
      <w:r>
        <w:tab/>
        <w:t>Distance prescribed (Act s. 77A)</w:t>
      </w:r>
      <w:bookmarkEnd w:id="49"/>
    </w:p>
    <w:p>
      <w:pPr>
        <w:pStyle w:val="Subsection"/>
      </w:pPr>
      <w:r>
        <w:tab/>
        <w:t>(1)</w:t>
      </w:r>
      <w:r>
        <w:tab/>
        <w:t xml:space="preserve">For the purposes of section 77A,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pPr>
      <w:r>
        <w:tab/>
        <w:t>(2)</w:t>
      </w:r>
      <w:r>
        <w:tab/>
        <w:t>The distances referred to in subregulation (1) are to be calculated using the shortest route by road.</w:t>
      </w:r>
    </w:p>
    <w:p>
      <w:pPr>
        <w:pStyle w:val="Footnotesection"/>
        <w:ind w:left="890" w:hanging="890"/>
      </w:pPr>
      <w:r>
        <w:tab/>
        <w:t>[Regulation 9AAA inserted: Gazette 1 Nov 2019 p. 3859.]</w:t>
      </w:r>
    </w:p>
    <w:p>
      <w:pPr>
        <w:pStyle w:val="Heading5"/>
      </w:pPr>
      <w:bookmarkStart w:id="50" w:name="_Toc32303736"/>
      <w:r>
        <w:rPr>
          <w:rStyle w:val="CharSectno"/>
        </w:rPr>
        <w:t>14AB</w:t>
      </w:r>
      <w:r>
        <w:t>.</w:t>
      </w:r>
      <w:r>
        <w:tab/>
        <w:t xml:space="preserve">Requirement for lodgment of application prescribed </w:t>
      </w:r>
      <w:r>
        <w:rPr>
          <w:snapToGrid w:val="0"/>
        </w:rPr>
        <w:t>(Act s. </w:t>
      </w:r>
      <w:r>
        <w:t>75(1)(b))</w:t>
      </w:r>
      <w:bookmarkEnd w:id="50"/>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Gazette 1 May 2007 p. 1876</w:t>
      </w:r>
      <w:r>
        <w:noBreakHyphen/>
        <w:t>7; amended: Gazette 22 Oct 2010 p. 5227.]</w:t>
      </w:r>
    </w:p>
    <w:p>
      <w:pPr>
        <w:pStyle w:val="Heading5"/>
      </w:pPr>
      <w:bookmarkStart w:id="51" w:name="_Toc32303737"/>
      <w:r>
        <w:rPr>
          <w:rStyle w:val="CharSectno"/>
        </w:rPr>
        <w:t>14AC</w:t>
      </w:r>
      <w:r>
        <w:t>.</w:t>
      </w:r>
      <w:r>
        <w:tab/>
        <w:t xml:space="preserve">Requirement for lodgment of application prescribed </w:t>
      </w:r>
      <w:r>
        <w:rPr>
          <w:snapToGrid w:val="0"/>
        </w:rPr>
        <w:t>(Act s. </w:t>
      </w:r>
      <w:r>
        <w:t>76(1)(b))</w:t>
      </w:r>
      <w:bookmarkEnd w:id="51"/>
    </w:p>
    <w:p>
      <w:pPr>
        <w:pStyle w:val="Subsection"/>
      </w:pPr>
      <w:r>
        <w:tab/>
        <w:t>(1)</w:t>
      </w:r>
      <w:r>
        <w:tab/>
        <w:t xml:space="preserve">In this regulation — </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keepNext/>
      </w:pPr>
      <w:r>
        <w:tab/>
        <w:t>(b)</w:t>
      </w:r>
      <w:r>
        <w:tab/>
        <w:t>if the anticipated number of patrons is greater than 5 000 — not later than 60 days before the permit is to take effect.</w:t>
      </w:r>
    </w:p>
    <w:p>
      <w:pPr>
        <w:pStyle w:val="Footnotesection"/>
        <w:ind w:left="890" w:hanging="890"/>
      </w:pPr>
      <w:r>
        <w:tab/>
        <w:t>[Regulation 14AC inserted: Gazette 1 May 2007 p. 1877; amended: Gazette 22 Oct 2010 p. 5227; 2 Oct 2018 p. 3801.]</w:t>
      </w:r>
    </w:p>
    <w:p>
      <w:pPr>
        <w:pStyle w:val="Heading5"/>
        <w:spacing w:before="240"/>
      </w:pPr>
      <w:bookmarkStart w:id="52" w:name="_Toc32303738"/>
      <w:r>
        <w:rPr>
          <w:rStyle w:val="CharSectno"/>
        </w:rPr>
        <w:t>14ADA</w:t>
      </w:r>
      <w:r>
        <w:t>.</w:t>
      </w:r>
      <w:r>
        <w:tab/>
        <w:t>Manager’s approval, application for (Act s. 102B)</w:t>
      </w:r>
      <w:bookmarkEnd w:id="52"/>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keepNext/>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Gazette 3 Jun 2011 p. 1995.]</w:t>
      </w:r>
    </w:p>
    <w:p>
      <w:pPr>
        <w:pStyle w:val="Heading5"/>
      </w:pPr>
      <w:bookmarkStart w:id="53" w:name="_Toc32303739"/>
      <w:r>
        <w:rPr>
          <w:rStyle w:val="CharSectno"/>
        </w:rPr>
        <w:t>14ADB</w:t>
      </w:r>
      <w:r>
        <w:t>.</w:t>
      </w:r>
      <w:r>
        <w:tab/>
        <w:t>Manager’s approval, conditions on (Act s. 102C)</w:t>
      </w:r>
      <w:bookmarkEnd w:id="53"/>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Gazette 3 Jun 2011 p. 1995</w:t>
      </w:r>
      <w:r>
        <w:noBreakHyphen/>
        <w:t>6.]</w:t>
      </w:r>
    </w:p>
    <w:p>
      <w:pPr>
        <w:pStyle w:val="Heading5"/>
      </w:pPr>
      <w:bookmarkStart w:id="54" w:name="_Toc32303740"/>
      <w:r>
        <w:rPr>
          <w:rStyle w:val="CharSectno"/>
        </w:rPr>
        <w:t>14ADC</w:t>
      </w:r>
      <w:r>
        <w:t>.</w:t>
      </w:r>
      <w:r>
        <w:tab/>
        <w:t>Manager’s approval, duration of (Act s. 102D)</w:t>
      </w:r>
      <w:bookmarkEnd w:id="54"/>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Gazette 3 Jun 2011 p. 1996.]</w:t>
      </w:r>
    </w:p>
    <w:p>
      <w:pPr>
        <w:pStyle w:val="Heading5"/>
      </w:pPr>
      <w:bookmarkStart w:id="55" w:name="_Toc32303741"/>
      <w:r>
        <w:rPr>
          <w:rStyle w:val="CharSectno"/>
        </w:rPr>
        <w:t>14ADD</w:t>
      </w:r>
      <w:r>
        <w:t>.</w:t>
      </w:r>
      <w:r>
        <w:tab/>
        <w:t>Manager’s approval, renewal of (Act s. 102E)</w:t>
      </w:r>
      <w:bookmarkEnd w:id="55"/>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Gazette 3 Jun 2011 p. 1996.]</w:t>
      </w:r>
    </w:p>
    <w:p>
      <w:pPr>
        <w:pStyle w:val="Heading5"/>
      </w:pPr>
      <w:bookmarkStart w:id="56" w:name="_Toc32303742"/>
      <w:r>
        <w:rPr>
          <w:rStyle w:val="CharSectno"/>
        </w:rPr>
        <w:t>14ADE</w:t>
      </w:r>
      <w:r>
        <w:t>.</w:t>
      </w:r>
      <w:r>
        <w:tab/>
        <w:t>Approved manager, identification card for</w:t>
      </w:r>
      <w:bookmarkEnd w:id="56"/>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Gazette 3 Jun 2011 p. 1996</w:t>
      </w:r>
      <w:r>
        <w:noBreakHyphen/>
        <w:t>7.]</w:t>
      </w:r>
    </w:p>
    <w:p>
      <w:pPr>
        <w:pStyle w:val="Heading5"/>
      </w:pPr>
      <w:bookmarkStart w:id="57" w:name="_Toc32303743"/>
      <w:r>
        <w:rPr>
          <w:rStyle w:val="CharSectno"/>
        </w:rPr>
        <w:t>14ADF</w:t>
      </w:r>
      <w:r>
        <w:t>.</w:t>
      </w:r>
      <w:r>
        <w:tab/>
        <w:t>Lost etc. identification card, replacement of</w:t>
      </w:r>
      <w:bookmarkEnd w:id="57"/>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Gazette 3 Jun 2011 p. 1997.]</w:t>
      </w:r>
    </w:p>
    <w:p>
      <w:pPr>
        <w:pStyle w:val="Heading5"/>
      </w:pPr>
      <w:bookmarkStart w:id="58" w:name="_Toc32303744"/>
      <w:r>
        <w:rPr>
          <w:rStyle w:val="CharSectno"/>
        </w:rPr>
        <w:t>14ADG</w:t>
      </w:r>
      <w:r>
        <w:t>.</w:t>
      </w:r>
      <w:r>
        <w:tab/>
        <w:t>Transitioned approvals (Act Sch. 1B)</w:t>
      </w:r>
      <w:bookmarkEnd w:id="58"/>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Gazette 3 Jun 2011 p. 1997</w:t>
      </w:r>
      <w:r>
        <w:noBreakHyphen/>
        <w:t>8; amended: Gazette 6 Nov 2015 p. 4584.]</w:t>
      </w:r>
    </w:p>
    <w:p>
      <w:pPr>
        <w:pStyle w:val="Heading5"/>
      </w:pPr>
      <w:bookmarkStart w:id="59" w:name="_Toc32303745"/>
      <w:r>
        <w:rPr>
          <w:rStyle w:val="CharSectno"/>
        </w:rPr>
        <w:t>14AD</w:t>
      </w:r>
      <w:r>
        <w:t>.</w:t>
      </w:r>
      <w:r>
        <w:tab/>
        <w:t xml:space="preserve">Responsible practices in selling etc. liquor, courses on required </w:t>
      </w:r>
      <w:r>
        <w:rPr>
          <w:snapToGrid w:val="0"/>
        </w:rPr>
        <w:t>(Act s. </w:t>
      </w:r>
      <w:r>
        <w:t>103A(1)(a))</w:t>
      </w:r>
      <w:bookmarkEnd w:id="59"/>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maximum number of patrons on any day of the period for which the licence is granted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maximum number of patrons on any day of the period for which the licence is granted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Gazette 1 May 2007 p. 1878; amended: Gazette 22 Oct 2010 p. 5227; 3 Jun 2011 p. 1998; 10 Jan 2017 p. 144; 2 Oct 2018 p. 3801.]</w:t>
      </w:r>
    </w:p>
    <w:p>
      <w:pPr>
        <w:pStyle w:val="Heading5"/>
      </w:pPr>
      <w:bookmarkStart w:id="60" w:name="_Toc32303746"/>
      <w:r>
        <w:rPr>
          <w:rStyle w:val="CharSectno"/>
        </w:rPr>
        <w:t>14AE</w:t>
      </w:r>
      <w:r>
        <w:t>.</w:t>
      </w:r>
      <w:r>
        <w:tab/>
        <w:t>Offences for r. 14AD</w:t>
      </w:r>
      <w:bookmarkEnd w:id="60"/>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Gazette 1 May 2007 p. 1879; amended: Gazette 2 Oct 2007 p. 4974; 22 Oct 2010 p. 5228; 10 Jan 2017 p. 144</w:t>
      </w:r>
      <w:r>
        <w:noBreakHyphen/>
        <w:t>5.]</w:t>
      </w:r>
    </w:p>
    <w:p>
      <w:pPr>
        <w:pStyle w:val="Ednotesection"/>
      </w:pPr>
      <w:r>
        <w:t>[</w:t>
      </w:r>
      <w:r>
        <w:rPr>
          <w:b/>
        </w:rPr>
        <w:t>14AF.</w:t>
      </w:r>
      <w:r>
        <w:tab/>
        <w:t>Deleted: Gazette 10 Jan 2017 p. 145.]</w:t>
      </w:r>
    </w:p>
    <w:p>
      <w:pPr>
        <w:pStyle w:val="Heading5"/>
        <w:spacing w:before="210"/>
      </w:pPr>
      <w:bookmarkStart w:id="61" w:name="_Toc32303747"/>
      <w:r>
        <w:rPr>
          <w:rStyle w:val="CharSectno"/>
        </w:rPr>
        <w:t>14AG</w:t>
      </w:r>
      <w:r>
        <w:t>.</w:t>
      </w:r>
      <w:r>
        <w:tab/>
        <w:t>Licensee to maintain register </w:t>
      </w:r>
      <w:r>
        <w:rPr>
          <w:snapToGrid w:val="0"/>
        </w:rPr>
        <w:t>(Act s. </w:t>
      </w:r>
      <w:r>
        <w:t>103A(1)(b))</w:t>
      </w:r>
      <w:bookmarkEnd w:id="61"/>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Gazette 1 May 2007 p. 1880; amended: Gazette 28 Sep 2007 p. 4929.]</w:t>
      </w:r>
    </w:p>
    <w:p>
      <w:pPr>
        <w:pStyle w:val="Ednotesection"/>
        <w:spacing w:before="210"/>
      </w:pPr>
      <w:r>
        <w:t>[</w:t>
      </w:r>
      <w:r>
        <w:rPr>
          <w:b/>
          <w:bCs/>
        </w:rPr>
        <w:t>15.</w:t>
      </w:r>
      <w:r>
        <w:tab/>
        <w:t>Deleted: Gazette 28 Sep 2007 p. 4929.]</w:t>
      </w:r>
    </w:p>
    <w:p>
      <w:pPr>
        <w:pStyle w:val="Heading5"/>
        <w:keepLines w:val="0"/>
        <w:widowControl w:val="0"/>
        <w:spacing w:before="210"/>
        <w:rPr>
          <w:snapToGrid w:val="0"/>
        </w:rPr>
      </w:pPr>
      <w:bookmarkStart w:id="62" w:name="_Toc32303748"/>
      <w:r>
        <w:rPr>
          <w:rStyle w:val="CharSectno"/>
        </w:rPr>
        <w:t>16</w:t>
      </w:r>
      <w:r>
        <w:rPr>
          <w:snapToGrid w:val="0"/>
        </w:rPr>
        <w:t>.</w:t>
      </w:r>
      <w:r>
        <w:rPr>
          <w:snapToGrid w:val="0"/>
        </w:rPr>
        <w:tab/>
        <w:t>Amount of liability prescribed (Act s. 107)</w:t>
      </w:r>
      <w:bookmarkEnd w:id="62"/>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63" w:name="_Toc32303749"/>
      <w:r>
        <w:rPr>
          <w:rStyle w:val="CharSectno"/>
        </w:rPr>
        <w:t>16A</w:t>
      </w:r>
      <w:r>
        <w:t>.</w:t>
      </w:r>
      <w:r>
        <w:tab/>
        <w:t xml:space="preserve">Sports arenas prescribed (Act s. 110(4B) </w:t>
      </w:r>
      <w:r>
        <w:rPr>
          <w:i/>
        </w:rPr>
        <w:t>sports arena</w:t>
      </w:r>
      <w:r>
        <w:t>)</w:t>
      </w:r>
      <w:bookmarkEnd w:id="63"/>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Gazette 19 Jan 2018 p. 231</w:t>
      </w:r>
      <w:r>
        <w:noBreakHyphen/>
        <w:t>2.]</w:t>
      </w:r>
    </w:p>
    <w:p>
      <w:pPr>
        <w:pStyle w:val="Ednotesection"/>
      </w:pPr>
      <w:r>
        <w:t>[</w:t>
      </w:r>
      <w:r>
        <w:rPr>
          <w:b/>
        </w:rPr>
        <w:t>17A</w:t>
      </w:r>
      <w:r>
        <w:tab/>
        <w:t>Deleted: Gazette 19 Jan 2018 p. 231.]</w:t>
      </w:r>
    </w:p>
    <w:p>
      <w:pPr>
        <w:pStyle w:val="Heading5"/>
        <w:rPr>
          <w:snapToGrid w:val="0"/>
        </w:rPr>
      </w:pPr>
      <w:bookmarkStart w:id="64" w:name="_Toc32303750"/>
      <w:r>
        <w:rPr>
          <w:rStyle w:val="CharSectno"/>
        </w:rPr>
        <w:t>17</w:t>
      </w:r>
      <w:r>
        <w:rPr>
          <w:snapToGrid w:val="0"/>
        </w:rPr>
        <w:t>.</w:t>
      </w:r>
      <w:r>
        <w:rPr>
          <w:snapToGrid w:val="0"/>
        </w:rPr>
        <w:tab/>
        <w:t>Out of bounds area, notice for (Act s. 121(6))</w:t>
      </w:r>
      <w:bookmarkEnd w:id="64"/>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Gazette 1 May 2007 p. 1881.]</w:t>
      </w:r>
    </w:p>
    <w:p>
      <w:pPr>
        <w:pStyle w:val="Heading5"/>
        <w:keepLines w:val="0"/>
        <w:spacing w:before="160"/>
      </w:pPr>
      <w:bookmarkStart w:id="65" w:name="_Toc32303751"/>
      <w:r>
        <w:rPr>
          <w:rStyle w:val="CharSectno"/>
        </w:rPr>
        <w:t>18</w:t>
      </w:r>
      <w:r>
        <w:t>.</w:t>
      </w:r>
      <w:r>
        <w:tab/>
        <w:t>Premises prescribed to be regulated premises (Act s. 122(1)(f))</w:t>
      </w:r>
      <w:bookmarkEnd w:id="65"/>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Gazette 15 Jul 2011 p. 2965</w:t>
      </w:r>
      <w:r>
        <w:noBreakHyphen/>
        <w:t>6.]</w:t>
      </w:r>
    </w:p>
    <w:p>
      <w:pPr>
        <w:pStyle w:val="Heading5"/>
        <w:rPr>
          <w:snapToGrid w:val="0"/>
        </w:rPr>
      </w:pPr>
      <w:bookmarkStart w:id="66" w:name="_Toc32303752"/>
      <w:r>
        <w:rPr>
          <w:rStyle w:val="CharSectno"/>
        </w:rPr>
        <w:t>18A</w:t>
      </w:r>
      <w:r>
        <w:rPr>
          <w:snapToGrid w:val="0"/>
        </w:rPr>
        <w:t>.</w:t>
      </w:r>
      <w:r>
        <w:rPr>
          <w:snapToGrid w:val="0"/>
        </w:rPr>
        <w:tab/>
        <w:t>Documents prescribed as evidence of age etc. (Act s. 126(1)(b)(i)(III) and s. 160(1))</w:t>
      </w:r>
      <w:bookmarkEnd w:id="66"/>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Gazette 22 May 1998 p. 2943; amended: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67" w:name="_Toc32303753"/>
      <w:r>
        <w:rPr>
          <w:rStyle w:val="CharSectno"/>
        </w:rPr>
        <w:t>18B</w:t>
      </w:r>
      <w:r>
        <w:rPr>
          <w:snapToGrid w:val="0"/>
        </w:rPr>
        <w:t>.</w:t>
      </w:r>
      <w:r>
        <w:rPr>
          <w:snapToGrid w:val="0"/>
        </w:rPr>
        <w:tab/>
        <w:t>Proof of age card, issue of etc.</w:t>
      </w:r>
      <w:bookmarkEnd w:id="67"/>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3</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keepNext/>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Gazette 3 Dec 1996 p. 6690; amended: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68" w:name="_Toc32303754"/>
      <w:r>
        <w:rPr>
          <w:rStyle w:val="CharSectno"/>
        </w:rPr>
        <w:t>18C</w:t>
      </w:r>
      <w:r>
        <w:rPr>
          <w:snapToGrid w:val="0"/>
        </w:rPr>
        <w:t>.</w:t>
      </w:r>
      <w:r>
        <w:rPr>
          <w:snapToGrid w:val="0"/>
        </w:rPr>
        <w:tab/>
        <w:t>Proof of age card, form etc. of (r. 18B)</w:t>
      </w:r>
      <w:bookmarkEnd w:id="68"/>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Gazette 3 Dec 1996 p. 6690</w:t>
      </w:r>
      <w:r>
        <w:noBreakHyphen/>
        <w:t>1; amended: Gazette 22 Oct 2010 p. 5228.]</w:t>
      </w:r>
    </w:p>
    <w:p>
      <w:pPr>
        <w:pStyle w:val="Heading5"/>
        <w:keepNext w:val="0"/>
        <w:keepLines w:val="0"/>
        <w:spacing w:before="280"/>
        <w:rPr>
          <w:snapToGrid w:val="0"/>
        </w:rPr>
      </w:pPr>
      <w:bookmarkStart w:id="69" w:name="_Toc32303755"/>
      <w:r>
        <w:rPr>
          <w:rStyle w:val="CharSectno"/>
        </w:rPr>
        <w:t>18D</w:t>
      </w:r>
      <w:r>
        <w:rPr>
          <w:snapToGrid w:val="0"/>
        </w:rPr>
        <w:t>.</w:t>
      </w:r>
      <w:r>
        <w:rPr>
          <w:snapToGrid w:val="0"/>
        </w:rPr>
        <w:tab/>
        <w:t>Lost etc. proof of age card, replacement of</w:t>
      </w:r>
      <w:bookmarkEnd w:id="69"/>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Gazette 3 Dec 1996 p. 6691.]</w:t>
      </w:r>
    </w:p>
    <w:p>
      <w:pPr>
        <w:pStyle w:val="Heading5"/>
        <w:keepLines w:val="0"/>
        <w:spacing w:before="280"/>
        <w:rPr>
          <w:snapToGrid w:val="0"/>
        </w:rPr>
      </w:pPr>
      <w:bookmarkStart w:id="70" w:name="_Toc32303756"/>
      <w:r>
        <w:rPr>
          <w:rStyle w:val="CharSectno"/>
        </w:rPr>
        <w:t>18E</w:t>
      </w:r>
      <w:r>
        <w:rPr>
          <w:snapToGrid w:val="0"/>
        </w:rPr>
        <w:t>.</w:t>
      </w:r>
      <w:r>
        <w:rPr>
          <w:snapToGrid w:val="0"/>
        </w:rPr>
        <w:tab/>
        <w:t>Agreement or arrangement prescribed (Act s. 104(2))</w:t>
      </w:r>
      <w:bookmarkEnd w:id="70"/>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Gazette 22 May 1998 p. 2943; amended: Gazette 1 May 2007 p. 1888</w:t>
      </w:r>
      <w:r>
        <w:noBreakHyphen/>
        <w:t>9.]</w:t>
      </w:r>
    </w:p>
    <w:p>
      <w:pPr>
        <w:pStyle w:val="Heading5"/>
      </w:pPr>
      <w:bookmarkStart w:id="71" w:name="_Toc32303757"/>
      <w:r>
        <w:rPr>
          <w:rStyle w:val="CharSectno"/>
        </w:rPr>
        <w:t>18EA</w:t>
      </w:r>
      <w:r>
        <w:t>.</w:t>
      </w:r>
      <w:r>
        <w:tab/>
        <w:t>Information prescribed for websites (Act s. 113A)</w:t>
      </w:r>
      <w:bookmarkEnd w:id="71"/>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2"/>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2"/>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Gazette 1 May 2007 p. 1881</w:t>
      </w:r>
      <w:r>
        <w:noBreakHyphen/>
        <w:t>2.]</w:t>
      </w:r>
    </w:p>
    <w:p>
      <w:pPr>
        <w:pStyle w:val="Heading5"/>
      </w:pPr>
      <w:bookmarkStart w:id="72" w:name="_Toc32303758"/>
      <w:r>
        <w:rPr>
          <w:rStyle w:val="CharSectno"/>
        </w:rPr>
        <w:t>18EBA</w:t>
      </w:r>
      <w:r>
        <w:t>.</w:t>
      </w:r>
      <w:r>
        <w:tab/>
        <w:t xml:space="preserve">Persons prescribed (Act s. 115AC(1A) </w:t>
      </w:r>
      <w:r>
        <w:rPr>
          <w:i/>
        </w:rPr>
        <w:t>secure webpage</w:t>
      </w:r>
      <w:r>
        <w:t>)</w:t>
      </w:r>
      <w:bookmarkEnd w:id="72"/>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Gazette 3 Jun 2011 p. 2000.]</w:t>
      </w:r>
    </w:p>
    <w:p>
      <w:pPr>
        <w:pStyle w:val="Heading5"/>
      </w:pPr>
      <w:bookmarkStart w:id="73" w:name="_Toc32303759"/>
      <w:r>
        <w:rPr>
          <w:rStyle w:val="CharSectno"/>
        </w:rPr>
        <w:t>18EB</w:t>
      </w:r>
      <w:r>
        <w:t>.</w:t>
      </w:r>
      <w:r>
        <w:tab/>
        <w:t>Incidents and information prescribed for register (Act s. 116A)</w:t>
      </w:r>
      <w:bookmarkEnd w:id="73"/>
    </w:p>
    <w:p>
      <w:pPr>
        <w:pStyle w:val="Subsection"/>
        <w:keepNext/>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Gazette 1 May 2007 p. 1882</w:t>
      </w:r>
      <w:r>
        <w:noBreakHyphen/>
        <w:t>4; amended: Gazette 28 Sep 2007 p. 4930; 22 Oct 2010 p. 5228</w:t>
      </w:r>
      <w:r>
        <w:noBreakHyphen/>
        <w:t>9; 3 Jun 2011 p. 1998; 10 Jan 2017 p. 145.]</w:t>
      </w:r>
    </w:p>
    <w:p>
      <w:pPr>
        <w:pStyle w:val="Heading5"/>
      </w:pPr>
      <w:bookmarkStart w:id="74" w:name="_Toc32303760"/>
      <w:r>
        <w:rPr>
          <w:rStyle w:val="CharSectno"/>
        </w:rPr>
        <w:t>18EC</w:t>
      </w:r>
      <w:r>
        <w:t>.</w:t>
      </w:r>
      <w:r>
        <w:tab/>
        <w:t>Prescribed incidents involving physical force</w:t>
      </w:r>
      <w:bookmarkEnd w:id="74"/>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keepNext/>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Gazette 10 Jan 2017 p. 145</w:t>
      </w:r>
      <w:r>
        <w:noBreakHyphen/>
        <w:t>6.]</w:t>
      </w:r>
    </w:p>
    <w:p>
      <w:pPr>
        <w:pStyle w:val="Heading5"/>
      </w:pPr>
      <w:bookmarkStart w:id="75" w:name="_Toc32303761"/>
      <w:r>
        <w:rPr>
          <w:rStyle w:val="CharSectno"/>
        </w:rPr>
        <w:t>18F</w:t>
      </w:r>
      <w:r>
        <w:t>.</w:t>
      </w:r>
      <w:r>
        <w:tab/>
        <w:t>Training courses prescribed (Act s. 121(11)(d))</w:t>
      </w:r>
      <w:bookmarkEnd w:id="75"/>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Gazette 9 Jun 2009 p. 1927</w:t>
      </w:r>
      <w:r>
        <w:noBreakHyphen/>
        <w:t>8; amended: Gazette 15 Jan 2010 p. 72; 3 Jun 2011 p. 2000.]</w:t>
      </w:r>
    </w:p>
    <w:p>
      <w:pPr>
        <w:pStyle w:val="Heading5"/>
        <w:keepNext w:val="0"/>
        <w:keepLines w:val="0"/>
      </w:pPr>
      <w:bookmarkStart w:id="76" w:name="_Toc32303762"/>
      <w:r>
        <w:rPr>
          <w:rStyle w:val="CharSectno"/>
        </w:rPr>
        <w:t>18G</w:t>
      </w:r>
      <w:r>
        <w:t>.</w:t>
      </w:r>
      <w:r>
        <w:tab/>
        <w:t>Confiscated document, how to be dealt with (Act s. 126(2b))</w:t>
      </w:r>
      <w:bookmarkEnd w:id="76"/>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Gazette 1 May 2007 p. 1884; amended: Gazette 6 Jan 2012 p. 49 (disallowed: Gazette 18 Sep 2012 p. 4411).]</w:t>
      </w:r>
    </w:p>
    <w:p>
      <w:pPr>
        <w:pStyle w:val="Heading5"/>
      </w:pPr>
      <w:bookmarkStart w:id="77" w:name="_Toc32303763"/>
      <w:r>
        <w:rPr>
          <w:rStyle w:val="CharSectno"/>
        </w:rPr>
        <w:t>18H</w:t>
      </w:r>
      <w:r>
        <w:t>.</w:t>
      </w:r>
      <w:r>
        <w:tab/>
        <w:t>Provisions prescribed (Act s. 126E(4))</w:t>
      </w:r>
      <w:bookmarkEnd w:id="77"/>
    </w:p>
    <w:p>
      <w:pPr>
        <w:pStyle w:val="Subsection"/>
        <w:keepNext/>
        <w:keepLines/>
      </w:pPr>
      <w:r>
        <w:tab/>
      </w:r>
      <w:r>
        <w:tab/>
        <w:t>For the purposes of section 126E(4), sections 155(7) and 50(1a) are prescribed.</w:t>
      </w:r>
    </w:p>
    <w:p>
      <w:pPr>
        <w:pStyle w:val="Footnotesection"/>
        <w:ind w:left="890" w:hanging="890"/>
      </w:pPr>
      <w:r>
        <w:tab/>
        <w:t>[Regulation 18H inserted: Gazette 1 May 2007 p. 1884; amended: Gazette 3 Jun 2011 p. 2000; 27 Sep 2011 p. 3848.]</w:t>
      </w:r>
    </w:p>
    <w:p>
      <w:pPr>
        <w:pStyle w:val="Heading5"/>
        <w:rPr>
          <w:snapToGrid w:val="0"/>
        </w:rPr>
      </w:pPr>
      <w:bookmarkStart w:id="78" w:name="_Toc32303764"/>
      <w:r>
        <w:rPr>
          <w:rStyle w:val="CharSectno"/>
        </w:rPr>
        <w:t>19</w:t>
      </w:r>
      <w:r>
        <w:rPr>
          <w:snapToGrid w:val="0"/>
        </w:rPr>
        <w:t>.</w:t>
      </w:r>
      <w:r>
        <w:rPr>
          <w:snapToGrid w:val="0"/>
        </w:rPr>
        <w:tab/>
        <w:t>Subsidy, application for</w:t>
      </w:r>
      <w:bookmarkEnd w:id="78"/>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Gazette 30 Jan 1998 p. 562; amended: Gazette 22 Oct 2002 p. 5255.]</w:t>
      </w:r>
    </w:p>
    <w:p>
      <w:pPr>
        <w:pStyle w:val="Heading5"/>
        <w:keepNext w:val="0"/>
        <w:keepLines w:val="0"/>
        <w:rPr>
          <w:snapToGrid w:val="0"/>
        </w:rPr>
      </w:pPr>
      <w:bookmarkStart w:id="79" w:name="_Toc32303765"/>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79"/>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Gazette 30 Jan 1998 p. 562; amended: Gazette 1 May 2007 p. 1888.]</w:t>
      </w:r>
    </w:p>
    <w:p>
      <w:pPr>
        <w:pStyle w:val="Heading5"/>
      </w:pPr>
      <w:bookmarkStart w:id="80" w:name="_Toc32303766"/>
      <w:r>
        <w:rPr>
          <w:rStyle w:val="CharSectno"/>
        </w:rPr>
        <w:t>21</w:t>
      </w:r>
      <w:r>
        <w:t>.</w:t>
      </w:r>
      <w:r>
        <w:tab/>
        <w:t>Wholesaler, subsidy for (Act s. 130)</w:t>
      </w:r>
      <w:bookmarkEnd w:id="80"/>
    </w:p>
    <w:p>
      <w:pPr>
        <w:pStyle w:val="Subsection"/>
        <w:keepNext/>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Gazette 28 Jul 2000 p. 4030; amended: Gazette 28 Jun 2002 p. 3106</w:t>
      </w:r>
      <w:r>
        <w:rPr>
          <w:rFonts w:ascii="Times" w:hAnsi="Times"/>
        </w:rPr>
        <w:t>; 9</w:t>
      </w:r>
      <w:r>
        <w:t> Jul 2004 p. 2774; 1 May 2007 p. 1888.]</w:t>
      </w:r>
    </w:p>
    <w:p>
      <w:pPr>
        <w:pStyle w:val="Heading5"/>
        <w:keepLines w:val="0"/>
      </w:pPr>
      <w:bookmarkStart w:id="81" w:name="_Toc32303767"/>
      <w:r>
        <w:rPr>
          <w:rStyle w:val="CharSectno"/>
        </w:rPr>
        <w:t>21A</w:t>
      </w:r>
      <w:r>
        <w:t>.</w:t>
      </w:r>
      <w:r>
        <w:tab/>
        <w:t>Wine producer, subsidy for (Act s. 130)</w:t>
      </w:r>
      <w:bookmarkEnd w:id="81"/>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pt" o:ole="">
            <v:imagedata r:id="rId22" o:title=""/>
          </v:shape>
          <o:OLEObject Type="Embed" ProgID="Equation.3" ShapeID="_x0000_i1025" DrawAspect="Content" ObjectID="_1644272323" r:id="rId23"/>
        </w:obje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Lines/>
      </w:pPr>
      <w:r>
        <w:tab/>
        <w:t>(3)</w:t>
      </w:r>
      <w:r>
        <w:tab/>
        <w:t>In subregulation (2) —</w:t>
      </w:r>
    </w:p>
    <w:p>
      <w:pPr>
        <w:pStyle w:val="Defstar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Gazette 28 Jul 2000 p. 4030</w:t>
      </w:r>
      <w:r>
        <w:noBreakHyphen/>
        <w:t>1; amended: Gazette 9 Jul 2004 p. 2774; 1 May 2007 p. 1888</w:t>
      </w:r>
      <w:r>
        <w:noBreakHyphen/>
        <w:t>9.]</w:t>
      </w:r>
    </w:p>
    <w:p>
      <w:pPr>
        <w:pStyle w:val="Ednotesection"/>
        <w:rPr>
          <w:b/>
        </w:rPr>
      </w:pPr>
      <w:r>
        <w:t>[</w:t>
      </w:r>
      <w:r>
        <w:rPr>
          <w:b/>
        </w:rPr>
        <w:t>21AB.</w:t>
      </w:r>
      <w:r>
        <w:rPr>
          <w:b/>
        </w:rPr>
        <w:tab/>
      </w:r>
      <w:r>
        <w:t>Deleted: Gazette 28 Jun 2002 p. 3106.]</w:t>
      </w:r>
    </w:p>
    <w:p>
      <w:pPr>
        <w:pStyle w:val="Heading5"/>
        <w:rPr>
          <w:snapToGrid w:val="0"/>
        </w:rPr>
      </w:pPr>
      <w:bookmarkStart w:id="82" w:name="_Toc32303768"/>
      <w:r>
        <w:rPr>
          <w:rStyle w:val="CharSectno"/>
        </w:rPr>
        <w:t>21AC</w:t>
      </w:r>
      <w:r>
        <w:rPr>
          <w:snapToGrid w:val="0"/>
        </w:rPr>
        <w:t>.</w:t>
      </w:r>
      <w:r>
        <w:rPr>
          <w:snapToGrid w:val="0"/>
        </w:rPr>
        <w:tab/>
        <w:t>Subsidy payable once in respect of sale of liquor</w:t>
      </w:r>
      <w:bookmarkEnd w:id="82"/>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Gazette 6 Oct 1998 p. 5565.]</w:t>
      </w:r>
    </w:p>
    <w:p>
      <w:pPr>
        <w:pStyle w:val="Heading5"/>
        <w:rPr>
          <w:snapToGrid w:val="0"/>
        </w:rPr>
      </w:pPr>
      <w:bookmarkStart w:id="83" w:name="_Toc32303769"/>
      <w:r>
        <w:rPr>
          <w:rStyle w:val="CharSectno"/>
        </w:rPr>
        <w:t>21B</w:t>
      </w:r>
      <w:r>
        <w:rPr>
          <w:snapToGrid w:val="0"/>
        </w:rPr>
        <w:t>.</w:t>
      </w:r>
      <w:r>
        <w:rPr>
          <w:snapToGrid w:val="0"/>
        </w:rPr>
        <w:tab/>
        <w:t xml:space="preserve">Subsidy, conditions imposed by Director as to </w:t>
      </w:r>
      <w:r>
        <w:t>(Act s. 130(2))</w:t>
      </w:r>
      <w:bookmarkEnd w:id="83"/>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Gazette 30 Jan 1998 p. 565; amended: Gazette 1 May 2007 p. 1888</w:t>
      </w:r>
      <w:r>
        <w:noBreakHyphen/>
        <w:t>9.]</w:t>
      </w:r>
    </w:p>
    <w:p>
      <w:pPr>
        <w:pStyle w:val="Heading5"/>
        <w:rPr>
          <w:snapToGrid w:val="0"/>
        </w:rPr>
      </w:pPr>
      <w:bookmarkStart w:id="84" w:name="_Toc32303770"/>
      <w:r>
        <w:rPr>
          <w:rStyle w:val="CharSectno"/>
        </w:rPr>
        <w:t>21C</w:t>
      </w:r>
      <w:r>
        <w:rPr>
          <w:snapToGrid w:val="0"/>
        </w:rPr>
        <w:t>.</w:t>
      </w:r>
      <w:r>
        <w:rPr>
          <w:snapToGrid w:val="0"/>
        </w:rPr>
        <w:tab/>
        <w:t>Licensees prescribed </w:t>
      </w:r>
      <w:r>
        <w:t>(Act s. </w:t>
      </w:r>
      <w:r>
        <w:rPr>
          <w:snapToGrid w:val="0"/>
        </w:rPr>
        <w:t>145(1))</w:t>
      </w:r>
      <w:bookmarkEnd w:id="84"/>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Gazette 30 Jan 1998 p. 565; amended: Gazette 22 May 1998 p. 2943; 6 Oct 1998 p. 5565; 1 May 2007 p. 1888</w:t>
      </w:r>
      <w:r>
        <w:noBreakHyphen/>
        <w:t>9.]</w:t>
      </w:r>
    </w:p>
    <w:p>
      <w:pPr>
        <w:pStyle w:val="Heading5"/>
        <w:spacing w:before="180"/>
        <w:rPr>
          <w:snapToGrid w:val="0"/>
        </w:rPr>
      </w:pPr>
      <w:bookmarkStart w:id="85" w:name="_Toc32303771"/>
      <w:r>
        <w:rPr>
          <w:rStyle w:val="CharSectno"/>
        </w:rPr>
        <w:t>22</w:t>
      </w:r>
      <w:r>
        <w:rPr>
          <w:snapToGrid w:val="0"/>
        </w:rPr>
        <w:t>.</w:t>
      </w:r>
      <w:r>
        <w:rPr>
          <w:snapToGrid w:val="0"/>
        </w:rPr>
        <w:tab/>
        <w:t xml:space="preserve">Records prescribed etc. </w:t>
      </w:r>
      <w:r>
        <w:t>(Act s. </w:t>
      </w:r>
      <w:r>
        <w:rPr>
          <w:snapToGrid w:val="0"/>
        </w:rPr>
        <w:t>145)</w:t>
      </w:r>
      <w:bookmarkEnd w:id="85"/>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Gazette 30 Jan 1998 p. 565</w:t>
      </w:r>
      <w:r>
        <w:noBreakHyphen/>
        <w:t>6; 22 May 1998 p. 2943; 6 Oct 1998 p. 5565</w:t>
      </w:r>
      <w:r>
        <w:noBreakHyphen/>
        <w:t>6; 1 May 2007 p. 1888</w:t>
      </w:r>
      <w:r>
        <w:noBreakHyphen/>
        <w:t>9.]</w:t>
      </w:r>
    </w:p>
    <w:p>
      <w:pPr>
        <w:pStyle w:val="Heading5"/>
        <w:rPr>
          <w:snapToGrid w:val="0"/>
        </w:rPr>
      </w:pPr>
      <w:bookmarkStart w:id="86" w:name="_Toc32303772"/>
      <w:r>
        <w:rPr>
          <w:rStyle w:val="CharSectno"/>
        </w:rPr>
        <w:t>23</w:t>
      </w:r>
      <w:r>
        <w:rPr>
          <w:snapToGrid w:val="0"/>
        </w:rPr>
        <w:t>.</w:t>
      </w:r>
      <w:r>
        <w:rPr>
          <w:snapToGrid w:val="0"/>
        </w:rPr>
        <w:tab/>
        <w:t xml:space="preserve">Returns, verification and lodgment of </w:t>
      </w:r>
      <w:r>
        <w:t>(Act s. 146)</w:t>
      </w:r>
      <w:bookmarkEnd w:id="86"/>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Gazette 30 Jan 1998 p. 566; 22 May 1998 p. 2943; 6 Oct 1998 p. 5566.]</w:t>
      </w:r>
    </w:p>
    <w:p>
      <w:pPr>
        <w:pStyle w:val="Heading5"/>
        <w:rPr>
          <w:snapToGrid w:val="0"/>
        </w:rPr>
      </w:pPr>
      <w:bookmarkStart w:id="87" w:name="_Toc32303773"/>
      <w:r>
        <w:rPr>
          <w:rStyle w:val="CharSectno"/>
        </w:rPr>
        <w:t>24</w:t>
      </w:r>
      <w:r>
        <w:rPr>
          <w:snapToGrid w:val="0"/>
        </w:rPr>
        <w:t>.</w:t>
      </w:r>
      <w:r>
        <w:rPr>
          <w:snapToGrid w:val="0"/>
        </w:rPr>
        <w:tab/>
        <w:t xml:space="preserve">Return of information required etc. </w:t>
      </w:r>
      <w:r>
        <w:t>(Act s. 145)</w:t>
      </w:r>
      <w:bookmarkEnd w:id="87"/>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Gazette 30 Jan 1998 p. 566</w:t>
      </w:r>
      <w:r>
        <w:noBreakHyphen/>
        <w:t>7; 22 May 1998 p. 2943; 1 May 2007 p. 1888</w:t>
      </w:r>
      <w:r>
        <w:noBreakHyphen/>
        <w:t>9; 4 Mar 2016 p. 630.]</w:t>
      </w:r>
    </w:p>
    <w:p>
      <w:pPr>
        <w:pStyle w:val="Heading5"/>
      </w:pPr>
      <w:bookmarkStart w:id="88" w:name="_Toc32303774"/>
      <w:r>
        <w:rPr>
          <w:rStyle w:val="CharSectno"/>
        </w:rPr>
        <w:t>25A</w:t>
      </w:r>
      <w:r>
        <w:t>.</w:t>
      </w:r>
      <w:r>
        <w:tab/>
        <w:t>Class of persons prescribed (Act s. 152P(4)(b))</w:t>
      </w:r>
      <w:bookmarkEnd w:id="88"/>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Gazette 7 Oct 2011 p. 4069.]</w:t>
      </w:r>
    </w:p>
    <w:p>
      <w:pPr>
        <w:pStyle w:val="Heading5"/>
        <w:rPr>
          <w:snapToGrid w:val="0"/>
        </w:rPr>
      </w:pPr>
      <w:bookmarkStart w:id="89" w:name="_Toc32303775"/>
      <w:r>
        <w:rPr>
          <w:rStyle w:val="CharSectno"/>
        </w:rPr>
        <w:t>25</w:t>
      </w:r>
      <w:r>
        <w:rPr>
          <w:snapToGrid w:val="0"/>
        </w:rPr>
        <w:t>.</w:t>
      </w:r>
      <w:r>
        <w:rPr>
          <w:snapToGrid w:val="0"/>
        </w:rPr>
        <w:tab/>
        <w:t>Money payable under Act, how payable</w:t>
      </w:r>
      <w:bookmarkEnd w:id="8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Gazette 24 Aug 1990 p. 4337; 30 Oct 1998 p. 6015; 1 May 2007 p. 1885.]</w:t>
      </w:r>
    </w:p>
    <w:p>
      <w:pPr>
        <w:pStyle w:val="Heading5"/>
        <w:keepLines w:val="0"/>
        <w:rPr>
          <w:snapToGrid w:val="0"/>
        </w:rPr>
      </w:pPr>
      <w:bookmarkStart w:id="90" w:name="_Toc32303776"/>
      <w:r>
        <w:rPr>
          <w:rStyle w:val="CharSectno"/>
        </w:rPr>
        <w:t>26</w:t>
      </w:r>
      <w:r>
        <w:rPr>
          <w:snapToGrid w:val="0"/>
        </w:rPr>
        <w:t>.</w:t>
      </w:r>
      <w:r>
        <w:rPr>
          <w:snapToGrid w:val="0"/>
        </w:rPr>
        <w:tab/>
        <w:t>Fees generally (Sch. 3)</w:t>
      </w:r>
      <w:bookmarkEnd w:id="90"/>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$289.00; or</w:t>
      </w:r>
    </w:p>
    <w:p>
      <w:pPr>
        <w:pStyle w:val="Indenta"/>
      </w:pPr>
      <w:r>
        <w:tab/>
        <w:t>(b)</w:t>
      </w:r>
      <w:r>
        <w:tab/>
        <w:t>if 3 or more such permits have been issued — an additional amount of $581.50.</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 7 Sep 2018 p. 3196; 22 Oct 2019 p. 3724.]</w:t>
      </w:r>
    </w:p>
    <w:p>
      <w:pPr>
        <w:pStyle w:val="Heading5"/>
      </w:pPr>
      <w:bookmarkStart w:id="91" w:name="_Toc32303777"/>
      <w:r>
        <w:rPr>
          <w:rStyle w:val="CharSectno"/>
        </w:rPr>
        <w:t>27A</w:t>
      </w:r>
      <w:r>
        <w:t>.</w:t>
      </w:r>
      <w:r>
        <w:tab/>
        <w:t>Reduction in licence fee for new licences</w:t>
      </w:r>
      <w:bookmarkEnd w:id="91"/>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Gazette 21 Mar 2014 p. 742.]</w:t>
      </w:r>
    </w:p>
    <w:p>
      <w:pPr>
        <w:pStyle w:val="Heading5"/>
      </w:pPr>
      <w:bookmarkStart w:id="92" w:name="_Toc32303778"/>
      <w:r>
        <w:rPr>
          <w:rStyle w:val="CharSectno"/>
        </w:rPr>
        <w:t>27</w:t>
      </w:r>
      <w:r>
        <w:rPr>
          <w:snapToGrid w:val="0"/>
        </w:rPr>
        <w:t>.</w:t>
      </w:r>
      <w:r>
        <w:rPr>
          <w:snapToGrid w:val="0"/>
        </w:rPr>
        <w:tab/>
      </w:r>
      <w:r>
        <w:t>Prescribed offences for infringement notices (Act s. 167(2))</w:t>
      </w:r>
      <w:bookmarkEnd w:id="92"/>
    </w:p>
    <w:p>
      <w:pPr>
        <w:pStyle w:val="Ednotesubsection"/>
        <w:rPr>
          <w:snapToGrid/>
        </w:rPr>
      </w:pPr>
      <w:r>
        <w:rPr>
          <w:snapToGrid/>
        </w:rPr>
        <w:tab/>
        <w:t>[(1)</w:t>
      </w:r>
      <w:r>
        <w:rPr>
          <w:snapToGrid/>
        </w:rPr>
        <w:tab/>
        <w:t>deleted]</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115(4B)</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Liquor Control (Jarlmadangah Burru Restricted Area) Regulations 2019</w:t>
            </w:r>
            <w:r>
              <w:t xml:space="preserve"> 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bCs/>
                <w:i/>
              </w:rPr>
              <w:t>Liquor Control (Ngurrawaana Restricted Area) Regulations 2018</w:t>
            </w:r>
            <w:r>
              <w:rPr>
                <w:bCs/>
              </w:rPr>
              <w:t xml:space="preserve"> 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keepNext/>
              <w:rPr>
                <w:i/>
              </w:rPr>
            </w:pPr>
            <w:r>
              <w:rPr>
                <w:i/>
                <w:szCs w:val="24"/>
              </w:rPr>
              <w:t xml:space="preserve">Liquor Control (Wakathuni Restricted Area) Regulations 2018 </w:t>
            </w:r>
            <w:r>
              <w:rPr>
                <w:szCs w:val="24"/>
              </w:rPr>
              <w:t>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 14 Sep 2018 p. 3319; 2 Oct 2018 p. 3801; 14 Jun 2019 p. 1900; 13 Dec 2019 p. 4243.]</w:t>
      </w:r>
    </w:p>
    <w:p>
      <w:pPr>
        <w:pStyle w:val="Ednotesection"/>
        <w:spacing w:before="180"/>
        <w:ind w:left="890" w:hanging="890"/>
      </w:pPr>
      <w:r>
        <w:t>[</w:t>
      </w:r>
      <w:r>
        <w:rPr>
          <w:b/>
        </w:rPr>
        <w:t>28.</w:t>
      </w:r>
      <w:r>
        <w:rPr>
          <w:b/>
        </w:rPr>
        <w:tab/>
      </w:r>
      <w:r>
        <w:t>Deleted: Gazette 30 Jan 1998 p. 568.]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93" w:name="_Toc32303779"/>
      <w:r>
        <w:rPr>
          <w:rStyle w:val="CharSchNo"/>
        </w:rPr>
        <w:t>Schedule 1</w:t>
      </w:r>
      <w:bookmarkEnd w:id="93"/>
    </w:p>
    <w:p>
      <w:pPr>
        <w:pStyle w:val="yShoulderClause"/>
        <w:spacing w:before="60"/>
        <w:rPr>
          <w:snapToGrid w:val="0"/>
        </w:rPr>
      </w:pPr>
      <w:r>
        <w:rPr>
          <w:snapToGrid w:val="0"/>
        </w:rPr>
        <w:t>[Regulation 3]</w:t>
      </w:r>
    </w:p>
    <w:p>
      <w:pPr>
        <w:pStyle w:val="yHeading2"/>
        <w:outlineLvl w:val="9"/>
      </w:pPr>
      <w:bookmarkStart w:id="94" w:name="_Toc32303780"/>
      <w:r>
        <w:rPr>
          <w:rStyle w:val="CharSchText"/>
        </w:rPr>
        <w:t>Forms</w:t>
      </w:r>
      <w:bookmarkEnd w:id="94"/>
    </w:p>
    <w:p>
      <w:pPr>
        <w:pStyle w:val="yEdnotedivision"/>
      </w:pPr>
      <w:r>
        <w:t>[Forms 1</w:t>
      </w:r>
      <w:r>
        <w:noBreakHyphen/>
        <w:t>18 deleted: Gazette 1 May 2007 p. 1887.]</w:t>
      </w:r>
    </w:p>
    <w:p>
      <w:pPr>
        <w:pStyle w:val="yMiscellaneousBody"/>
        <w:jc w:val="center"/>
      </w:pPr>
      <w:r>
        <w:rPr>
          <w:rStyle w:val="CharSClsNo"/>
          <w:b/>
        </w:rPr>
        <w:t>Form 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1</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Gazette 9 Jul 2004 p. 2774</w:t>
      </w:r>
      <w:r>
        <w:noBreakHyphen/>
        <w:t>5.]</w:t>
      </w:r>
    </w:p>
    <w:p>
      <w:pPr>
        <w:pStyle w:val="yMiscellaneousBody"/>
        <w:pageBreakBefore/>
        <w:jc w:val="center"/>
      </w:pPr>
      <w:r>
        <w:rPr>
          <w:rStyle w:val="CharSClsNo"/>
          <w:b/>
        </w:rPr>
        <w:t>Form 19A</w:t>
      </w:r>
    </w:p>
    <w:p>
      <w:pPr>
        <w:pStyle w:val="yMiscellaneousHeading"/>
        <w:rPr>
          <w:iCs/>
          <w:snapToGrid w:val="0"/>
          <w:sz w:val="20"/>
        </w:rPr>
      </w:pPr>
      <w:r>
        <w:rPr>
          <w:i/>
          <w:iCs/>
          <w:snapToGrid w:val="0"/>
          <w:sz w:val="20"/>
        </w:rPr>
        <w:t>Liquor Control Act 1988 </w:t>
      </w:r>
      <w:r>
        <w:rPr>
          <w:snapToGrid w:val="0"/>
          <w:sz w:val="20"/>
          <w:vertAlign w:val="superscript"/>
        </w:rPr>
        <w:t>1</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Gazette 9 Jul 2004 p. 2776</w:t>
      </w:r>
      <w:r>
        <w:noBreakHyphen/>
        <w:t>7.]</w:t>
      </w:r>
    </w:p>
    <w:p>
      <w:pPr>
        <w:pStyle w:val="yMiscellaneousBody"/>
        <w:pageBreakBefore/>
        <w:jc w:val="center"/>
        <w:rPr>
          <w:b/>
          <w:bCs/>
          <w:snapToGrid w:val="0"/>
        </w:rPr>
      </w:pPr>
      <w:r>
        <w:rPr>
          <w:rStyle w:val="CharSClsNo"/>
          <w:b/>
        </w:rPr>
        <w:t>Form 20</w:t>
      </w:r>
    </w:p>
    <w:p>
      <w:pPr>
        <w:pStyle w:val="yMiscellaneousHeading"/>
        <w:keepLines/>
        <w:rPr>
          <w:iCs/>
          <w:snapToGrid w:val="0"/>
          <w:sz w:val="20"/>
        </w:rPr>
      </w:pPr>
      <w:r>
        <w:rPr>
          <w:i/>
          <w:iCs/>
          <w:snapToGrid w:val="0"/>
          <w:sz w:val="20"/>
        </w:rPr>
        <w:t>Liquor Control Act 1988</w:t>
      </w:r>
      <w:r>
        <w:rPr>
          <w:snapToGrid w:val="0"/>
          <w:sz w:val="20"/>
          <w:vertAlign w:val="superscript"/>
        </w:rPr>
        <w:t> 1</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1</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Gazette 28 Sep 2007 p. 4930</w:t>
      </w:r>
      <w:r>
        <w:noBreakHyphen/>
        <w:t>1.]</w:t>
      </w:r>
    </w:p>
    <w:p>
      <w:pPr>
        <w:pStyle w:val="yEdnotesection"/>
      </w:pPr>
      <w:r>
        <w:t>[Forms 21 and 22 deleted: Gazette 2 Oct 2018 p. 3801.]</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95" w:name="_Toc32303781"/>
      <w:r>
        <w:rPr>
          <w:rStyle w:val="CharSchNo"/>
        </w:rPr>
        <w:t>Schedule 2</w:t>
      </w:r>
      <w:bookmarkEnd w:id="95"/>
    </w:p>
    <w:p>
      <w:pPr>
        <w:pStyle w:val="yShoulderClause"/>
        <w:spacing w:before="60"/>
        <w:rPr>
          <w:snapToGrid w:val="0"/>
        </w:rPr>
      </w:pPr>
      <w:r>
        <w:rPr>
          <w:snapToGrid w:val="0"/>
        </w:rPr>
        <w:t>[Regulation 13]</w:t>
      </w:r>
    </w:p>
    <w:p>
      <w:pPr>
        <w:pStyle w:val="yHeading2"/>
        <w:spacing w:before="120" w:after="80"/>
      </w:pPr>
      <w:bookmarkStart w:id="96" w:name="_Toc32303782"/>
      <w:r>
        <w:rPr>
          <w:rStyle w:val="CharSchText"/>
        </w:rPr>
        <w:t>Details of applicant</w:t>
      </w:r>
      <w:bookmarkEnd w:id="96"/>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Gazette 22 May 1998 p. 2944; 6 Oct 1998 p. 5567; 28 Sep 2001 p. 5357</w:t>
      </w:r>
      <w:r>
        <w:noBreakHyphen/>
        <w:t>8; 30 Jun 2003 p. 2612; 24 Oct 2008 p. 4683</w:t>
      </w:r>
      <w:r>
        <w:noBreakHyphen/>
        <w:t>4.]</w:t>
      </w:r>
    </w:p>
    <w:p>
      <w:pPr>
        <w:pStyle w:val="yScheduleHeading"/>
      </w:pPr>
      <w:bookmarkStart w:id="97" w:name="_Toc32303783"/>
      <w:r>
        <w:rPr>
          <w:rStyle w:val="CharSchNo"/>
        </w:rPr>
        <w:t>Schedule 3</w:t>
      </w:r>
      <w:r>
        <w:t> — </w:t>
      </w:r>
      <w:r>
        <w:rPr>
          <w:rStyle w:val="CharSchText"/>
        </w:rPr>
        <w:t>Fees</w:t>
      </w:r>
      <w:bookmarkEnd w:id="97"/>
    </w:p>
    <w:p>
      <w:pPr>
        <w:pStyle w:val="yShoulderClause"/>
      </w:pPr>
      <w:r>
        <w:t>[r. 11, 14ADF, 18B, 26 and 27A]</w:t>
      </w:r>
    </w:p>
    <w:p>
      <w:pPr>
        <w:pStyle w:val="yFootnoteheading"/>
      </w:pPr>
      <w:r>
        <w:tab/>
        <w:t>[Heading inserted: Gazette 22 Oct 2019 p. 3725.]</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270"/>
        <w:gridCol w:w="1114"/>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270"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1114"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3 620.50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w:t>
            </w:r>
            <w:r>
              <w:rPr>
                <w:szCs w:val="22"/>
              </w:rPr>
              <w:t xml:space="preserve">small bar licence, </w:t>
            </w:r>
            <w:r>
              <w:t xml:space="preserve">club licence, restaurant licence, producer’s licence or wholesaler’s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928.50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889.00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612.00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301.00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270"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p>
            <w:pPr>
              <w:pStyle w:val="yTableNAm"/>
              <w:tabs>
                <w:tab w:val="clear" w:pos="567"/>
                <w:tab w:val="right" w:pos="659"/>
              </w:tabs>
              <w:ind w:right="48"/>
              <w:jc w:val="right"/>
              <w:rPr>
                <w:szCs w:val="22"/>
              </w:rPr>
            </w:pPr>
            <w:r>
              <w:rPr>
                <w:szCs w:val="22"/>
              </w:rPr>
              <w:t>54.50</w:t>
            </w:r>
          </w:p>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235.00</w:t>
            </w:r>
          </w:p>
          <w:p>
            <w:pPr>
              <w:pStyle w:val="yTableNAm"/>
              <w:tabs>
                <w:tab w:val="clear" w:pos="567"/>
                <w:tab w:val="right" w:pos="659"/>
              </w:tabs>
              <w:ind w:right="48"/>
              <w:jc w:val="right"/>
            </w:pPr>
            <w:r>
              <w:rPr>
                <w:szCs w:val="22"/>
              </w:rPr>
              <w:t>1 190.50</w:t>
            </w:r>
          </w:p>
          <w:p>
            <w:pPr>
              <w:pStyle w:val="yTableNAm"/>
              <w:tabs>
                <w:tab w:val="clear" w:pos="567"/>
                <w:tab w:val="right" w:pos="659"/>
              </w:tabs>
              <w:ind w:right="48"/>
              <w:jc w:val="right"/>
            </w:pPr>
            <w:r>
              <w:rPr>
                <w:szCs w:val="22"/>
              </w:rPr>
              <w:t>2 384.00</w:t>
            </w:r>
          </w:p>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270"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clear" w:pos="567"/>
                <w:tab w:val="left" w:pos="518"/>
                <w:tab w:val="right" w:leader="dot" w:pos="6237"/>
              </w:tabs>
              <w:ind w:left="941" w:hanging="941"/>
            </w:pPr>
            <w:r>
              <w:tab/>
              <w:t>(i)</w:t>
            </w:r>
            <w:r>
              <w:tab/>
              <w:t xml:space="preserve">if the restaurant licence to which the permit relates is subject to a condition limiting the maximum number of persons (excluding responsible persons and authorised officers) who may be on the licensed premises to 120 </w:t>
            </w:r>
            <w:r>
              <w:tab/>
            </w:r>
          </w:p>
          <w:p>
            <w:pPr>
              <w:pStyle w:val="yTableNAm"/>
              <w:tabs>
                <w:tab w:val="clear" w:pos="567"/>
                <w:tab w:val="left" w:pos="518"/>
                <w:tab w:val="right" w:leader="dot" w:pos="6237"/>
              </w:tabs>
              <w:ind w:left="941" w:hanging="941"/>
            </w:pPr>
            <w:r>
              <w:tab/>
              <w:t>(ii)</w:t>
            </w:r>
            <w:r>
              <w:tab/>
              <w:t>if subparagraph (i) does not apply</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 w:val="right" w:leader="dot" w:pos="6237"/>
              </w:tabs>
              <w:ind w:right="48"/>
              <w:jc w:val="right"/>
            </w:pPr>
          </w:p>
          <w:p>
            <w:pPr>
              <w:pStyle w:val="yTableNAm"/>
              <w:tabs>
                <w:tab w:val="clear" w:pos="567"/>
                <w:tab w:val="right" w:pos="659"/>
                <w:tab w:val="right" w:leader="dot" w:pos="6237"/>
              </w:tabs>
              <w:ind w:right="48"/>
              <w:jc w:val="right"/>
              <w:rPr>
                <w:szCs w:val="22"/>
              </w:rPr>
            </w:pPr>
            <w:r>
              <w:rPr>
                <w:szCs w:val="22"/>
              </w:rPr>
              <w:t>54.50</w:t>
            </w:r>
          </w:p>
          <w:p>
            <w:pPr>
              <w:pStyle w:val="yTableNAm"/>
              <w:tabs>
                <w:tab w:val="clear" w:pos="567"/>
                <w:tab w:val="right" w:pos="659"/>
                <w:tab w:val="right" w:leader="dot" w:pos="6237"/>
              </w:tabs>
              <w:ind w:right="48"/>
              <w:jc w:val="right"/>
            </w:pPr>
            <w:r>
              <w:rPr>
                <w:szCs w:val="22"/>
              </w:rPr>
              <w:t>488.00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364.00</w:t>
            </w:r>
          </w:p>
          <w:p>
            <w:pPr>
              <w:pStyle w:val="yTableNAm"/>
              <w:tabs>
                <w:tab w:val="clear" w:pos="567"/>
                <w:tab w:val="right" w:pos="659"/>
              </w:tabs>
              <w:ind w:right="48"/>
              <w:jc w:val="right"/>
            </w:pPr>
            <w:r>
              <w:br/>
            </w:r>
            <w:r>
              <w:rPr>
                <w:szCs w:val="22"/>
              </w:rPr>
              <w:t>364.00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rPr>
                <w:szCs w:val="22"/>
              </w:rPr>
            </w:pPr>
            <w:r>
              <w:rPr>
                <w:szCs w:val="22"/>
              </w:rPr>
              <w:t>364.00</w:t>
            </w:r>
          </w:p>
          <w:p>
            <w:pPr>
              <w:pStyle w:val="yTableNAm"/>
              <w:tabs>
                <w:tab w:val="clear" w:pos="567"/>
                <w:tab w:val="right" w:pos="659"/>
              </w:tabs>
              <w:ind w:right="48"/>
              <w:jc w:val="right"/>
              <w:rPr>
                <w:szCs w:val="22"/>
              </w:rPr>
            </w:pPr>
            <w:r>
              <w:rPr>
                <w:szCs w:val="22"/>
              </w:rPr>
              <w:t>306.50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rPr>
                <w:szCs w:val="22"/>
              </w:rPr>
            </w:pPr>
            <w:r>
              <w:rPr>
                <w:szCs w:val="22"/>
              </w:rPr>
              <w:t>1 224.00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 is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44.50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186.50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61.50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59"/>
                <w:tab w:val="right" w:leader="dot" w:pos="6237"/>
              </w:tabs>
            </w:pPr>
            <w:r>
              <w:t>(c)</w:t>
            </w:r>
            <w:r>
              <w:tab/>
              <w:t xml:space="preserve">lodged under r. 14ADA(4)(b)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16.00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168.00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131.50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53.50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10.00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165.00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113.50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417.00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36.50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76.00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248.50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w:t>
            </w:r>
            <w:r>
              <w:rPr>
                <w:szCs w:val="22"/>
              </w:rPr>
              <w:t>maximum number of patrons on any day of the period to which the application relates is —</w:t>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45.50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253.50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230.00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276.00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27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keepNext/>
              <w:tabs>
                <w:tab w:val="clear" w:pos="567"/>
                <w:tab w:val="right" w:pos="659"/>
              </w:tabs>
              <w:ind w:right="48"/>
              <w:jc w:val="right"/>
            </w:pPr>
            <w:r>
              <w:rPr>
                <w:szCs w:val="22"/>
              </w:rPr>
              <w:t>66.50</w:t>
            </w:r>
          </w:p>
        </w:tc>
      </w:tr>
      <w:tr>
        <w:trPr>
          <w:cantSplit/>
        </w:trPr>
        <w:tc>
          <w:tcPr>
            <w:tcW w:w="684" w:type="dxa"/>
          </w:tcPr>
          <w:p>
            <w:pPr>
              <w:pStyle w:val="yTableNAm"/>
            </w:pPr>
            <w:r>
              <w:t>26.</w:t>
            </w:r>
          </w:p>
        </w:tc>
        <w:tc>
          <w:tcPr>
            <w:tcW w:w="5270" w:type="dxa"/>
          </w:tcPr>
          <w:p>
            <w:pPr>
              <w:pStyle w:val="yTableNAm"/>
              <w:tabs>
                <w:tab w:val="clear" w:pos="567"/>
                <w:tab w:val="right" w:leader="dot" w:pos="6237"/>
              </w:tabs>
            </w:pPr>
            <w:r>
              <w:t xml:space="preserve">Supply of a list of licensed premises or a list of owners of licensed premises </w:t>
            </w:r>
            <w:r>
              <w:tab/>
            </w:r>
          </w:p>
        </w:tc>
        <w:tc>
          <w:tcPr>
            <w:tcW w:w="1114" w:type="dxa"/>
            <w:vAlign w:val="bottom"/>
          </w:tcPr>
          <w:p>
            <w:pPr>
              <w:pStyle w:val="yTableNAm"/>
              <w:tabs>
                <w:tab w:val="clear" w:pos="567"/>
                <w:tab w:val="right" w:pos="659"/>
              </w:tabs>
              <w:ind w:right="48"/>
              <w:jc w:val="right"/>
            </w:pPr>
            <w:r>
              <w:rPr>
                <w:szCs w:val="22"/>
              </w:rPr>
              <w:t>92.00</w:t>
            </w:r>
          </w:p>
        </w:tc>
      </w:tr>
      <w:tr>
        <w:trPr>
          <w:cantSplit/>
        </w:trPr>
        <w:tc>
          <w:tcPr>
            <w:tcW w:w="684" w:type="dxa"/>
          </w:tcPr>
          <w:p>
            <w:pPr>
              <w:pStyle w:val="yTableNAm"/>
            </w:pPr>
            <w:r>
              <w:t>27.</w:t>
            </w:r>
          </w:p>
        </w:tc>
        <w:tc>
          <w:tcPr>
            <w:tcW w:w="5270" w:type="dxa"/>
          </w:tcPr>
          <w:p>
            <w:pPr>
              <w:pStyle w:val="yTableNAm"/>
              <w:tabs>
                <w:tab w:val="clear" w:pos="567"/>
                <w:tab w:val="right" w:leader="dot" w:pos="6237"/>
              </w:tabs>
            </w:pPr>
            <w:r>
              <w:t xml:space="preserve">Supply of a list of licensed premises on computer disk </w:t>
            </w:r>
            <w:r>
              <w:tab/>
            </w:r>
          </w:p>
        </w:tc>
        <w:tc>
          <w:tcPr>
            <w:tcW w:w="1114" w:type="dxa"/>
            <w:vAlign w:val="bottom"/>
          </w:tcPr>
          <w:p>
            <w:pPr>
              <w:pStyle w:val="yTableNAm"/>
              <w:tabs>
                <w:tab w:val="clear" w:pos="567"/>
                <w:tab w:val="right" w:pos="659"/>
              </w:tabs>
              <w:ind w:right="48"/>
              <w:jc w:val="right"/>
              <w:rPr>
                <w:rFonts w:ascii="Arial" w:hAnsi="Arial"/>
              </w:rPr>
            </w:pPr>
            <w:r>
              <w:rPr>
                <w:szCs w:val="22"/>
              </w:rPr>
              <w:t>60.50</w:t>
            </w:r>
          </w:p>
        </w:tc>
      </w:tr>
      <w:tr>
        <w:trPr>
          <w:cantSplit/>
        </w:trPr>
        <w:tc>
          <w:tcPr>
            <w:tcW w:w="684" w:type="dxa"/>
          </w:tcPr>
          <w:p>
            <w:pPr>
              <w:pStyle w:val="yTableNAm"/>
            </w:pPr>
            <w:r>
              <w:t>28.</w:t>
            </w:r>
          </w:p>
        </w:tc>
        <w:tc>
          <w:tcPr>
            <w:tcW w:w="5270" w:type="dxa"/>
          </w:tcPr>
          <w:p>
            <w:pPr>
              <w:pStyle w:val="yTableNAm"/>
              <w:tabs>
                <w:tab w:val="clear" w:pos="567"/>
                <w:tab w:val="right" w:leader="dot" w:pos="6237"/>
              </w:tabs>
            </w:pPr>
            <w:r>
              <w:t xml:space="preserve">Supply of address labels for licensed premises </w:t>
            </w:r>
            <w:r>
              <w:tab/>
            </w:r>
          </w:p>
        </w:tc>
        <w:tc>
          <w:tcPr>
            <w:tcW w:w="1114" w:type="dxa"/>
            <w:vAlign w:val="bottom"/>
          </w:tcPr>
          <w:p>
            <w:pPr>
              <w:pStyle w:val="yTableNAm"/>
              <w:tabs>
                <w:tab w:val="clear" w:pos="567"/>
                <w:tab w:val="right" w:pos="659"/>
              </w:tabs>
              <w:ind w:right="48"/>
              <w:jc w:val="right"/>
            </w:pPr>
            <w:r>
              <w:rPr>
                <w:szCs w:val="22"/>
              </w:rPr>
              <w:t>148.00</w:t>
            </w:r>
          </w:p>
        </w:tc>
      </w:tr>
      <w:tr>
        <w:trPr>
          <w:cantSplit/>
        </w:trPr>
        <w:tc>
          <w:tcPr>
            <w:tcW w:w="684" w:type="dxa"/>
          </w:tcPr>
          <w:p>
            <w:pPr>
              <w:pStyle w:val="yTableNAm"/>
            </w:pPr>
            <w:r>
              <w:t>29.</w:t>
            </w:r>
          </w:p>
        </w:tc>
        <w:tc>
          <w:tcPr>
            <w:tcW w:w="5270" w:type="dxa"/>
          </w:tcPr>
          <w:p>
            <w:pPr>
              <w:pStyle w:val="yTableNAm"/>
              <w:tabs>
                <w:tab w:val="clear" w:pos="567"/>
                <w:tab w:val="right" w:leader="dot" w:pos="6237"/>
              </w:tabs>
            </w:pPr>
            <w:r>
              <w:t xml:space="preserve">Supply of approved heading for advertising an application </w:t>
            </w:r>
            <w:r>
              <w:tab/>
            </w:r>
          </w:p>
        </w:tc>
        <w:tc>
          <w:tcPr>
            <w:tcW w:w="1114" w:type="dxa"/>
            <w:vAlign w:val="bottom"/>
          </w:tcPr>
          <w:p>
            <w:pPr>
              <w:pStyle w:val="yTableNAm"/>
              <w:tabs>
                <w:tab w:val="clear" w:pos="567"/>
                <w:tab w:val="right" w:pos="659"/>
              </w:tabs>
              <w:ind w:right="48"/>
              <w:jc w:val="right"/>
            </w:pPr>
            <w:r>
              <w:t>28.00</w:t>
            </w:r>
          </w:p>
        </w:tc>
      </w:tr>
      <w:tr>
        <w:trPr>
          <w:cantSplit/>
        </w:trPr>
        <w:tc>
          <w:tcPr>
            <w:tcW w:w="684" w:type="dxa"/>
          </w:tcPr>
          <w:p>
            <w:pPr>
              <w:pStyle w:val="yTableNAm"/>
            </w:pPr>
            <w:r>
              <w:t>30.</w:t>
            </w:r>
          </w:p>
        </w:tc>
        <w:tc>
          <w:tcPr>
            <w:tcW w:w="5270" w:type="dxa"/>
          </w:tcPr>
          <w:p>
            <w:pPr>
              <w:pStyle w:val="yTableNAm"/>
              <w:tabs>
                <w:tab w:val="clear" w:pos="567"/>
                <w:tab w:val="right" w:leader="dot" w:pos="6237"/>
              </w:tabs>
            </w:pPr>
            <w:r>
              <w:t xml:space="preserve">Supply of copy of plan — per sheet </w:t>
            </w:r>
            <w:r>
              <w:tab/>
            </w:r>
          </w:p>
        </w:tc>
        <w:tc>
          <w:tcPr>
            <w:tcW w:w="1114" w:type="dxa"/>
            <w:vAlign w:val="bottom"/>
          </w:tcPr>
          <w:p>
            <w:pPr>
              <w:pStyle w:val="yTableNAm"/>
              <w:tabs>
                <w:tab w:val="clear" w:pos="567"/>
                <w:tab w:val="right" w:pos="659"/>
              </w:tabs>
              <w:ind w:right="48"/>
              <w:jc w:val="right"/>
            </w:pPr>
            <w:r>
              <w:t>28.00</w:t>
            </w:r>
            <w:r>
              <w:br/>
              <w:t>(up to a max. of 224.00)</w:t>
            </w:r>
          </w:p>
        </w:tc>
      </w:tr>
      <w:tr>
        <w:trPr>
          <w:cantSplit/>
        </w:trPr>
        <w:tc>
          <w:tcPr>
            <w:tcW w:w="684" w:type="dxa"/>
          </w:tcPr>
          <w:p>
            <w:pPr>
              <w:pStyle w:val="yTableNAm"/>
            </w:pPr>
            <w:r>
              <w:t>31.</w:t>
            </w:r>
          </w:p>
        </w:tc>
        <w:tc>
          <w:tcPr>
            <w:tcW w:w="5270" w:type="dxa"/>
          </w:tcPr>
          <w:p>
            <w:pPr>
              <w:pStyle w:val="yTableNAm"/>
              <w:tabs>
                <w:tab w:val="clear" w:pos="567"/>
                <w:tab w:val="right" w:leader="dot" w:pos="6237"/>
              </w:tabs>
            </w:pPr>
            <w:r>
              <w:t xml:space="preserve">Supply of certified copy of plan defining licensed premises </w:t>
            </w:r>
            <w:r>
              <w:tab/>
            </w:r>
          </w:p>
        </w:tc>
        <w:tc>
          <w:tcPr>
            <w:tcW w:w="1114" w:type="dxa"/>
            <w:vAlign w:val="bottom"/>
          </w:tcPr>
          <w:p>
            <w:pPr>
              <w:pStyle w:val="yTableNAm"/>
              <w:tabs>
                <w:tab w:val="clear" w:pos="567"/>
                <w:tab w:val="right" w:pos="659"/>
              </w:tabs>
              <w:ind w:right="48"/>
              <w:jc w:val="right"/>
            </w:pPr>
            <w:r>
              <w:t>41.50</w:t>
            </w:r>
          </w:p>
        </w:tc>
      </w:tr>
      <w:tr>
        <w:trPr>
          <w:cantSplit/>
        </w:trPr>
        <w:tc>
          <w:tcPr>
            <w:tcW w:w="684" w:type="dxa"/>
          </w:tcPr>
          <w:p>
            <w:pPr>
              <w:pStyle w:val="yTableNAm"/>
            </w:pPr>
            <w:r>
              <w:t>32.</w:t>
            </w:r>
          </w:p>
        </w:tc>
        <w:tc>
          <w:tcPr>
            <w:tcW w:w="5270"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1114" w:type="dxa"/>
            <w:vAlign w:val="bottom"/>
          </w:tcPr>
          <w:p>
            <w:pPr>
              <w:pStyle w:val="yTableNAm"/>
              <w:tabs>
                <w:tab w:val="clear" w:pos="567"/>
                <w:tab w:val="right" w:pos="659"/>
              </w:tabs>
              <w:ind w:right="48"/>
              <w:jc w:val="right"/>
            </w:pPr>
            <w:r>
              <w:t>28.00</w:t>
            </w:r>
          </w:p>
        </w:tc>
      </w:tr>
      <w:tr>
        <w:trPr>
          <w:cantSplit/>
        </w:trPr>
        <w:tc>
          <w:tcPr>
            <w:tcW w:w="684" w:type="dxa"/>
          </w:tcPr>
          <w:p>
            <w:pPr>
              <w:pStyle w:val="yTableNAm"/>
            </w:pPr>
            <w:r>
              <w:t>33.</w:t>
            </w:r>
          </w:p>
        </w:tc>
        <w:tc>
          <w:tcPr>
            <w:tcW w:w="5270"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1114" w:type="dxa"/>
            <w:vAlign w:val="bottom"/>
          </w:tcPr>
          <w:p>
            <w:pPr>
              <w:pStyle w:val="yTableNAm"/>
              <w:tabs>
                <w:tab w:val="clear" w:pos="567"/>
                <w:tab w:val="right" w:leader="dot" w:pos="6237"/>
              </w:tabs>
              <w:jc w:val="right"/>
            </w:pPr>
            <w:r>
              <w:t>28.00</w:t>
            </w:r>
          </w:p>
          <w:p>
            <w:pPr>
              <w:pStyle w:val="yTableNAm"/>
              <w:tabs>
                <w:tab w:val="clear" w:pos="567"/>
                <w:tab w:val="right" w:pos="659"/>
              </w:tabs>
              <w:ind w:right="48"/>
              <w:jc w:val="right"/>
            </w:pPr>
          </w:p>
        </w:tc>
      </w:tr>
      <w:tr>
        <w:trPr>
          <w:cantSplit/>
        </w:trPr>
        <w:tc>
          <w:tcPr>
            <w:tcW w:w="684" w:type="dxa"/>
          </w:tcPr>
          <w:p>
            <w:pPr>
              <w:pStyle w:val="yTableNAm"/>
            </w:pPr>
            <w:r>
              <w:t>34.</w:t>
            </w:r>
          </w:p>
        </w:tc>
        <w:tc>
          <w:tcPr>
            <w:tcW w:w="5270" w:type="dxa"/>
          </w:tcPr>
          <w:p>
            <w:pPr>
              <w:pStyle w:val="yTableNAm"/>
              <w:tabs>
                <w:tab w:val="clear" w:pos="567"/>
                <w:tab w:val="right" w:leader="dot" w:pos="6237"/>
              </w:tabs>
            </w:pPr>
            <w:r>
              <w:t xml:space="preserve">Supply of copy of documentation, other than that already prescribed, per page </w:t>
            </w:r>
            <w:r>
              <w:tab/>
            </w:r>
          </w:p>
        </w:tc>
        <w:tc>
          <w:tcPr>
            <w:tcW w:w="1114" w:type="dxa"/>
            <w:vAlign w:val="bottom"/>
          </w:tcPr>
          <w:p>
            <w:pPr>
              <w:pStyle w:val="yTableNAm"/>
              <w:tabs>
                <w:tab w:val="clear" w:pos="567"/>
                <w:tab w:val="right" w:pos="659"/>
              </w:tabs>
              <w:ind w:right="48"/>
              <w:jc w:val="right"/>
            </w:pPr>
            <w:r>
              <w:t>4.00</w:t>
            </w:r>
          </w:p>
        </w:tc>
      </w:tr>
      <w:tr>
        <w:trPr>
          <w:cantSplit/>
        </w:trPr>
        <w:tc>
          <w:tcPr>
            <w:tcW w:w="684" w:type="dxa"/>
          </w:tcPr>
          <w:p>
            <w:pPr>
              <w:pStyle w:val="yTableNAm"/>
            </w:pPr>
            <w:r>
              <w:t>35.</w:t>
            </w:r>
          </w:p>
        </w:tc>
        <w:tc>
          <w:tcPr>
            <w:tcW w:w="5270" w:type="dxa"/>
          </w:tcPr>
          <w:p>
            <w:pPr>
              <w:pStyle w:val="yTableNAm"/>
              <w:tabs>
                <w:tab w:val="clear" w:pos="567"/>
                <w:tab w:val="right" w:leader="dot" w:pos="6237"/>
              </w:tabs>
            </w:pPr>
            <w:r>
              <w:t xml:space="preserve">Issue of a summons to a witness </w:t>
            </w:r>
            <w:r>
              <w:tab/>
            </w:r>
          </w:p>
        </w:tc>
        <w:tc>
          <w:tcPr>
            <w:tcW w:w="1114" w:type="dxa"/>
            <w:vAlign w:val="bottom"/>
          </w:tcPr>
          <w:p>
            <w:pPr>
              <w:pStyle w:val="yTableNAm"/>
              <w:tabs>
                <w:tab w:val="clear" w:pos="567"/>
                <w:tab w:val="right" w:pos="659"/>
              </w:tabs>
              <w:ind w:right="48"/>
              <w:jc w:val="right"/>
            </w:pPr>
            <w:r>
              <w:t>23.00</w:t>
            </w:r>
          </w:p>
        </w:tc>
      </w:tr>
      <w:tr>
        <w:trPr>
          <w:cantSplit/>
        </w:trPr>
        <w:tc>
          <w:tcPr>
            <w:tcW w:w="684" w:type="dxa"/>
          </w:tcPr>
          <w:p>
            <w:pPr>
              <w:pStyle w:val="yTableNAm"/>
            </w:pPr>
            <w:r>
              <w:t>36.</w:t>
            </w:r>
          </w:p>
        </w:tc>
        <w:tc>
          <w:tcPr>
            <w:tcW w:w="5270" w:type="dxa"/>
          </w:tcPr>
          <w:p>
            <w:pPr>
              <w:pStyle w:val="yTableNAm"/>
              <w:tabs>
                <w:tab w:val="clear" w:pos="567"/>
                <w:tab w:val="right" w:leader="dot" w:pos="6237"/>
              </w:tabs>
            </w:pPr>
            <w:r>
              <w:t xml:space="preserve">For a search of the database of records of licences — per licence </w:t>
            </w:r>
            <w:r>
              <w:tab/>
            </w:r>
          </w:p>
        </w:tc>
        <w:tc>
          <w:tcPr>
            <w:tcW w:w="1114" w:type="dxa"/>
            <w:vAlign w:val="bottom"/>
          </w:tcPr>
          <w:p>
            <w:pPr>
              <w:pStyle w:val="yTableNAm"/>
              <w:tabs>
                <w:tab w:val="clear" w:pos="567"/>
                <w:tab w:val="right" w:pos="659"/>
              </w:tabs>
              <w:ind w:right="48"/>
              <w:jc w:val="right"/>
            </w:pPr>
            <w:r>
              <w:t>41.50</w:t>
            </w:r>
          </w:p>
        </w:tc>
      </w:tr>
      <w:tr>
        <w:trPr>
          <w:cantSplit/>
        </w:trPr>
        <w:tc>
          <w:tcPr>
            <w:tcW w:w="684" w:type="dxa"/>
          </w:tcPr>
          <w:p>
            <w:pPr>
              <w:pStyle w:val="yTableNAm"/>
            </w:pPr>
            <w:r>
              <w:t>37.</w:t>
            </w:r>
          </w:p>
        </w:tc>
        <w:tc>
          <w:tcPr>
            <w:tcW w:w="5270" w:type="dxa"/>
          </w:tcPr>
          <w:p>
            <w:pPr>
              <w:pStyle w:val="yTableNAm"/>
              <w:tabs>
                <w:tab w:val="clear" w:pos="567"/>
                <w:tab w:val="right" w:leader="dot" w:pos="6237"/>
              </w:tabs>
            </w:pPr>
            <w:r>
              <w:t xml:space="preserve">For a full search of a licence record </w:t>
            </w:r>
            <w:r>
              <w:tab/>
            </w:r>
          </w:p>
        </w:tc>
        <w:tc>
          <w:tcPr>
            <w:tcW w:w="1114" w:type="dxa"/>
            <w:vAlign w:val="bottom"/>
          </w:tcPr>
          <w:p>
            <w:pPr>
              <w:pStyle w:val="yTableNAm"/>
              <w:tabs>
                <w:tab w:val="clear" w:pos="567"/>
                <w:tab w:val="right" w:pos="659"/>
              </w:tabs>
              <w:ind w:right="48"/>
              <w:jc w:val="right"/>
            </w:pPr>
            <w:r>
              <w:rPr>
                <w:szCs w:val="22"/>
              </w:rPr>
              <w:t>53.50</w:t>
            </w:r>
          </w:p>
        </w:tc>
      </w:tr>
      <w:tr>
        <w:trPr>
          <w:cantSplit/>
        </w:trPr>
        <w:tc>
          <w:tcPr>
            <w:tcW w:w="684" w:type="dxa"/>
            <w:tcBorders>
              <w:bottom w:val="nil"/>
            </w:tcBorders>
          </w:tcPr>
          <w:p>
            <w:pPr>
              <w:pStyle w:val="yTableNAm"/>
            </w:pPr>
            <w:r>
              <w:t>38.</w:t>
            </w:r>
          </w:p>
        </w:tc>
        <w:tc>
          <w:tcPr>
            <w:tcW w:w="5270" w:type="dxa"/>
            <w:tcBorders>
              <w:bottom w:val="nil"/>
            </w:tcBorders>
          </w:tcPr>
          <w:p>
            <w:pPr>
              <w:pStyle w:val="yTableNAm"/>
              <w:tabs>
                <w:tab w:val="clear" w:pos="567"/>
                <w:tab w:val="right" w:leader="dot" w:pos="6237"/>
              </w:tabs>
            </w:pPr>
            <w:r>
              <w:t xml:space="preserve">For a search of postcodes — </w:t>
            </w:r>
          </w:p>
        </w:tc>
        <w:tc>
          <w:tcPr>
            <w:tcW w:w="1114" w:type="dxa"/>
            <w:tcBorders>
              <w:bottom w:val="nil"/>
            </w:tcBorders>
            <w:vAlign w:val="bottom"/>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270" w:type="dxa"/>
            <w:tcBorders>
              <w:top w:val="nil"/>
              <w:bottom w:val="nil"/>
            </w:tcBorders>
          </w:tcPr>
          <w:p>
            <w:pPr>
              <w:pStyle w:val="yTableNAm"/>
              <w:tabs>
                <w:tab w:val="right" w:leader="dot" w:pos="6237"/>
              </w:tabs>
            </w:pPr>
            <w:r>
              <w:t>(a)</w:t>
            </w:r>
            <w:r>
              <w:tab/>
              <w:t xml:space="preserve">1 to 10 postcodes </w:t>
            </w:r>
            <w:r>
              <w:tab/>
            </w:r>
          </w:p>
        </w:tc>
        <w:tc>
          <w:tcPr>
            <w:tcW w:w="1114" w:type="dxa"/>
            <w:tcBorders>
              <w:top w:val="nil"/>
              <w:bottom w:val="nil"/>
            </w:tcBorders>
            <w:vAlign w:val="bottom"/>
          </w:tcPr>
          <w:p>
            <w:pPr>
              <w:pStyle w:val="yTableNAm"/>
              <w:tabs>
                <w:tab w:val="clear" w:pos="567"/>
                <w:tab w:val="right" w:pos="659"/>
              </w:tabs>
              <w:ind w:right="48"/>
              <w:jc w:val="right"/>
            </w:pPr>
            <w:r>
              <w:t>41.50</w:t>
            </w:r>
          </w:p>
        </w:tc>
      </w:tr>
      <w:tr>
        <w:trPr>
          <w:cantSplit/>
        </w:trPr>
        <w:tc>
          <w:tcPr>
            <w:tcW w:w="684" w:type="dxa"/>
            <w:tcBorders>
              <w:top w:val="nil"/>
            </w:tcBorders>
          </w:tcPr>
          <w:p>
            <w:pPr>
              <w:pStyle w:val="yTableNAm"/>
            </w:pPr>
          </w:p>
        </w:tc>
        <w:tc>
          <w:tcPr>
            <w:tcW w:w="5270" w:type="dxa"/>
            <w:tcBorders>
              <w:top w:val="nil"/>
            </w:tcBorders>
          </w:tcPr>
          <w:p>
            <w:pPr>
              <w:pStyle w:val="yTableNAm"/>
              <w:tabs>
                <w:tab w:val="right" w:leader="dot" w:pos="6237"/>
              </w:tabs>
            </w:pPr>
            <w:r>
              <w:t>(b)</w:t>
            </w:r>
            <w:r>
              <w:tab/>
              <w:t xml:space="preserve">more than 10 postcodes </w:t>
            </w:r>
            <w:r>
              <w:tab/>
            </w:r>
          </w:p>
        </w:tc>
        <w:tc>
          <w:tcPr>
            <w:tcW w:w="1114" w:type="dxa"/>
            <w:tcBorders>
              <w:top w:val="nil"/>
            </w:tcBorders>
            <w:vAlign w:val="bottom"/>
          </w:tcPr>
          <w:p>
            <w:pPr>
              <w:pStyle w:val="yTableNAm"/>
              <w:tabs>
                <w:tab w:val="clear" w:pos="567"/>
                <w:tab w:val="right" w:pos="659"/>
              </w:tabs>
              <w:ind w:right="48"/>
              <w:jc w:val="right"/>
            </w:pPr>
            <w:r>
              <w:rPr>
                <w:szCs w:val="22"/>
              </w:rPr>
              <w:t>91.00</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270"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154.00</w:t>
            </w:r>
          </w:p>
        </w:tc>
      </w:tr>
    </w:tbl>
    <w:p>
      <w:pPr>
        <w:pStyle w:val="yFootnoteheading"/>
        <w:spacing w:before="80" w:after="80"/>
      </w:pPr>
      <w:r>
        <w:tab/>
        <w:t>[Schedule 3 inserted: Gazette 22 Oct 2019 p. 3725</w:t>
      </w:r>
      <w:r>
        <w:noBreakHyphen/>
        <w:t>8.]</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nHeading2"/>
      </w:pPr>
      <w:bookmarkStart w:id="98" w:name="_Toc32303784"/>
      <w:r>
        <w:t>Notes</w:t>
      </w:r>
      <w:bookmarkEnd w:id="98"/>
    </w:p>
    <w:p>
      <w:pPr>
        <w:pStyle w:val="nStatement"/>
      </w:pPr>
      <w:r>
        <w:t xml:space="preserve">This is a compilation of the </w:t>
      </w:r>
      <w:r>
        <w:rPr>
          <w:i/>
          <w:noProof/>
        </w:rPr>
        <w:t>Liquor Control Regulations 1989</w:t>
      </w:r>
      <w:r>
        <w:t xml:space="preserve"> and includes amendments made by other written laws. For provisions that have come into operation, and for information about any reprints, see the compilation table.</w:t>
      </w:r>
    </w:p>
    <w:p>
      <w:pPr>
        <w:pStyle w:val="nHeading3"/>
      </w:pPr>
      <w:bookmarkStart w:id="99" w:name="_Toc32303785"/>
      <w:r>
        <w:t>Compilation table</w:t>
      </w:r>
      <w:bookmarkEnd w:id="9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Liquor Licensing Regulations 1989</w:t>
            </w:r>
            <w:r>
              <w:rPr>
                <w:iCs/>
                <w:vertAlign w:val="superscript"/>
              </w:rPr>
              <w:t> 4</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Liquor Licensing Amendment Regulations 1991</w:t>
            </w:r>
            <w:r>
              <w:rPr>
                <w:vertAlign w:val="superscript"/>
              </w:rPr>
              <w:t> 5</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6</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Liquor Licensing Amendment Regulations 2004</w:t>
            </w:r>
            <w:r>
              <w:t xml:space="preserve"> </w:t>
            </w:r>
            <w:r>
              <w:rPr>
                <w:vertAlign w:val="superscript"/>
              </w:rPr>
              <w:t>7</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vertAlign w:val="superscript"/>
              </w:rPr>
            </w:pPr>
            <w:r>
              <w:rPr>
                <w:i/>
              </w:rPr>
              <w:t>Liquor Control Amendment Regulations (No. 2) 2007 </w:t>
            </w:r>
            <w:r>
              <w:rPr>
                <w:vertAlign w:val="superscript"/>
              </w:rPr>
              <w:t>8</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8: The </w:t>
            </w:r>
            <w:r>
              <w:rPr>
                <w:b/>
                <w:i/>
              </w:rPr>
              <w:t>Liquor Control Regulations 1989</w:t>
            </w:r>
            <w:r>
              <w:rPr>
                <w:b/>
              </w:rPr>
              <w:t xml:space="preserve"> as at 3 Jul 2009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9: The </w:t>
            </w:r>
            <w:r>
              <w:rPr>
                <w:b/>
                <w:i/>
              </w:rPr>
              <w:t>Liquor Control Regulations 1989</w:t>
            </w:r>
            <w:r>
              <w:rPr>
                <w:b/>
              </w:rPr>
              <w:t xml:space="preserve"> as at 18 Jun 2010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10) 2011</w:t>
            </w:r>
            <w:r>
              <w:rPr>
                <w:vertAlign w:val="superscript"/>
              </w:rPr>
              <w:t> 9</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2012</w:t>
            </w:r>
          </w:p>
        </w:tc>
        <w:tc>
          <w:tcPr>
            <w:tcW w:w="1276" w:type="dxa"/>
            <w:shd w:val="clear" w:color="auto" w:fill="auto"/>
          </w:tcPr>
          <w:p>
            <w:pPr>
              <w:pStyle w:val="nTable"/>
              <w:spacing w:after="40"/>
            </w:pPr>
            <w:r>
              <w:t>16 Nov 2012 p. 5652-6</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11: The </w:t>
            </w:r>
            <w:r>
              <w:rPr>
                <w:b/>
                <w:i/>
              </w:rPr>
              <w:t>Liquor Control Regulations 1989</w:t>
            </w:r>
            <w:r>
              <w:rPr>
                <w:b/>
              </w:rPr>
              <w:t xml:space="preserve"> as at 11 Jan 2013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pPr>
            <w:r>
              <w:t>8 Nov 2013 p. 4977</w:t>
            </w:r>
            <w:r>
              <w:noBreakHyphen/>
              <w:t>80</w:t>
            </w:r>
          </w:p>
        </w:tc>
        <w:tc>
          <w:tcPr>
            <w:tcW w:w="2693" w:type="dxa"/>
            <w:shd w:val="clear" w:color="auto" w:fill="auto"/>
          </w:tcPr>
          <w:p>
            <w:pPr>
              <w:pStyle w:val="nTable"/>
              <w:spacing w:after="40"/>
              <w:rPr>
                <w:b/>
                <w:bCs/>
                <w:snapToGrid w:val="0"/>
                <w:spacing w:val="-2"/>
              </w:rPr>
            </w:pPr>
            <w:r>
              <w:rPr>
                <w:bCs/>
                <w:snapToGrid w:val="0"/>
              </w:rPr>
              <w:t>r. 1 and 2: 8 Nov 2013 (see r. 2(a));</w:t>
            </w:r>
            <w:r>
              <w:rPr>
                <w:bCs/>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13</w:t>
            </w:r>
            <w:r>
              <w:rPr>
                <w:b/>
                <w:bCs/>
                <w:snapToGrid w:val="0"/>
              </w:rPr>
              <w:t xml:space="preserve">: The </w:t>
            </w:r>
            <w:r>
              <w:rPr>
                <w:b/>
                <w:bCs/>
                <w:i/>
                <w:noProof/>
                <w:snapToGrid w:val="0"/>
                <w:spacing w:val="-2"/>
              </w:rPr>
              <w:t>Liquor Control Regulations 1989</w:t>
            </w:r>
            <w:r>
              <w:rPr>
                <w:b/>
                <w:bCs/>
                <w:snapToGrid w:val="0"/>
              </w:rPr>
              <w:t xml:space="preserve"> as at </w:t>
            </w:r>
            <w:r>
              <w:rPr>
                <w:b/>
                <w:bCs/>
                <w:snapToGrid w:val="0"/>
                <w:spacing w:val="-2"/>
              </w:rPr>
              <w:t>5 Jun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bCs/>
                <w:snapToGrid w:val="0"/>
                <w:spacing w:val="-2"/>
              </w:rPr>
              <w:t>r. 1 and 2: 8 Apr 2016 (see r. 2(a));</w:t>
            </w:r>
            <w:r>
              <w:rPr>
                <w:bCs/>
                <w:snapToGrid w:val="0"/>
                <w:spacing w:val="-2"/>
              </w:rPr>
              <w:br/>
              <w:t xml:space="preserve">Regulations other than r. 1 and 2: 9 Apr 2016 (see r. 2(b) and </w:t>
            </w:r>
            <w:r>
              <w:rPr>
                <w:bCs/>
                <w:i/>
                <w:snapToGrid w:val="0"/>
                <w:spacing w:val="-2"/>
              </w:rPr>
              <w:t>Gazette</w:t>
            </w:r>
            <w:r>
              <w:rPr>
                <w:bCs/>
                <w:snapToGrid w:val="0"/>
                <w:spacing w:val="-2"/>
              </w:rPr>
              <w:t xml:space="preserve"> 8 Apr 2016 p. 1099)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bCs/>
                <w:snapToGrid w:val="0"/>
                <w:spacing w:val="-2"/>
              </w:rPr>
              <w:t>r. 1 and 2: 26 Jul 2016 (see r. 2(a));</w:t>
            </w:r>
            <w:r>
              <w:rPr>
                <w:bCs/>
                <w:snapToGrid w:val="0"/>
                <w:spacing w:val="-2"/>
              </w:rPr>
              <w:br/>
              <w:t>Regulations other than r. 1, 2 and 4(2): 27 Jul 2016 (see r. 2(b));</w:t>
            </w:r>
            <w:r>
              <w:rPr>
                <w:bCs/>
                <w:snapToGrid w:val="0"/>
                <w:spacing w:val="-2"/>
              </w:rPr>
              <w:br/>
              <w:t xml:space="preserve">r. 4(2): 1 Aug 2016 (see r. 2(c) and </w:t>
            </w:r>
            <w:r>
              <w:rPr>
                <w:bCs/>
                <w:i/>
                <w:snapToGrid w:val="0"/>
                <w:spacing w:val="-2"/>
              </w:rPr>
              <w:t xml:space="preserve">Gazette </w:t>
            </w:r>
            <w:r>
              <w:rPr>
                <w:bCs/>
                <w:snapToGrid w:val="0"/>
                <w:spacing w:val="-2"/>
              </w:rPr>
              <w:t>26 Jul 2016 p. 3167)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bCs/>
                <w:snapToGrid w:val="0"/>
                <w:spacing w:val="-2"/>
              </w:rPr>
            </w:pPr>
            <w:r>
              <w:rPr>
                <w:bCs/>
                <w:snapToGrid w:val="0"/>
                <w:spacing w:val="-2"/>
              </w:rPr>
              <w:t>r. 1 and 2: 10 Jan 2017 (see r. 2(a));</w:t>
            </w:r>
            <w:r>
              <w:rPr>
                <w:bCs/>
                <w:snapToGrid w:val="0"/>
                <w:spacing w:val="-2"/>
              </w:rPr>
              <w:br/>
              <w:t>Regulations other than r. 1 and 2: 11 Jan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bCs/>
                <w:snapToGrid w:val="0"/>
                <w:spacing w:val="-2"/>
              </w:rPr>
            </w:pPr>
            <w:r>
              <w:rPr>
                <w:bCs/>
                <w:snapToGrid w:val="0"/>
                <w:spacing w:val="-2"/>
              </w:rPr>
              <w:t xml:space="preserve">r. 1 and 2: </w:t>
            </w:r>
            <w:r>
              <w:t>3 Feb 2017</w:t>
            </w:r>
            <w:r>
              <w:rPr>
                <w:bCs/>
                <w:snapToGrid w:val="0"/>
                <w:spacing w:val="-2"/>
              </w:rPr>
              <w:t xml:space="preserve"> (see r. 2(a));</w:t>
            </w:r>
            <w:r>
              <w:rPr>
                <w:bCs/>
                <w:snapToGrid w:val="0"/>
                <w:spacing w:val="-2"/>
              </w:rPr>
              <w:br/>
              <w:t>Regulations other than r. 1 and 2: 4</w:t>
            </w:r>
            <w:r>
              <w:t> Feb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14: The </w:t>
            </w:r>
            <w:r>
              <w:rPr>
                <w:b/>
                <w:bCs/>
                <w:i/>
                <w:noProof/>
                <w:snapToGrid w:val="0"/>
                <w:spacing w:val="-2"/>
              </w:rPr>
              <w:t>Liquor Control Regulations 1989</w:t>
            </w:r>
            <w:r>
              <w:rPr>
                <w:b/>
                <w:bCs/>
                <w:snapToGrid w:val="0"/>
                <w:spacing w:val="-2"/>
              </w:rPr>
              <w:t xml:space="preserve"> as at 5 May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bCs/>
                <w:snapToGrid w:val="0"/>
                <w:spacing w:val="-2"/>
              </w:rPr>
            </w:pPr>
            <w:r>
              <w:rPr>
                <w:bCs/>
                <w:snapToGrid w:val="0"/>
                <w:spacing w:val="-2"/>
              </w:rPr>
              <w:t>r. 1 and 2: 18</w:t>
            </w:r>
            <w:r>
              <w:t> Aug 2017</w:t>
            </w:r>
            <w:r>
              <w:rPr>
                <w:bCs/>
                <w:snapToGrid w:val="0"/>
                <w:spacing w:val="-2"/>
              </w:rPr>
              <w:t xml:space="preserve"> (see r. 2(a));</w:t>
            </w:r>
            <w:r>
              <w:rPr>
                <w:bCs/>
                <w:snapToGrid w:val="0"/>
                <w:spacing w:val="-2"/>
              </w:rPr>
              <w:br/>
              <w:t>Regulations other than r. 1 and 2: 19</w:t>
            </w:r>
            <w:r>
              <w:t> Aug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bCs/>
                <w:snapToGrid w:val="0"/>
                <w:spacing w:val="-2"/>
              </w:rPr>
            </w:pPr>
            <w:r>
              <w:rPr>
                <w:bCs/>
                <w:snapToGrid w:val="0"/>
                <w:spacing w:val="-2"/>
              </w:rPr>
              <w:t>r. 1 and 2: 12 Sep 2017 (see r. 2(a));</w:t>
            </w:r>
            <w:r>
              <w:rPr>
                <w:bCs/>
                <w:snapToGrid w:val="0"/>
                <w:spacing w:val="-2"/>
              </w:rPr>
              <w:br/>
              <w:t>Regulations other than r. 1 and 2: 10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bCs/>
                <w:snapToGrid w:val="0"/>
                <w:spacing w:val="-2"/>
              </w:rPr>
            </w:pPr>
            <w:r>
              <w:rPr>
                <w:bCs/>
                <w:snapToGrid w:val="0"/>
                <w:spacing w:val="-2"/>
              </w:rPr>
              <w:t>r. 1 and 2: 3</w:t>
            </w:r>
            <w:r>
              <w:t> Oct 2017</w:t>
            </w:r>
            <w:r>
              <w:rPr>
                <w:bCs/>
                <w:snapToGrid w:val="0"/>
                <w:spacing w:val="-2"/>
              </w:rPr>
              <w:t xml:space="preserve"> (see r. 2(a));</w:t>
            </w:r>
            <w:r>
              <w:rPr>
                <w:bCs/>
                <w:snapToGrid w:val="0"/>
                <w:spacing w:val="-2"/>
              </w:rPr>
              <w:br/>
              <w:t>Regulations other than r. 1 and 2: 4</w:t>
            </w:r>
            <w:r>
              <w:t> Oct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bCs/>
                <w:snapToGrid w:val="0"/>
                <w:spacing w:val="-2"/>
              </w:rPr>
            </w:pPr>
            <w:r>
              <w:t>1 Jan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bCs/>
                <w:snapToGrid w:val="0"/>
                <w:spacing w:val="-2"/>
              </w:rPr>
              <w:t>r. 1 and 2: 19 Jan 2018 (see r. 2(a));</w:t>
            </w:r>
            <w:r>
              <w:rPr>
                <w:bCs/>
                <w:snapToGrid w:val="0"/>
                <w:spacing w:val="-2"/>
              </w:rPr>
              <w:br/>
              <w:t>Regulations other than r. 1 and 2: 20 Jan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bCs/>
                <w:snapToGrid w:val="0"/>
                <w:spacing w:val="-2"/>
              </w:rPr>
            </w:pPr>
            <w:r>
              <w:rPr>
                <w:bCs/>
                <w:snapToGrid w:val="0"/>
                <w:spacing w:val="-2"/>
              </w:rPr>
              <w:t>3 Mar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bCs/>
                <w:snapToGrid w:val="0"/>
                <w:spacing w:val="-2"/>
              </w:rPr>
            </w:pPr>
            <w:r>
              <w:rPr>
                <w:bCs/>
                <w:snapToGrid w:val="0"/>
                <w:spacing w:val="-2"/>
              </w:rPr>
              <w:t>7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pPr>
            <w:r>
              <w:rPr>
                <w:i/>
              </w:rPr>
              <w:t>Liquor Control Amendment Regulations (No. 2) 2018</w:t>
            </w:r>
          </w:p>
        </w:tc>
        <w:tc>
          <w:tcPr>
            <w:tcW w:w="1276" w:type="dxa"/>
            <w:shd w:val="clear" w:color="auto" w:fill="auto"/>
          </w:tcPr>
          <w:p>
            <w:pPr>
              <w:pStyle w:val="nTable"/>
              <w:keepNext/>
              <w:spacing w:after="40"/>
            </w:pPr>
            <w:r>
              <w:t>20 Jul 2018 p. 2631</w:t>
            </w:r>
            <w:r>
              <w:noBreakHyphen/>
              <w:t>2</w:t>
            </w:r>
          </w:p>
        </w:tc>
        <w:tc>
          <w:tcPr>
            <w:tcW w:w="2693" w:type="dxa"/>
            <w:shd w:val="clear" w:color="auto" w:fill="auto"/>
          </w:tcPr>
          <w:p>
            <w:pPr>
              <w:pStyle w:val="nTable"/>
              <w:keepNext/>
              <w:spacing w:after="40"/>
              <w:rPr>
                <w:bCs/>
                <w:snapToGrid w:val="0"/>
              </w:rPr>
            </w:pPr>
            <w:r>
              <w:rPr>
                <w:bCs/>
                <w:snapToGrid w:val="0"/>
              </w:rPr>
              <w:t>r. 1 and 2: 20 Jul 2018 (see r. 2(a));</w:t>
            </w:r>
            <w:r>
              <w:rPr>
                <w:bCs/>
                <w:snapToGrid w:val="0"/>
              </w:rPr>
              <w:br/>
              <w:t>Regulations other than r. 1 and 2: 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Racing, Gaming and Liquor Regulations Amendment (Fees and Charges) Regulations 2018</w:t>
            </w:r>
            <w:r>
              <w:t xml:space="preserve"> Pt. 6</w:t>
            </w:r>
          </w:p>
        </w:tc>
        <w:tc>
          <w:tcPr>
            <w:tcW w:w="1276" w:type="dxa"/>
            <w:shd w:val="clear" w:color="auto" w:fill="auto"/>
          </w:tcPr>
          <w:p>
            <w:pPr>
              <w:pStyle w:val="nTable"/>
              <w:keepNext/>
              <w:spacing w:after="40"/>
            </w:pPr>
            <w:r>
              <w:t>7 Sep 2018 p. 3192-200</w:t>
            </w:r>
          </w:p>
        </w:tc>
        <w:tc>
          <w:tcPr>
            <w:tcW w:w="2693" w:type="dxa"/>
            <w:shd w:val="clear" w:color="auto" w:fill="auto"/>
          </w:tcPr>
          <w:p>
            <w:pPr>
              <w:pStyle w:val="nTable"/>
              <w:keepNext/>
              <w:spacing w:after="40"/>
              <w:rPr>
                <w:bCs/>
                <w:snapToGrid w:val="0"/>
              </w:rPr>
            </w:pPr>
            <w:r>
              <w:t>1 Jan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pPr>
            <w:r>
              <w:rPr>
                <w:i/>
              </w:rPr>
              <w:t>Liquor Control (Ngurrawaana Restricted Area) Regulations 2018</w:t>
            </w:r>
            <w:r>
              <w:t xml:space="preserve"> Pt. 5</w:t>
            </w:r>
          </w:p>
        </w:tc>
        <w:tc>
          <w:tcPr>
            <w:tcW w:w="1276" w:type="dxa"/>
            <w:shd w:val="clear" w:color="auto" w:fill="auto"/>
          </w:tcPr>
          <w:p>
            <w:pPr>
              <w:pStyle w:val="nTable"/>
              <w:keepNext/>
              <w:spacing w:after="40"/>
            </w:pPr>
            <w:r>
              <w:t>14 Sep 2018 p. 3317</w:t>
            </w:r>
            <w:r>
              <w:noBreakHyphen/>
              <w:t>19</w:t>
            </w:r>
          </w:p>
        </w:tc>
        <w:tc>
          <w:tcPr>
            <w:tcW w:w="2693" w:type="dxa"/>
            <w:shd w:val="clear" w:color="auto" w:fill="auto"/>
          </w:tcPr>
          <w:p>
            <w:pPr>
              <w:pStyle w:val="nTable"/>
              <w:keepNext/>
              <w:spacing w:after="40"/>
              <w:rPr>
                <w:bCs/>
                <w:snapToGrid w:val="0"/>
              </w:rPr>
            </w:pPr>
            <w:r>
              <w:rPr>
                <w:bCs/>
                <w:snapToGrid w:val="0"/>
              </w:rPr>
              <w:t>15 Sep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pPr>
            <w:r>
              <w:rPr>
                <w:i/>
              </w:rPr>
              <w:t xml:space="preserve">Liquor Control Amendment Regulations (No. 3) 2018 </w:t>
            </w:r>
          </w:p>
        </w:tc>
        <w:tc>
          <w:tcPr>
            <w:tcW w:w="1276" w:type="dxa"/>
            <w:shd w:val="clear" w:color="auto" w:fill="auto"/>
          </w:tcPr>
          <w:p>
            <w:pPr>
              <w:pStyle w:val="nTable"/>
              <w:keepNext/>
              <w:spacing w:after="40"/>
            </w:pPr>
            <w:r>
              <w:t>2 Oct 2018 p. 3798</w:t>
            </w:r>
            <w:r>
              <w:noBreakHyphen/>
              <w:t>802</w:t>
            </w:r>
          </w:p>
        </w:tc>
        <w:tc>
          <w:tcPr>
            <w:tcW w:w="2693" w:type="dxa"/>
            <w:shd w:val="clear" w:color="auto" w:fill="auto"/>
          </w:tcPr>
          <w:p>
            <w:pPr>
              <w:pStyle w:val="nTable"/>
              <w:keepNext/>
              <w:spacing w:after="40"/>
              <w:rPr>
                <w:bCs/>
                <w:snapToGrid w:val="0"/>
              </w:rPr>
            </w:pPr>
            <w:r>
              <w:rPr>
                <w:bCs/>
                <w:snapToGrid w:val="0"/>
              </w:rPr>
              <w:t>r. 1 and 2: 2 Oct 2018 (see r. 2(a));</w:t>
            </w:r>
            <w:r>
              <w:rPr>
                <w:bCs/>
                <w:snapToGrid w:val="0"/>
              </w:rPr>
              <w:br/>
              <w:t xml:space="preserve">Regulations other than r. 1, 2, </w:t>
            </w:r>
            <w:r>
              <w:t>15(2) and (4)</w:t>
            </w:r>
            <w:r>
              <w:rPr>
                <w:bCs/>
                <w:snapToGrid w:val="0"/>
              </w:rPr>
              <w:t xml:space="preserve">: 3 Oct 2018 (see r. 2(c) and </w:t>
            </w:r>
            <w:r>
              <w:rPr>
                <w:bCs/>
                <w:i/>
                <w:snapToGrid w:val="0"/>
              </w:rPr>
              <w:t xml:space="preserve">Gazette </w:t>
            </w:r>
            <w:r>
              <w:rPr>
                <w:bCs/>
                <w:snapToGrid w:val="0"/>
              </w:rPr>
              <w:t>2 Oct 2018 p. 3779);</w:t>
            </w:r>
            <w:r>
              <w:rPr>
                <w:bCs/>
                <w:snapToGrid w:val="0"/>
              </w:rPr>
              <w:br/>
              <w:t>r. 15(2) and (4): 1 Jan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pPr>
            <w:r>
              <w:rPr>
                <w:i/>
              </w:rPr>
              <w:t>Liquor Control (Wakathuni Restricted Area) Regulations 2019</w:t>
            </w:r>
            <w:r>
              <w:t xml:space="preserve"> Pt. 5</w:t>
            </w:r>
          </w:p>
        </w:tc>
        <w:tc>
          <w:tcPr>
            <w:tcW w:w="1276" w:type="dxa"/>
            <w:shd w:val="clear" w:color="auto" w:fill="auto"/>
          </w:tcPr>
          <w:p>
            <w:pPr>
              <w:pStyle w:val="nTable"/>
              <w:keepNext/>
              <w:spacing w:after="40"/>
            </w:pPr>
            <w:r>
              <w:t>14 Jun 2019 p. 1898-900</w:t>
            </w:r>
          </w:p>
        </w:tc>
        <w:tc>
          <w:tcPr>
            <w:tcW w:w="2693" w:type="dxa"/>
            <w:shd w:val="clear" w:color="auto" w:fill="auto"/>
          </w:tcPr>
          <w:p>
            <w:pPr>
              <w:pStyle w:val="nTable"/>
              <w:keepNext/>
              <w:spacing w:after="40"/>
              <w:rPr>
                <w:bCs/>
                <w:snapToGrid w:val="0"/>
              </w:rPr>
            </w:pPr>
            <w:r>
              <w:rPr>
                <w:bCs/>
                <w:snapToGrid w:val="0"/>
              </w:rPr>
              <w:t>15 Jun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Liquor Control Amendment Regulations 2019</w:t>
            </w:r>
          </w:p>
        </w:tc>
        <w:tc>
          <w:tcPr>
            <w:tcW w:w="1276" w:type="dxa"/>
            <w:shd w:val="clear" w:color="auto" w:fill="auto"/>
          </w:tcPr>
          <w:p>
            <w:pPr>
              <w:pStyle w:val="nTable"/>
              <w:keepNext/>
              <w:spacing w:after="40"/>
            </w:pPr>
            <w:r>
              <w:t>28 Jun 2019 p. 2491</w:t>
            </w:r>
            <w:r>
              <w:noBreakHyphen/>
              <w:t>2</w:t>
            </w:r>
          </w:p>
        </w:tc>
        <w:tc>
          <w:tcPr>
            <w:tcW w:w="2693" w:type="dxa"/>
            <w:shd w:val="clear" w:color="auto" w:fill="auto"/>
          </w:tcPr>
          <w:p>
            <w:pPr>
              <w:pStyle w:val="nTable"/>
              <w:keepNext/>
              <w:spacing w:after="40"/>
              <w:rPr>
                <w:bCs/>
                <w:snapToGrid w:val="0"/>
              </w:rPr>
            </w:pPr>
            <w:r>
              <w:rPr>
                <w:bCs/>
                <w:snapToGrid w:val="0"/>
                <w:spacing w:val="-2"/>
              </w:rPr>
              <w:t xml:space="preserve">r. 1 and 2: </w:t>
            </w:r>
            <w:r>
              <w:t>28 Jun 2019</w:t>
            </w:r>
            <w:r>
              <w:rPr>
                <w:bCs/>
                <w:snapToGrid w:val="0"/>
                <w:spacing w:val="-2"/>
              </w:rPr>
              <w:t xml:space="preserve"> (see r. 2(a));</w:t>
            </w:r>
            <w:r>
              <w:rPr>
                <w:bCs/>
                <w:snapToGrid w:val="0"/>
                <w:spacing w:val="-2"/>
              </w:rPr>
              <w:br/>
              <w:t xml:space="preserve">Regulations other than r. 1 and 2: 2 Jul 2019 (see r. 2(b) and </w:t>
            </w:r>
            <w:r>
              <w:rPr>
                <w:bCs/>
                <w:i/>
                <w:snapToGrid w:val="0"/>
                <w:spacing w:val="-2"/>
              </w:rPr>
              <w:t>Gazette</w:t>
            </w:r>
            <w:r>
              <w:rPr>
                <w:bCs/>
                <w:snapToGrid w:val="0"/>
                <w:spacing w:val="-2"/>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pPr>
            <w:r>
              <w:rPr>
                <w:i/>
              </w:rPr>
              <w:t>Liquor Control Amendment Regulations (No. 2) 2019</w:t>
            </w:r>
            <w:r>
              <w:t xml:space="preserve"> </w:t>
            </w:r>
          </w:p>
        </w:tc>
        <w:tc>
          <w:tcPr>
            <w:tcW w:w="1276" w:type="dxa"/>
            <w:shd w:val="clear" w:color="auto" w:fill="auto"/>
          </w:tcPr>
          <w:p>
            <w:pPr>
              <w:pStyle w:val="nTable"/>
              <w:keepNext/>
              <w:spacing w:after="40"/>
            </w:pPr>
            <w:r>
              <w:t>1 Nov 2019 p. 3858</w:t>
            </w:r>
            <w:r>
              <w:noBreakHyphen/>
              <w:t>9</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1 Nov 2019</w:t>
            </w:r>
            <w:r>
              <w:rPr>
                <w:bCs/>
                <w:snapToGrid w:val="0"/>
                <w:spacing w:val="-2"/>
              </w:rPr>
              <w:t xml:space="preserve"> (see r. 2(a));</w:t>
            </w:r>
            <w:r>
              <w:rPr>
                <w:bCs/>
                <w:snapToGrid w:val="0"/>
                <w:spacing w:val="-2"/>
              </w:rPr>
              <w:br/>
              <w:t xml:space="preserve">Regulations other than r. 1 and 2: 2 Nov 2019 (see r. 2(b) and </w:t>
            </w:r>
            <w:r>
              <w:rPr>
                <w:bCs/>
                <w:i/>
                <w:snapToGrid w:val="0"/>
                <w:spacing w:val="-2"/>
              </w:rPr>
              <w:t>Gazette</w:t>
            </w:r>
            <w:r>
              <w:rPr>
                <w:bCs/>
                <w:snapToGrid w:val="0"/>
                <w:spacing w:val="-2"/>
              </w:rPr>
              <w:t xml:space="preserve"> 1 Nov 2019 p. 3857)</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pPr>
            <w:r>
              <w:rPr>
                <w:i/>
              </w:rPr>
              <w:t xml:space="preserve">Liquor Control (Jarlmadangah Burru Restricted Area) Regulations 2019 </w:t>
            </w:r>
            <w:r>
              <w:t>Pt. 5</w:t>
            </w:r>
          </w:p>
        </w:tc>
        <w:tc>
          <w:tcPr>
            <w:tcW w:w="1276" w:type="dxa"/>
            <w:shd w:val="clear" w:color="auto" w:fill="auto"/>
          </w:tcPr>
          <w:p>
            <w:pPr>
              <w:pStyle w:val="nTable"/>
              <w:keepNext/>
              <w:spacing w:after="40"/>
            </w:pPr>
            <w:r>
              <w:t>13 Dec 2019 p. 4241-3</w:t>
            </w:r>
          </w:p>
        </w:tc>
        <w:tc>
          <w:tcPr>
            <w:tcW w:w="2693" w:type="dxa"/>
            <w:shd w:val="clear" w:color="auto" w:fill="auto"/>
          </w:tcPr>
          <w:p>
            <w:pPr>
              <w:pStyle w:val="nTable"/>
              <w:keepNext/>
              <w:spacing w:after="40"/>
            </w:pPr>
            <w:r>
              <w:t>14 Dec 2019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keepNext/>
              <w:spacing w:after="40"/>
              <w:rPr>
                <w:i/>
              </w:rPr>
            </w:pPr>
            <w:r>
              <w:rPr>
                <w:i/>
              </w:rPr>
              <w:t>Racing, Gaming and Liquor Regulations Amendment (Fees and Charges) Regulations 2019</w:t>
            </w:r>
            <w:r>
              <w:t xml:space="preserve"> Pt. 6</w:t>
            </w:r>
          </w:p>
        </w:tc>
        <w:tc>
          <w:tcPr>
            <w:tcW w:w="1276" w:type="dxa"/>
            <w:tcBorders>
              <w:bottom w:val="single" w:sz="4" w:space="0" w:color="auto"/>
            </w:tcBorders>
            <w:shd w:val="clear" w:color="auto" w:fill="auto"/>
          </w:tcPr>
          <w:p>
            <w:pPr>
              <w:pStyle w:val="nTable"/>
              <w:keepNext/>
              <w:spacing w:after="40"/>
            </w:pPr>
            <w:r>
              <w:t>22 Oct 2019 p. 3720</w:t>
            </w:r>
            <w:r>
              <w:noBreakHyphen/>
              <w:t>9</w:t>
            </w:r>
          </w:p>
        </w:tc>
        <w:tc>
          <w:tcPr>
            <w:tcW w:w="2693" w:type="dxa"/>
            <w:tcBorders>
              <w:bottom w:val="single" w:sz="4" w:space="0" w:color="auto"/>
            </w:tcBorders>
            <w:shd w:val="clear" w:color="auto" w:fill="auto"/>
          </w:tcPr>
          <w:p>
            <w:pPr>
              <w:pStyle w:val="nTable"/>
              <w:keepNext/>
              <w:spacing w:after="40"/>
              <w:rPr>
                <w:bCs/>
                <w:snapToGrid w:val="0"/>
                <w:spacing w:val="-2"/>
              </w:rPr>
            </w:pPr>
            <w:r>
              <w:t>1 Jan 2020 (see r. 2(b))</w:t>
            </w:r>
          </w:p>
        </w:tc>
      </w:tr>
    </w:tbl>
    <w:p>
      <w:pPr>
        <w:pStyle w:val="nHeading3"/>
      </w:pPr>
      <w:bookmarkStart w:id="100" w:name="_Toc32303786"/>
      <w:r>
        <w:t>Other notes</w:t>
      </w:r>
      <w:bookmarkEnd w:id="100"/>
    </w:p>
    <w:p>
      <w:pPr>
        <w:pStyle w:val="nNote"/>
      </w:pPr>
      <w:r>
        <w:rPr>
          <w:vertAlign w:val="superscript"/>
        </w:rPr>
        <w:t>1</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Note"/>
      </w:pPr>
      <w:r>
        <w:rPr>
          <w:vertAlign w:val="superscript"/>
        </w:rPr>
        <w:t>2</w:t>
      </w:r>
      <w:r>
        <w:tab/>
        <w:t xml:space="preserve">Repealed by the </w:t>
      </w:r>
      <w:r>
        <w:rPr>
          <w:i/>
        </w:rPr>
        <w:t xml:space="preserve">Tax </w:t>
      </w:r>
      <w:r>
        <w:rPr>
          <w:i/>
          <w:iCs/>
        </w:rPr>
        <w:t>Laws Amendment (Repeal of Inoperative Provisions) Act 2006</w:t>
      </w:r>
      <w:r>
        <w:t xml:space="preserve"> (Cwlth).</w:t>
      </w:r>
    </w:p>
    <w:p>
      <w:pPr>
        <w:pStyle w:val="nNote"/>
      </w:pPr>
      <w:r>
        <w:rPr>
          <w:vertAlign w:val="superscript"/>
        </w:rPr>
        <w:t>3</w:t>
      </w:r>
      <w:r>
        <w:tab/>
        <w:t>Commenced 1 July 2014.</w:t>
      </w:r>
    </w:p>
    <w:p>
      <w:pPr>
        <w:pStyle w:val="nNote"/>
      </w:pPr>
      <w:r>
        <w:rPr>
          <w:vertAlign w:val="superscript"/>
        </w:rPr>
        <w:t>4</w:t>
      </w:r>
      <w:r>
        <w:tab/>
        <w:t xml:space="preserve">Now known as the </w:t>
      </w:r>
      <w:r>
        <w:rPr>
          <w:i/>
          <w:iCs/>
        </w:rPr>
        <w:t>Liquor Control Regulations 1989</w:t>
      </w:r>
      <w:r>
        <w:t>; citation changed (see note under r. 1).</w:t>
      </w:r>
    </w:p>
    <w:p>
      <w:pPr>
        <w:pStyle w:val="nNote"/>
      </w:pPr>
      <w:r>
        <w:rPr>
          <w:vertAlign w:val="superscript"/>
        </w:rPr>
        <w:t>5</w:t>
      </w:r>
      <w:r>
        <w:tab/>
        <w:t xml:space="preserve">Disallowed on 26 Apr 1992, see </w:t>
      </w:r>
      <w:r>
        <w:rPr>
          <w:i/>
        </w:rPr>
        <w:t>Gazette</w:t>
      </w:r>
      <w:r>
        <w:t xml:space="preserve"> 1 May 1992 p. 1844.</w:t>
      </w:r>
    </w:p>
    <w:p>
      <w:pPr>
        <w:pStyle w:val="nNote"/>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Note"/>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Note"/>
      </w:pPr>
      <w:r>
        <w:rPr>
          <w:vertAlign w:val="superscript"/>
        </w:rPr>
        <w:t>8</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Note"/>
      </w:pPr>
      <w:r>
        <w:rPr>
          <w:vertAlign w:val="superscript"/>
        </w:rPr>
        <w:t>9</w:t>
      </w:r>
      <w:r>
        <w:tab/>
        <w:t xml:space="preserve">Disallowed on 13 Sep 2012, see </w:t>
      </w:r>
      <w:r>
        <w:rPr>
          <w:i/>
        </w:rPr>
        <w:t>Gazette</w:t>
      </w:r>
      <w:r>
        <w:t xml:space="preserve"> 18 Sep 2012 p. 4411.</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102" w:name="_Toc32303787"/>
      <w:r>
        <w:rPr>
          <w:sz w:val="28"/>
        </w:rPr>
        <w:t>Defined terms</w:t>
      </w:r>
      <w:bookmarkEnd w:id="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w:t>
      </w:r>
    </w:p>
    <w:p>
      <w:pPr>
        <w:pStyle w:val="DefinedTerms"/>
      </w:pPr>
      <w:r>
        <w:t>approval application</w:t>
      </w:r>
      <w:r>
        <w:tab/>
        <w:t>14ADA(1)</w:t>
      </w:r>
    </w:p>
    <w:p>
      <w:pPr>
        <w:pStyle w:val="DefinedTerms"/>
      </w:pPr>
      <w:r>
        <w:t>approved manager</w:t>
      </w:r>
      <w:r>
        <w:tab/>
        <w:t>3A(1)</w:t>
      </w:r>
    </w:p>
    <w:p>
      <w:pPr>
        <w:pStyle w:val="DefinedTerms"/>
      </w:pPr>
      <w:r>
        <w:t>approved provider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course of instruction or training</w:t>
      </w:r>
      <w:r>
        <w:tab/>
        <w:t>9A(10e)</w:t>
      </w:r>
    </w:p>
    <w:p>
      <w:pPr>
        <w:pStyle w:val="DefinedTerms"/>
      </w:pPr>
      <w:r>
        <w:t>crowd controller</w:t>
      </w:r>
      <w:r>
        <w:tab/>
        <w:t>3A(1)</w:t>
      </w:r>
    </w:p>
    <w:p>
      <w:pPr>
        <w:pStyle w:val="DefinedTerms"/>
      </w:pPr>
      <w:r>
        <w:t>cruise ship</w:t>
      </w:r>
      <w:r>
        <w:tab/>
        <w:t>8(3)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inter</w:t>
      </w:r>
      <w:r>
        <w:noBreakHyphen/>
        <w:t>State voyage</w:t>
      </w:r>
      <w:r>
        <w:tab/>
        <w:t>8(3)</w:t>
      </w:r>
    </w:p>
    <w:p>
      <w:pPr>
        <w:pStyle w:val="DefinedTerms"/>
      </w:pPr>
      <w:r>
        <w:t>liqueur chocolate</w:t>
      </w:r>
      <w:r>
        <w:tab/>
        <w:t>4AE(1)</w:t>
      </w:r>
    </w:p>
    <w:p>
      <w:pPr>
        <w:pStyle w:val="DefinedTerms"/>
      </w:pPr>
      <w:r>
        <w:t>liquor producer</w:t>
      </w:r>
      <w:r>
        <w:tab/>
        <w:t>8D(1)</w:t>
      </w:r>
    </w:p>
    <w:p>
      <w:pPr>
        <w:pStyle w:val="DefinedTerms"/>
      </w:pPr>
      <w:r>
        <w:t>live entertainment</w:t>
      </w:r>
      <w:r>
        <w:tab/>
        <w:t>8A(1)</w:t>
      </w:r>
    </w:p>
    <w:p>
      <w:pPr>
        <w:pStyle w:val="DefinedTerms"/>
      </w:pPr>
      <w:r>
        <w:t>manager’s approval</w:t>
      </w:r>
      <w:r>
        <w:tab/>
        <w:t>3A(1)</w:t>
      </w:r>
    </w:p>
    <w:p>
      <w:pPr>
        <w:pStyle w:val="DefinedTerms"/>
      </w:pPr>
      <w:r>
        <w:t>maximum number of patrons</w:t>
      </w:r>
      <w:r>
        <w:tab/>
        <w:t>3A(1)</w:t>
      </w:r>
    </w:p>
    <w:p>
      <w:pPr>
        <w:pStyle w:val="DefinedTerms"/>
      </w:pPr>
      <w:r>
        <w:t>metropolitan region</w:t>
      </w:r>
      <w:r>
        <w:tab/>
        <w:t>3A(1)</w:t>
      </w:r>
    </w:p>
    <w:p>
      <w:pPr>
        <w:pStyle w:val="DefinedTerms"/>
      </w:pPr>
      <w:r>
        <w:t>negative determination</w:t>
      </w:r>
      <w:r>
        <w:tab/>
        <w:t>8A(1)</w:t>
      </w:r>
    </w:p>
    <w:p>
      <w:pPr>
        <w:pStyle w:val="DefinedTerms"/>
      </w:pPr>
      <w:r>
        <w:t>notional wholesale selling price</w:t>
      </w:r>
      <w:r>
        <w:tab/>
        <w:t>3A(1)</w:t>
      </w:r>
    </w:p>
    <w:p>
      <w:pPr>
        <w:pStyle w:val="DefinedTerms"/>
      </w:pPr>
      <w:r>
        <w:t>on</w:t>
      </w:r>
      <w:r>
        <w:noBreakHyphen/>
        <w:t>demand charter vehicle authorisation</w:t>
      </w:r>
      <w:r>
        <w:tab/>
        <w:t>8F(1)</w:t>
      </w:r>
    </w:p>
    <w:p>
      <w:pPr>
        <w:pStyle w:val="DefinedTerms"/>
      </w:pPr>
      <w:r>
        <w:t>organised function</w:t>
      </w:r>
      <w:r>
        <w:tab/>
        <w:t>8E(1)</w:t>
      </w:r>
    </w:p>
    <w:p>
      <w:pPr>
        <w:pStyle w:val="DefinedTerms"/>
      </w:pPr>
      <w:r>
        <w:t>overseas voyage</w:t>
      </w:r>
      <w:r>
        <w:tab/>
        <w:t>8(3)</w:t>
      </w:r>
    </w:p>
    <w:p>
      <w:pPr>
        <w:pStyle w:val="DefinedTerms"/>
      </w:pPr>
      <w:r>
        <w:t>photograph</w:t>
      </w:r>
      <w:r>
        <w:tab/>
        <w:t>18B(3a), 18C(2)</w:t>
      </w:r>
    </w:p>
    <w:p>
      <w:pPr>
        <w:pStyle w:val="DefinedTerms"/>
      </w:pPr>
      <w:r>
        <w:t>powdered alcohol</w:t>
      </w:r>
      <w:r>
        <w:tab/>
        <w:t>4AD(1)</w:t>
      </w:r>
    </w:p>
    <w:p>
      <w:pPr>
        <w:pStyle w:val="DefinedTerms"/>
      </w:pPr>
      <w:r>
        <w:t>prescribed incident</w:t>
      </w:r>
      <w:r>
        <w:tab/>
        <w:t>3A(1)</w:t>
      </w:r>
    </w:p>
    <w:p>
      <w:pPr>
        <w:pStyle w:val="DefinedTerms"/>
      </w:pPr>
      <w:r>
        <w:t>prescribed permit</w:t>
      </w:r>
      <w:r>
        <w:tab/>
        <w:t>14AC(1)</w:t>
      </w:r>
    </w:p>
    <w:p>
      <w:pPr>
        <w:pStyle w:val="DefinedTerms"/>
      </w:pPr>
      <w:r>
        <w:t>primary producer</w:t>
      </w:r>
      <w:r>
        <w:tab/>
        <w:t>8D(1)</w:t>
      </w:r>
    </w:p>
    <w:p>
      <w:pPr>
        <w:pStyle w:val="DefinedTerms"/>
      </w:pPr>
      <w:r>
        <w:t>producer</w:t>
      </w:r>
      <w:r>
        <w:tab/>
        <w:t>3A(1)</w:t>
      </w:r>
    </w:p>
    <w:p>
      <w:pPr>
        <w:pStyle w:val="DefinedTerms"/>
      </w:pPr>
      <w:r>
        <w:t>producers’ association</w:t>
      </w:r>
      <w:r>
        <w:tab/>
        <w:t>8D(1)</w:t>
      </w:r>
    </w:p>
    <w:p>
      <w:pPr>
        <w:pStyle w:val="DefinedTerms"/>
      </w:pPr>
      <w:r>
        <w:t>purchase</w:t>
      </w:r>
      <w:r>
        <w:tab/>
        <w:t>5(2)</w:t>
      </w:r>
    </w:p>
    <w:p>
      <w:pPr>
        <w:pStyle w:val="DefinedTerms"/>
      </w:pPr>
      <w:r>
        <w:t>qualifying intra</w:t>
      </w:r>
      <w:r>
        <w:noBreakHyphen/>
        <w:t>State voyage</w:t>
      </w:r>
      <w:r>
        <w:tab/>
        <w:t>8(3)</w:t>
      </w:r>
    </w:p>
    <w:p>
      <w:pPr>
        <w:pStyle w:val="DefinedTerms"/>
      </w:pPr>
      <w:r>
        <w:t>qualifying person</w:t>
      </w:r>
      <w:r>
        <w:tab/>
        <w:t>8(3)</w:t>
      </w:r>
    </w:p>
    <w:p>
      <w:pPr>
        <w:pStyle w:val="DefinedTerms"/>
      </w:pPr>
      <w:r>
        <w:t>relevant body corporate</w:t>
      </w:r>
      <w:r>
        <w:tab/>
        <w:t>5B(2), 5B(3), 5B(4)</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resident</w:t>
      </w:r>
      <w:r>
        <w:tab/>
        <w:t>8(1), 8(2)</w:t>
      </w:r>
    </w:p>
    <w:p>
      <w:pPr>
        <w:pStyle w:val="DefinedTerms"/>
      </w:pPr>
      <w:r>
        <w:t>residential care</w:t>
      </w:r>
      <w:r>
        <w:tab/>
        <w:t>8(2)</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retirement village</w:t>
      </w:r>
      <w:r>
        <w:tab/>
        <w:t>8(2)</w:t>
      </w:r>
    </w:p>
    <w:p>
      <w:pPr>
        <w:pStyle w:val="DefinedTerms"/>
      </w:pPr>
      <w:r>
        <w:t>road</w:t>
      </w:r>
      <w:r>
        <w:tab/>
        <w:t>3A(1)</w:t>
      </w:r>
    </w:p>
    <w:p>
      <w:pPr>
        <w:pStyle w:val="DefinedTerms"/>
      </w:pPr>
      <w:r>
        <w:t>room service restaurant</w:t>
      </w:r>
      <w:r>
        <w:tab/>
        <w:t>9A(17)</w:t>
      </w:r>
    </w:p>
    <w:p>
      <w:pPr>
        <w:pStyle w:val="DefinedTerms"/>
      </w:pPr>
      <w:r>
        <w:t>sale</w:t>
      </w:r>
      <w:r>
        <w:tab/>
        <w:t>5(2)</w:t>
      </w:r>
    </w:p>
    <w:p>
      <w:pPr>
        <w:pStyle w:val="DefinedTerms"/>
      </w:pPr>
      <w:r>
        <w:t>school</w:t>
      </w:r>
      <w:r>
        <w:tab/>
        <w:t>8F(1)</w:t>
      </w:r>
    </w:p>
    <w:p>
      <w:pPr>
        <w:pStyle w:val="DefinedTerms"/>
      </w:pPr>
      <w:r>
        <w:t>signature</w:t>
      </w:r>
      <w:r>
        <w:tab/>
        <w:t>18C(2)</w:t>
      </w:r>
    </w:p>
    <w:p>
      <w:pPr>
        <w:pStyle w:val="DefinedTerms"/>
      </w:pPr>
      <w:r>
        <w:t>special event</w:t>
      </w:r>
      <w:r>
        <w:tab/>
        <w:t>9A(10e)</w:t>
      </w:r>
    </w:p>
    <w:p>
      <w:pPr>
        <w:pStyle w:val="DefinedTerms"/>
      </w:pPr>
      <w:r>
        <w:t>specified</w:t>
      </w:r>
      <w:r>
        <w:tab/>
        <w:t>9A(3)</w:t>
      </w:r>
    </w:p>
    <w:p>
      <w:pPr>
        <w:pStyle w:val="DefinedTerms"/>
      </w:pPr>
      <w:r>
        <w:t>standard drink</w:t>
      </w:r>
      <w:r>
        <w:tab/>
        <w:t>3A(1)</w:t>
      </w:r>
    </w:p>
    <w:p>
      <w:pPr>
        <w:pStyle w:val="DefinedTerms"/>
      </w:pPr>
      <w:r>
        <w:t>tax period</w:t>
      </w:r>
      <w:r>
        <w:tab/>
        <w:t>3A(1)</w:t>
      </w:r>
    </w:p>
    <w:p>
      <w:pPr>
        <w:pStyle w:val="DefinedTerms"/>
      </w:pPr>
      <w:r>
        <w:t>tourism business</w:t>
      </w:r>
      <w:r>
        <w:tab/>
        <w:t>8CA(1)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14-v0-01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14-v0-01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14-v0-01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14-v0-01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14-v0-01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14-v0-01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CharSClsNo </w:instrText>
          </w:r>
          <w:r>
            <w:rPr>
              <w:b/>
            </w:rPr>
            <w:fldChar w:fldCharType="separate"/>
          </w:r>
          <w:r>
            <w:rPr>
              <w:b/>
            </w:rPr>
            <w:t>Form 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19</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 w:name="DefinedTerms"/>
    <w:bookmarkEnd w:id="10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 w:name="Coversheet"/>
    <w:bookmarkEnd w:id="10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lvlText w:val="%1."/>
      <w:lvlJc w:val="left"/>
      <w:pPr>
        <w:tabs>
          <w:tab w:val="num" w:pos="1492"/>
        </w:tabs>
        <w:ind w:left="1492" w:hanging="360"/>
      </w:pPr>
    </w:lvl>
  </w:abstractNum>
  <w:abstractNum w:abstractNumId="1">
    <w:nsid w:val="FFFFFF7D"/>
    <w:multiLevelType w:val="singleLevel"/>
    <w:tmpl w:val="9516EC7C"/>
    <w:lvl w:ilvl="0">
      <w:start w:val="1"/>
      <w:numFmt w:val="decimal"/>
      <w:lvlText w:val="%1."/>
      <w:lvlJc w:val="left"/>
      <w:pPr>
        <w:tabs>
          <w:tab w:val="num" w:pos="1209"/>
        </w:tabs>
        <w:ind w:left="1209" w:hanging="360"/>
      </w:pPr>
    </w:lvl>
  </w:abstractNum>
  <w:abstractNum w:abstractNumId="2">
    <w:nsid w:val="FFFFFF7E"/>
    <w:multiLevelType w:val="singleLevel"/>
    <w:tmpl w:val="E4B0D01E"/>
    <w:lvl w:ilvl="0">
      <w:start w:val="1"/>
      <w:numFmt w:val="decimal"/>
      <w:lvlText w:val="%1."/>
      <w:lvlJc w:val="left"/>
      <w:pPr>
        <w:tabs>
          <w:tab w:val="num" w:pos="926"/>
        </w:tabs>
        <w:ind w:left="926" w:hanging="360"/>
      </w:pPr>
    </w:lvl>
  </w:abstractNum>
  <w:abstractNum w:abstractNumId="3">
    <w:nsid w:val="FFFFFF7F"/>
    <w:multiLevelType w:val="singleLevel"/>
    <w:tmpl w:val="44EEF1E0"/>
    <w:lvl w:ilvl="0">
      <w:start w:val="1"/>
      <w:numFmt w:val="decimal"/>
      <w:lvlText w:val="%1."/>
      <w:lvlJc w:val="left"/>
      <w:pPr>
        <w:tabs>
          <w:tab w:val="num" w:pos="643"/>
        </w:tabs>
        <w:ind w:left="643" w:hanging="360"/>
      </w:pPr>
    </w:lvl>
  </w:abstractNum>
  <w:abstractNum w:abstractNumId="4">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lvlText w:val="%1."/>
      <w:lvlJc w:val="left"/>
      <w:pPr>
        <w:tabs>
          <w:tab w:val="num" w:pos="360"/>
        </w:tabs>
        <w:ind w:left="360" w:hanging="360"/>
      </w:pPr>
    </w:lvl>
  </w:abstractNum>
  <w:abstractNum w:abstractNumId="9">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085130"/>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 w:name="WAFER_20181001135825" w:val="RemoveTocBookmarks,RemoveUnusedBookmarks,RemoveLanguageTags,UsedStyles,ResetPageSize"/>
    <w:docVar w:name="WAFER_20181001135825_GUID" w:val="b49f2d3d-6601-4f54-a770-6e168920268f"/>
    <w:docVar w:name="WAFER_20181204125652" w:val="RemoveTocBookmarks,RemoveUnusedBookmarks,RemoveLanguageTags,UsedStyles,ResetPageSize"/>
    <w:docVar w:name="WAFER_20181204125652_GUID" w:val="6a5bd5ca-d977-4730-8cc0-8d912860ba6b"/>
    <w:docVar w:name="WAFER_20190627105919" w:val="RemoveTocBookmarks,RemoveUnusedBookmarks,RemoveLanguageTags,ResetPageSize,RunningHeaders,UpdateStyles,UsedStyles"/>
    <w:docVar w:name="WAFER_20190627105919_GUID" w:val="8ea84dd6-0d96-41c8-9ad5-6ffd2291915e"/>
    <w:docVar w:name="WAFER_20190628082508" w:val="RemoveTocBookmarks,RemoveUnusedBookmarks,RemoveLanguageTags,ResetPageSize,RunningHeaders,UpdateStyles,UsedStyles"/>
    <w:docVar w:name="WAFER_20190628082508_GUID" w:val="cdbf365d-a050-4ad4-ad30-adaa1d797d45"/>
    <w:docVar w:name="WAFER_20191022160836" w:val="RemoveTocBookmarks,RemoveUnusedBookmarks,RemoveLanguageTags,ResetPageSize,RunningHeaders,UpdateStyles,UsedStyles"/>
    <w:docVar w:name="WAFER_20191022160836_GUID" w:val="55c1dbbf-dd0a-4a91-bf27-8d19c4f5ecf9"/>
    <w:docVar w:name="WAFER_20191031112850" w:val="RemoveTocBookmarks,RemoveUnusedBookmarks,RemoveLanguageTags,ResetPageSize,RunningHeaders,UpdateStyles,UsedStyles"/>
    <w:docVar w:name="WAFER_20191031112850_GUID" w:val="b253411b-ef31-4548-ae40-20a46de8e789"/>
    <w:docVar w:name="WAFER_20191203161318" w:val="RemoveTocBookmarks,RemoveUnusedBookmarks,RemoveLanguageTags,ResetPageSize,RunningHeaders,UpdateStyles,UsedStyles"/>
    <w:docVar w:name="WAFER_20191203161318_GUID" w:val="344f7623-b57f-4dea-b626-deabd3b52648"/>
    <w:docVar w:name="WAFER_202002110851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130_GUID" w:val="52803767-8359-4cdf-a1fb-f5fc5089dd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wmf"/><Relationship Id="rId30" Type="http://schemas.openxmlformats.org/officeDocument/2006/relationships/image" Target="media/image4.png"/><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BFE7F-D963-47FF-90CB-25F6A1A4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27951</Words>
  <Characters>133611</Characters>
  <Application>Microsoft Office Word</Application>
  <DocSecurity>0</DocSecurity>
  <Lines>4607</Lines>
  <Paragraphs>2738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1989 - 14-v0-01</dc:title>
  <dc:subject/>
  <dc:creator/>
  <cp:keywords/>
  <dc:description/>
  <cp:lastModifiedBy>svcMRProcess</cp:lastModifiedBy>
  <cp:revision>4</cp:revision>
  <cp:lastPrinted>2019-12-05T02:25:00Z</cp:lastPrinted>
  <dcterms:created xsi:type="dcterms:W3CDTF">2020-02-26T17:32:00Z</dcterms:created>
  <dcterms:modified xsi:type="dcterms:W3CDTF">2020-02-26T17:32:00Z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CommencementDate">
    <vt:lpwstr>20200101</vt:lpwstr>
  </property>
  <property fmtid="{D5CDD505-2E9C-101B-9397-08002B2CF9AE}" pid="8" name="AsAtDate">
    <vt:lpwstr>01 Jan 2020</vt:lpwstr>
  </property>
  <property fmtid="{D5CDD505-2E9C-101B-9397-08002B2CF9AE}" pid="9" name="Suffix">
    <vt:lpwstr>14-v0-01</vt:lpwstr>
  </property>
</Properties>
</file>