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_Toc32308233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_Toc32308234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_Toc32308235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_Toc32308236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_Toc32308237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_Toc32308238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_Toc32308239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_Toc32308240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_Toc32308241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_Toc32308244 \h </w:instrText>
      </w:r>
      <w:r>
        <w:fldChar w:fldCharType="separate"/>
      </w:r>
      <w:r>
        <w:t>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_Toc32308245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3230823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3230823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32308235"/>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32308236"/>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$158.00</w:t>
      </w:r>
      <w:r>
        <w:rPr>
          <w:snapToGrid w:val="0"/>
        </w:rPr>
        <w:t>; and</w:t>
      </w:r>
    </w:p>
    <w:p>
      <w:pPr>
        <w:pStyle w:val="Indenta"/>
        <w:rPr>
          <w:snapToGrid w:val="0"/>
        </w:rPr>
      </w:pPr>
      <w:r>
        <w:rPr>
          <w:snapToGrid w:val="0"/>
        </w:rPr>
        <w:tab/>
        <w:t>(b)</w:t>
      </w:r>
      <w:r>
        <w:rPr>
          <w:snapToGrid w:val="0"/>
        </w:rPr>
        <w:tab/>
        <w:t xml:space="preserve">for all other appeals, </w:t>
      </w:r>
      <w:r>
        <w:t>$393.50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$150.00</w:t>
      </w:r>
      <w:r>
        <w:rPr>
          <w:snapToGrid w:val="0"/>
        </w:rPr>
        <w:t>; and</w:t>
      </w:r>
    </w:p>
    <w:p>
      <w:pPr>
        <w:pStyle w:val="Indenti"/>
        <w:keepNext/>
        <w:rPr>
          <w:snapToGrid w:val="0"/>
        </w:rPr>
      </w:pPr>
      <w:r>
        <w:rPr>
          <w:snapToGrid w:val="0"/>
        </w:rPr>
        <w:tab/>
        <w:t>(ii)</w:t>
      </w:r>
      <w:r>
        <w:rPr>
          <w:snapToGrid w:val="0"/>
        </w:rPr>
        <w:tab/>
        <w:t xml:space="preserve">for all other appeals, </w:t>
      </w:r>
      <w:r>
        <w:t>$250.00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$50.00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w:t>
      </w:r>
    </w:p>
    <w:p>
      <w:pPr>
        <w:pStyle w:val="Heading5"/>
        <w:rPr>
          <w:snapToGrid w:val="0"/>
        </w:rPr>
      </w:pPr>
      <w:bookmarkStart w:id="7" w:name="_Toc32308237"/>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1</w:t>
      </w:r>
      <w:r>
        <w:rPr>
          <w:snapToGrid w:val="0"/>
        </w:rPr>
        <w:t>.</w:t>
      </w:r>
    </w:p>
    <w:p>
      <w:pPr>
        <w:pStyle w:val="Heading5"/>
        <w:rPr>
          <w:snapToGrid w:val="0"/>
        </w:rPr>
      </w:pPr>
      <w:bookmarkStart w:id="8" w:name="_Toc32308238"/>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32308239"/>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32308240"/>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32308241"/>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32308242"/>
      <w:r>
        <w:rPr>
          <w:rStyle w:val="CharSchNo"/>
        </w:rPr>
        <w:t>Schedule 1</w:t>
      </w:r>
      <w:bookmarkEnd w:id="12"/>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4" w:name="_Toc32308243"/>
      <w:r>
        <w:t>Notes</w:t>
      </w:r>
      <w:bookmarkEnd w:id="14"/>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p>
    <w:p>
      <w:pPr>
        <w:pStyle w:val="nHeading3"/>
      </w:pPr>
      <w:bookmarkStart w:id="15" w:name="_Toc32308244"/>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bottom w:val="single" w:sz="4" w:space="0" w:color="auto"/>
            </w:tcBorders>
          </w:tcPr>
          <w:p>
            <w:pPr>
              <w:pStyle w:val="nTable"/>
              <w:spacing w:after="40"/>
            </w:pPr>
            <w:r>
              <w:t>22 Oct 2019 p. 3720</w:t>
            </w:r>
            <w:r>
              <w:noBreakHyphen/>
              <w:t>9</w:t>
            </w:r>
          </w:p>
        </w:tc>
        <w:tc>
          <w:tcPr>
            <w:tcW w:w="2693" w:type="dxa"/>
            <w:tcBorders>
              <w:bottom w:val="single" w:sz="4" w:space="0" w:color="auto"/>
            </w:tcBorders>
          </w:tcPr>
          <w:p>
            <w:pPr>
              <w:pStyle w:val="nTable"/>
              <w:spacing w:after="40"/>
            </w:pPr>
            <w:r>
              <w:t>1 Jan 2020 (see r. 2(b))</w:t>
            </w:r>
          </w:p>
        </w:tc>
      </w:tr>
    </w:tbl>
    <w:p>
      <w:pPr>
        <w:pStyle w:val="nHeading3"/>
      </w:pPr>
      <w:bookmarkStart w:id="16" w:name="_Toc32308245"/>
      <w:r>
        <w:t>Other notes</w:t>
      </w:r>
      <w:bookmarkEnd w:id="16"/>
    </w:p>
    <w:p>
      <w:pPr>
        <w:pStyle w:val="nNote"/>
        <w:keepNext/>
      </w:pPr>
      <w:r>
        <w:rPr>
          <w:vertAlign w:val="superscript"/>
        </w:rPr>
        <w:t>1</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Note"/>
      </w:pPr>
      <w:r>
        <w:tab/>
        <w:t xml:space="preserve">Under the </w:t>
      </w:r>
      <w:r>
        <w:rPr>
          <w:i/>
        </w:rPr>
        <w:t xml:space="preserve">Legal Profession Act 2008 </w:t>
      </w:r>
      <w:r>
        <w:t>s. 630(2), a reference in an Act to a legal practitioner may, if the context permits, be read as a reference to an Australian lawyer.</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0552"/>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8FFE-8A7F-464E-9568-77568CD6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1731</Words>
  <Characters>7896</Characters>
  <Application>Microsoft Office Word</Application>
  <DocSecurity>0</DocSecurity>
  <Lines>315</Lines>
  <Paragraphs>188</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1991 - 03-m0-01</dc:title>
  <dc:subject/>
  <dc:creator/>
  <cp:keywords/>
  <dc:description/>
  <cp:lastModifiedBy>svcMRProcess</cp:lastModifiedBy>
  <cp:revision>4</cp:revision>
  <cp:lastPrinted>2019-12-05T03:43:00Z</cp:lastPrinted>
  <dcterms:created xsi:type="dcterms:W3CDTF">2020-02-27T19:03:00Z</dcterms:created>
  <dcterms:modified xsi:type="dcterms:W3CDTF">2020-02-27T19:03:00Z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03-m0-01</vt:lpwstr>
  </property>
</Properties>
</file>