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_Toc32410100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_Toc32410101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_Toc32410102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 of these rules</w:t>
      </w:r>
      <w:r>
        <w:tab/>
      </w:r>
      <w:r>
        <w:fldChar w:fldCharType="begin"/>
      </w:r>
      <w:r>
        <w:instrText xml:space="preserve"> PAGEREF _Toc32410103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decision of Director (s. 25 of Act)</w:t>
      </w:r>
      <w:r>
        <w:tab/>
      </w:r>
      <w:r>
        <w:fldChar w:fldCharType="begin"/>
      </w:r>
      <w:r>
        <w:instrText xml:space="preserve"> PAGEREF _Toc32410105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decision of Commission constituted by one member (s. 28(4a) of Act)</w:t>
      </w:r>
      <w:r>
        <w:tab/>
      </w:r>
      <w:r>
        <w:fldChar w:fldCharType="begin"/>
      </w:r>
      <w:r>
        <w:instrText xml:space="preserve"> PAGEREF _Toc32410106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 Act)</w:t>
      </w:r>
      <w:r>
        <w:tab/>
      </w:r>
      <w:r>
        <w:fldChar w:fldCharType="begin"/>
      </w:r>
      <w:r>
        <w:instrText xml:space="preserve"> PAGEREF _Toc32410107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Lodging written submissions for proceedings</w:t>
      </w:r>
      <w:r>
        <w:tab/>
      </w:r>
      <w:r>
        <w:fldChar w:fldCharType="begin"/>
      </w:r>
      <w:r>
        <w:instrText xml:space="preserve"> PAGEREF _Toc32410108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_Toc32410109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_Toc32410110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_Toc32410111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_Toc32410112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_Toc32410113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Commission</w:t>
      </w:r>
      <w:r>
        <w:tab/>
      </w:r>
      <w:r>
        <w:fldChar w:fldCharType="begin"/>
      </w:r>
      <w:r>
        <w:instrText xml:space="preserve"> PAGEREF _Toc32410115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_Toc32410116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_Toc32410117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Costs and charges payable in relation to proceedings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_Toc32410120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32410076"/>
      <w:bookmarkStart w:id="4" w:name="_Toc3241009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Heading5"/>
      </w:pPr>
      <w:bookmarkStart w:id="5" w:name="_Toc32410100"/>
      <w:r>
        <w:rPr>
          <w:rStyle w:val="CharSectno"/>
        </w:rPr>
        <w:t>1</w:t>
      </w:r>
      <w:r>
        <w:t>.</w:t>
      </w:r>
      <w:r>
        <w:tab/>
        <w:t>Citation</w:t>
      </w:r>
      <w:bookmarkEnd w:id="5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7" w:name="_Toc3241010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8" w:name="_Toc32410102"/>
      <w:r>
        <w:rPr>
          <w:rStyle w:val="CharSectno"/>
        </w:rPr>
        <w:t>3</w:t>
      </w:r>
      <w:r>
        <w:t>.</w:t>
      </w:r>
      <w:r>
        <w:tab/>
        <w:t>Terms used</w:t>
      </w:r>
      <w:bookmarkEnd w:id="8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2251.]</w:t>
      </w:r>
    </w:p>
    <w:p>
      <w:pPr>
        <w:pStyle w:val="Heading5"/>
        <w:rPr>
          <w:rStyle w:val="CharSectno"/>
        </w:rPr>
      </w:pPr>
      <w:bookmarkStart w:id="9" w:name="_Toc32410103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9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0" w:name="_Toc32410081"/>
      <w:bookmarkStart w:id="11" w:name="_Toc32410104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0"/>
      <w:bookmarkEnd w:id="11"/>
    </w:p>
    <w:p>
      <w:pPr>
        <w:pStyle w:val="Heading5"/>
      </w:pPr>
      <w:bookmarkStart w:id="12" w:name="_Toc32410105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12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13" w:name="_Toc32410106"/>
      <w:r>
        <w:rPr>
          <w:rStyle w:val="CharSectno"/>
        </w:rPr>
        <w:t>6</w:t>
      </w:r>
      <w:r>
        <w:t>.</w:t>
      </w:r>
      <w:r>
        <w:tab/>
        <w:t>Appeals against decision of Commission constituted by one member (s. 28(4a) of Act)</w:t>
      </w:r>
      <w:bookmarkEnd w:id="13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14" w:name="_Toc32410107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14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15" w:name="_Toc32410108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15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16" w:name="_Toc32410109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16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17" w:name="_Toc32410110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17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18" w:name="_Toc32410111"/>
      <w:r>
        <w:rPr>
          <w:rStyle w:val="CharSectno"/>
        </w:rPr>
        <w:t>10</w:t>
      </w:r>
      <w:r>
        <w:t>.</w:t>
      </w:r>
      <w:r>
        <w:tab/>
        <w:t>Withdrawal</w:t>
      </w:r>
      <w:bookmarkEnd w:id="18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19" w:name="_Toc32410112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19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20" w:name="_Toc32410113"/>
      <w:r>
        <w:rPr>
          <w:rStyle w:val="CharSectno"/>
        </w:rPr>
        <w:t>12</w:t>
      </w:r>
      <w:r>
        <w:t>.</w:t>
      </w:r>
      <w:r>
        <w:tab/>
        <w:t>Costs orders</w:t>
      </w:r>
      <w:bookmarkEnd w:id="20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21" w:name="_Toc32410091"/>
      <w:bookmarkStart w:id="22" w:name="_Toc32410114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1"/>
      <w:bookmarkEnd w:id="22"/>
    </w:p>
    <w:p>
      <w:pPr>
        <w:pStyle w:val="Heading5"/>
      </w:pPr>
      <w:bookmarkStart w:id="23" w:name="_Toc32410115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23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Ednotesection"/>
      </w:pPr>
      <w:r>
        <w:t>[</w:t>
      </w:r>
      <w:r>
        <w:rPr>
          <w:b/>
        </w:rPr>
        <w:t>14.</w:t>
      </w:r>
      <w:r>
        <w:tab/>
        <w:t>Deleted: Gazette 21 Jun 2011 p. 2251.]</w:t>
      </w:r>
    </w:p>
    <w:p>
      <w:pPr>
        <w:pStyle w:val="Heading5"/>
      </w:pPr>
      <w:bookmarkStart w:id="24" w:name="_Toc32410116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24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25" w:name="_Toc32410117"/>
      <w:r>
        <w:rPr>
          <w:rStyle w:val="CharSectno"/>
        </w:rPr>
        <w:t>16</w:t>
      </w:r>
      <w:r>
        <w:t>.</w:t>
      </w:r>
      <w:r>
        <w:tab/>
        <w:t>Repeal and savings</w:t>
      </w:r>
      <w:bookmarkEnd w:id="25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32410095"/>
      <w:bookmarkStart w:id="27" w:name="_Toc3241011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26"/>
      <w:bookmarkEnd w:id="27"/>
    </w:p>
    <w:p>
      <w:pPr>
        <w:pStyle w:val="yShoulderClause"/>
        <w:spacing w:after="60"/>
      </w:pPr>
      <w:r>
        <w:t>[r. 15]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495" w:type="dxa"/>
          </w:tcPr>
          <w:p>
            <w:pPr>
              <w:pStyle w:val="yTableNAm"/>
            </w:pPr>
            <w: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Cost per page for the supply of a copy of a document or transcript of an electronic recording under rule 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4328; 10 Sep 2019 p. 3226.]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32410096"/>
      <w:bookmarkStart w:id="30" w:name="_Toc32410119"/>
      <w:r>
        <w:t>Notes</w:t>
      </w:r>
      <w:bookmarkEnd w:id="29"/>
      <w:bookmarkEnd w:id="3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Commission Rules 2007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1" w:name="_Toc32410120"/>
      <w:r>
        <w:t>Compilation table</w:t>
      </w:r>
      <w:bookmarkEnd w:id="3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6"/>
        <w:gridCol w:w="29"/>
        <w:gridCol w:w="2363"/>
      </w:tblGrid>
      <w:tr>
        <w:trPr>
          <w:tblHeader/>
        </w:trPr>
        <w:tc>
          <w:tcPr>
            <w:tcW w:w="31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3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6786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  <w:spacing w:val="-2"/>
              </w:rPr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Sep 2019 p. 3225-6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10 Sep 2019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Jan 2020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3" w:name="_Toc32410098"/>
      <w:bookmarkStart w:id="34" w:name="_Toc32410121"/>
      <w:r>
        <w:rPr>
          <w:sz w:val="28"/>
        </w:rPr>
        <w:t>Defined terms</w:t>
      </w:r>
      <w:bookmarkEnd w:id="33"/>
      <w:bookmarkEnd w:id="3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8A(2)</w:t>
      </w:r>
    </w:p>
    <w:p>
      <w:pPr>
        <w:pStyle w:val="DefinedTerms"/>
      </w:pPr>
      <w:r>
        <w:t>commencement day</w:t>
      </w:r>
      <w:r>
        <w:tab/>
        <w:t>16(3)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lodge</w:t>
      </w:r>
      <w:r>
        <w:tab/>
        <w:t>3</w:t>
      </w:r>
    </w:p>
    <w:p>
      <w:pPr>
        <w:pStyle w:val="DefinedTerms"/>
      </w:pPr>
      <w:r>
        <w:t>party</w:t>
      </w:r>
      <w:r>
        <w:tab/>
        <w:t>3</w:t>
      </w:r>
    </w:p>
    <w:p>
      <w:pPr>
        <w:pStyle w:val="DefinedTerms"/>
      </w:pPr>
      <w:r>
        <w:t>proceedings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repealed rules</w:t>
      </w:r>
      <w:r>
        <w:tab/>
        <w:t>16(3)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Schedule"/>
    <w:bookmarkEnd w:id="2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5" w:name="DefinedTerms"/>
    <w:bookmarkEnd w:id="35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Practice and procedure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Practice and procedure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8A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212142503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  <w:docVar w:name="WAFER_20190909101310" w:val="RemoveTocBookmarks,RemoveUnusedBookmarks,RemoveLanguageTags,ResetPageSize,RunningHeaders,UpdateStyles,UsedStyles"/>
    <w:docVar w:name="WAFER_20190909101310_GUID" w:val="56218362-7394-41cb-aee9-c5b8890124fb"/>
    <w:docVar w:name="WAFER_20190909102018" w:val="RemoveTocBookmarks,RemoveUnusedBookmarks,RemoveLanguageTags,ResetPageSize,RunningHeaders,UpdateStyles,UsedStyles"/>
    <w:docVar w:name="WAFER_20190909102018_GUID" w:val="bfdcf0c2-b550-4f73-b74b-a14768bb0af1"/>
    <w:docVar w:name="WAFER_20191202164054" w:val="RemoveTocBookmarks,RemoveUnusedBookmarks,RemoveLanguageTags,ResetPageSize,RunningHeaders,UpdateStyles,UsedStyles"/>
    <w:docVar w:name="WAFER_20191202164054_GUID" w:val="df8c5c0a-2d4d-4bd7-9689-5983061bd8ad"/>
    <w:docVar w:name="WAFER_2020021214250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42503_GUID" w:val="c3903adf-d747-4959-8b56-5c7f44b7c4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86E1-731B-4024-AADB-5CC1A2F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1940</Words>
  <Characters>9139</Characters>
  <Application>Microsoft Office Word</Application>
  <DocSecurity>0</DocSecurity>
  <Lines>326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2007 - 01-c0-04</dc:title>
  <dc:subject/>
  <dc:creator/>
  <cp:keywords/>
  <dc:description/>
  <cp:lastModifiedBy>svcMRProcess</cp:lastModifiedBy>
  <cp:revision>4</cp:revision>
  <cp:lastPrinted>2017-03-21T01:20:00Z</cp:lastPrinted>
  <dcterms:created xsi:type="dcterms:W3CDTF">2020-02-25T00:11:00Z</dcterms:created>
  <dcterms:modified xsi:type="dcterms:W3CDTF">2020-02-25T00:11:00Z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CommencementDate">
    <vt:lpwstr>20200101</vt:lpwstr>
  </property>
  <property fmtid="{D5CDD505-2E9C-101B-9397-08002B2CF9AE}" pid="8" name="AsAtDate">
    <vt:lpwstr>01 Jan 2020</vt:lpwstr>
  </property>
  <property fmtid="{D5CDD505-2E9C-101B-9397-08002B2CF9AE}" pid="9" name="Suffix">
    <vt:lpwstr>01-c0-04</vt:lpwstr>
  </property>
</Properties>
</file>