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(Towed Agricultural Implements)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Road Traffic (Towed Agricultural Implements) Regulations 1995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_Toc131831488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_Toc131831489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Lighting equipment generally</w:t>
      </w:r>
      <w:r>
        <w:tab/>
      </w:r>
      <w:r>
        <w:fldChar w:fldCharType="begin"/>
      </w:r>
      <w:r>
        <w:instrText xml:space="preserve"> PAGEREF _Toc131831490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Positioning of lighting equipment generally</w:t>
      </w:r>
      <w:r>
        <w:tab/>
      </w:r>
      <w:r>
        <w:fldChar w:fldCharType="begin"/>
      </w:r>
      <w:r>
        <w:instrText xml:space="preserve"> PAGEREF _Toc131831491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Stop lights</w:t>
      </w:r>
      <w:r>
        <w:tab/>
      </w:r>
      <w:r>
        <w:fldChar w:fldCharType="begin"/>
      </w:r>
      <w:r>
        <w:instrText xml:space="preserve"> PAGEREF _Toc131831492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Reflectors</w:t>
      </w:r>
      <w:r>
        <w:tab/>
      </w:r>
      <w:r>
        <w:fldChar w:fldCharType="begin"/>
      </w:r>
      <w:r>
        <w:instrText xml:space="preserve"> PAGEREF _Toc131831493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 xml:space="preserve">Rear </w:t>
      </w:r>
      <w:r>
        <w:rPr>
          <w:szCs w:val="24"/>
        </w:rPr>
        <w:t>lights</w:t>
      </w:r>
      <w:r>
        <w:tab/>
      </w:r>
      <w:r>
        <w:fldChar w:fldCharType="begin"/>
      </w:r>
      <w:r>
        <w:instrText xml:space="preserve"> PAGEREF _Toc131831494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 xml:space="preserve">Signalling </w:t>
      </w:r>
      <w:r>
        <w:rPr>
          <w:szCs w:val="24"/>
        </w:rPr>
        <w:t>lights</w:t>
      </w:r>
      <w:r>
        <w:tab/>
      </w:r>
      <w:r>
        <w:fldChar w:fldCharType="begin"/>
      </w:r>
      <w:r>
        <w:instrText xml:space="preserve"> PAGEREF _Toc131831495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Clearance lights</w:t>
      </w:r>
      <w:r>
        <w:tab/>
      </w:r>
      <w:r>
        <w:fldChar w:fldCharType="begin"/>
      </w:r>
      <w:r>
        <w:instrText xml:space="preserve"> PAGEREF _Toc131831496 \h </w:instrText>
      </w:r>
      <w:r>
        <w:fldChar w:fldCharType="separate"/>
      </w:r>
      <w:r>
        <w:t>6</w:t>
      </w:r>
      <w:r>
        <w:fldChar w:fldCharType="end"/>
      </w:r>
    </w:p>
    <w:p>
      <w:pPr>
        <w:pStyle w:val="TOC8"/>
        <w:rPr>
          <w:sz w:val="24"/>
          <w:szCs w:val="24"/>
        </w:rPr>
      </w:pPr>
      <w:r>
        <w:rPr>
          <w:szCs w:val="24"/>
        </w:rPr>
        <w:t>11.</w:t>
      </w:r>
      <w:r>
        <w:rPr>
          <w:szCs w:val="24"/>
        </w:rPr>
        <w:tab/>
        <w:t>Flashing amber light</w:t>
      </w:r>
      <w:r>
        <w:tab/>
      </w:r>
      <w:r>
        <w:fldChar w:fldCharType="begin"/>
      </w:r>
      <w:r>
        <w:instrText xml:space="preserve"> PAGEREF _Toc131831497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Brakes</w:t>
      </w:r>
      <w:r>
        <w:tab/>
      </w:r>
      <w:r>
        <w:fldChar w:fldCharType="begin"/>
      </w:r>
      <w:r>
        <w:instrText xml:space="preserve"> PAGEREF _Toc131831498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Safety of components and attachments</w:t>
      </w:r>
      <w:r>
        <w:tab/>
      </w:r>
      <w:r>
        <w:fldChar w:fldCharType="begin"/>
      </w:r>
      <w:r>
        <w:instrText xml:space="preserve"> PAGEREF _Toc131831499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Safety chains</w:t>
      </w:r>
      <w:r>
        <w:tab/>
      </w:r>
      <w:r>
        <w:fldChar w:fldCharType="begin"/>
      </w:r>
      <w:r>
        <w:instrText xml:space="preserve"> PAGEREF _Toc131831500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Portable warning signs</w:t>
      </w:r>
      <w:r>
        <w:tab/>
      </w:r>
      <w:r>
        <w:fldChar w:fldCharType="begin"/>
      </w:r>
      <w:r>
        <w:instrText xml:space="preserve"> PAGEREF _Toc131831501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Towed mass ratios</w:t>
      </w:r>
      <w:r>
        <w:tab/>
      </w:r>
      <w:r>
        <w:fldChar w:fldCharType="begin"/>
      </w:r>
      <w:r>
        <w:instrText xml:space="preserve"> PAGEREF _Toc131831502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 xml:space="preserve">Towing on a road </w:t>
      </w:r>
      <w:r>
        <w:rPr>
          <w:szCs w:val="24"/>
        </w:rPr>
        <w:t>at night</w:t>
      </w:r>
      <w:r>
        <w:rPr>
          <w:szCs w:val="24"/>
        </w:rPr>
        <w:noBreakHyphen/>
        <w:t>time</w:t>
      </w:r>
      <w:r>
        <w:tab/>
      </w:r>
      <w:r>
        <w:fldChar w:fldCharType="begin"/>
      </w:r>
      <w:r>
        <w:instrText xml:space="preserve"> PAGEREF _Toc131831503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Speed restrictions</w:t>
      </w:r>
      <w:r>
        <w:tab/>
      </w:r>
      <w:r>
        <w:fldChar w:fldCharType="begin"/>
      </w:r>
      <w:r>
        <w:instrText xml:space="preserve"> PAGEREF _Toc131831504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Movements of combinations within the metropolitan area, during peak hours and on freeways</w:t>
      </w:r>
      <w:r>
        <w:tab/>
      </w:r>
      <w:r>
        <w:fldChar w:fldCharType="begin"/>
      </w:r>
      <w:r>
        <w:instrText xml:space="preserve"> PAGEREF _Toc131831505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Parking of combinations on a carriageway</w:t>
      </w:r>
      <w:r>
        <w:tab/>
      </w:r>
      <w:r>
        <w:fldChar w:fldCharType="begin"/>
      </w:r>
      <w:r>
        <w:instrText xml:space="preserve"> PAGEREF _Toc131831506 \h </w:instrText>
      </w:r>
      <w:r>
        <w:fldChar w:fldCharType="separate"/>
      </w:r>
      <w:r>
        <w:t>10</w:t>
      </w:r>
      <w:r>
        <w:fldChar w:fldCharType="end"/>
      </w:r>
    </w:p>
    <w:p>
      <w:pPr>
        <w:pStyle w:val="TOC8"/>
        <w:rPr>
          <w:sz w:val="24"/>
          <w:szCs w:val="24"/>
        </w:rPr>
      </w:pPr>
      <w:r>
        <w:rPr>
          <w:szCs w:val="24"/>
        </w:rPr>
        <w:t>21.</w:t>
      </w:r>
      <w:r>
        <w:rPr>
          <w:szCs w:val="24"/>
        </w:rPr>
        <w:tab/>
        <w:t>Head lights</w:t>
      </w:r>
      <w:r>
        <w:tab/>
      </w:r>
      <w:r>
        <w:fldChar w:fldCharType="begin"/>
      </w:r>
      <w:r>
        <w:instrText xml:space="preserve"> PAGEREF _Toc131831507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Mirrors</w:t>
      </w:r>
      <w:r>
        <w:tab/>
      </w:r>
      <w:r>
        <w:fldChar w:fldCharType="begin"/>
      </w:r>
      <w:r>
        <w:instrText xml:space="preserve"> PAGEREF _Toc131831508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Warning flags</w:t>
      </w:r>
      <w:r>
        <w:tab/>
      </w:r>
      <w:r>
        <w:fldChar w:fldCharType="begin"/>
      </w:r>
      <w:r>
        <w:instrText xml:space="preserve"> PAGEREF _Toc131831509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Certain vehicles may be equipped with flashing amber light</w:t>
      </w:r>
      <w:r>
        <w:tab/>
      </w:r>
      <w:r>
        <w:fldChar w:fldCharType="begin"/>
      </w:r>
      <w:r>
        <w:instrText xml:space="preserve"> PAGEREF _Toc131831510 \h </w:instrText>
      </w:r>
      <w:r>
        <w:fldChar w:fldCharType="separate"/>
      </w:r>
      <w:r>
        <w:t>12</w:t>
      </w:r>
      <w:r>
        <w:fldChar w:fldCharType="end"/>
      </w:r>
    </w:p>
    <w:p>
      <w:pPr>
        <w:pStyle w:val="TOC8"/>
        <w:rPr>
          <w:sz w:val="24"/>
          <w:szCs w:val="24"/>
        </w:rPr>
      </w:pPr>
      <w:r>
        <w:rPr>
          <w:szCs w:val="24"/>
        </w:rPr>
        <w:lastRenderedPageBreak/>
        <w:t>25</w:t>
      </w:r>
      <w:r>
        <w:rPr>
          <w:snapToGrid w:val="0"/>
          <w:szCs w:val="24"/>
        </w:rPr>
        <w:t>.</w:t>
      </w:r>
      <w:r>
        <w:rPr>
          <w:snapToGrid w:val="0"/>
          <w:szCs w:val="24"/>
        </w:rPr>
        <w:tab/>
        <w:t>Oversize combinations</w:t>
      </w:r>
      <w:r>
        <w:tab/>
      </w:r>
      <w:r>
        <w:fldChar w:fldCharType="begin"/>
      </w:r>
      <w:r>
        <w:instrText xml:space="preserve"> PAGEREF _Toc131831511 \h </w:instrText>
      </w:r>
      <w:r>
        <w:fldChar w:fldCharType="separate"/>
      </w:r>
      <w:r>
        <w:t>12</w:t>
      </w:r>
      <w:r>
        <w:fldChar w:fldCharType="end"/>
      </w:r>
    </w:p>
    <w:p>
      <w:pPr>
        <w:pStyle w:val="TOC8"/>
        <w:rPr>
          <w:sz w:val="24"/>
          <w:szCs w:val="24"/>
        </w:rPr>
      </w:pPr>
      <w:r>
        <w:rPr>
          <w:szCs w:val="24"/>
        </w:rPr>
        <w:t>25A.</w:t>
      </w:r>
      <w:r>
        <w:rPr>
          <w:szCs w:val="24"/>
        </w:rPr>
        <w:tab/>
        <w:t>Communication between drivers</w:t>
      </w:r>
      <w:r>
        <w:tab/>
      </w:r>
      <w:r>
        <w:fldChar w:fldCharType="begin"/>
      </w:r>
      <w:r>
        <w:instrText xml:space="preserve"> PAGEREF _Toc131831512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Convoys</w:t>
      </w:r>
      <w:r>
        <w:tab/>
      </w:r>
      <w:r>
        <w:fldChar w:fldCharType="begin"/>
      </w:r>
      <w:r>
        <w:instrText xml:space="preserve"> PAGEREF _Toc131831513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Movement of excessively high combinations</w:t>
      </w:r>
      <w:r>
        <w:tab/>
      </w:r>
      <w:r>
        <w:fldChar w:fldCharType="begin"/>
      </w:r>
      <w:r>
        <w:instrText xml:space="preserve"> PAGEREF _Toc131831514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Movement of excessively wide or long combinations</w:t>
      </w:r>
      <w:r>
        <w:tab/>
      </w:r>
      <w:r>
        <w:fldChar w:fldCharType="begin"/>
      </w:r>
      <w:r>
        <w:instrText xml:space="preserve"> PAGEREF _Toc131831515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Limit on combinations</w:t>
      </w:r>
      <w:r>
        <w:tab/>
      </w:r>
      <w:r>
        <w:fldChar w:fldCharType="begin"/>
      </w:r>
      <w:r>
        <w:instrText xml:space="preserve"> PAGEREF _Toc131831516 \h </w:instrText>
      </w:r>
      <w:r>
        <w:fldChar w:fldCharType="separate"/>
      </w:r>
      <w:r>
        <w:t>16</w:t>
      </w:r>
      <w:r>
        <w:fldChar w:fldCharType="end"/>
      </w:r>
    </w:p>
    <w:p>
      <w:pPr>
        <w:pStyle w:val="TOC8"/>
        <w:rPr>
          <w:sz w:val="24"/>
          <w:szCs w:val="24"/>
        </w:rPr>
      </w:pPr>
      <w:r>
        <w:rPr>
          <w:szCs w:val="24"/>
        </w:rPr>
        <w:t>29A.</w:t>
      </w:r>
      <w:r>
        <w:rPr>
          <w:szCs w:val="24"/>
        </w:rPr>
        <w:tab/>
        <w:t>Director General may grant exemptions</w:t>
      </w:r>
      <w:r>
        <w:tab/>
      </w:r>
      <w:r>
        <w:fldChar w:fldCharType="begin"/>
      </w:r>
      <w:r>
        <w:instrText xml:space="preserve"> PAGEREF _Toc131831517 \h </w:instrText>
      </w:r>
      <w:r>
        <w:fldChar w:fldCharType="separate"/>
      </w:r>
      <w:r>
        <w:t>16</w:t>
      </w:r>
      <w:r>
        <w:fldChar w:fldCharType="end"/>
      </w:r>
    </w:p>
    <w:p>
      <w:pPr>
        <w:pStyle w:val="TOC8"/>
        <w:rPr>
          <w:sz w:val="24"/>
          <w:szCs w:val="24"/>
        </w:rPr>
      </w:pPr>
      <w:r>
        <w:rPr>
          <w:szCs w:val="24"/>
        </w:rPr>
        <w:t>29B.</w:t>
      </w:r>
      <w:r>
        <w:rPr>
          <w:szCs w:val="24"/>
        </w:rPr>
        <w:tab/>
        <w:t>Movements of combinations may be authorised by permits</w:t>
      </w:r>
      <w:r>
        <w:tab/>
      </w:r>
      <w:r>
        <w:fldChar w:fldCharType="begin"/>
      </w:r>
      <w:r>
        <w:instrText xml:space="preserve"> PAGEREF _Toc131831518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General duty of drivers and offences and penalties</w:t>
      </w:r>
      <w:r>
        <w:tab/>
      </w:r>
      <w:r>
        <w:fldChar w:fldCharType="begin"/>
      </w:r>
      <w:r>
        <w:instrText xml:space="preserve"> PAGEREF _Toc131831519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_Toc131831521 \h </w:instrText>
      </w:r>
      <w:r>
        <w:fldChar w:fldCharType="separate"/>
      </w:r>
      <w:r>
        <w:t>19</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(Towed Agricultural Implements) Regulations 1995</w:t>
      </w:r>
    </w:p>
    <w:p>
      <w:pPr>
        <w:pStyle w:val="Heading5"/>
        <w:rPr>
          <w:snapToGrid w:val="0"/>
        </w:rPr>
      </w:pPr>
      <w:bookmarkStart w:id="1" w:name="_Toc23927369"/>
      <w:bookmarkStart w:id="2" w:name="_Toc29275698"/>
      <w:bookmarkStart w:id="3" w:name="_Toc38944389"/>
      <w:bookmarkStart w:id="4" w:name="_Toc128541303"/>
      <w:bookmarkStart w:id="5" w:name="_Toc131831488"/>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pPr>
      <w:r>
        <w:t>[</w:t>
      </w:r>
      <w:r>
        <w:rPr>
          <w:b/>
        </w:rPr>
        <w:t>2.</w:t>
      </w:r>
      <w:r>
        <w:tab/>
      </w:r>
      <w:r>
        <w:tab/>
        <w:t>Omitted under the Reprints Act 1984 s. 7(4)(f).]</w:t>
      </w:r>
    </w:p>
    <w:p>
      <w:pPr>
        <w:pStyle w:val="Heading5"/>
        <w:rPr>
          <w:snapToGrid w:val="0"/>
        </w:rPr>
      </w:pPr>
      <w:bookmarkStart w:id="6" w:name="_Toc23927371"/>
      <w:bookmarkStart w:id="7" w:name="_Toc29275700"/>
      <w:bookmarkStart w:id="8" w:name="_Toc38944391"/>
      <w:bookmarkStart w:id="9" w:name="_Toc128541304"/>
      <w:bookmarkStart w:id="10" w:name="_Toc131831489"/>
      <w:r>
        <w:rPr>
          <w:rStyle w:val="CharSectno"/>
        </w:rPr>
        <w:t>3</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flashing amber light</w:t>
      </w:r>
      <w:r>
        <w:rPr>
          <w:b/>
        </w:rPr>
        <w:t>”</w:t>
      </w:r>
      <w:r>
        <w:t xml:space="preserve"> has a meaning that is affected by regulation 11;</w:t>
      </w:r>
    </w:p>
    <w:p>
      <w:pPr>
        <w:pStyle w:val="Defstart"/>
      </w:pPr>
      <w:r>
        <w:rPr>
          <w:b/>
        </w:rPr>
        <w:tab/>
        <w:t>“</w:t>
      </w:r>
      <w:r>
        <w:rPr>
          <w:rStyle w:val="CharDefText"/>
        </w:rPr>
        <w:t>night</w:t>
      </w:r>
      <w:r>
        <w:rPr>
          <w:rStyle w:val="CharDefText"/>
        </w:rPr>
        <w:noBreakHyphen/>
        <w:t>time</w:t>
      </w:r>
      <w:r>
        <w:rPr>
          <w:b/>
        </w:rPr>
        <w:t>”</w:t>
      </w:r>
      <w:r>
        <w:t xml:space="preserve"> means the period between sunset and sunrise;</w:t>
      </w:r>
    </w:p>
    <w:p>
      <w:pPr>
        <w:pStyle w:val="Defstart"/>
      </w:pPr>
      <w:r>
        <w:rPr>
          <w:b/>
        </w:rPr>
        <w:tab/>
        <w:t>“</w:t>
      </w:r>
      <w:r>
        <w:rPr>
          <w:rStyle w:val="CharDefText"/>
        </w:rPr>
        <w:t>on a road</w:t>
      </w:r>
      <w:r>
        <w:rPr>
          <w:b/>
        </w:rPr>
        <w:t>”</w:t>
      </w:r>
      <w:r>
        <w:t xml:space="preserve"> includes partly on a road;</w:t>
      </w:r>
    </w:p>
    <w:p>
      <w:pPr>
        <w:pStyle w:val="Defstart"/>
      </w:pPr>
      <w:r>
        <w:rPr>
          <w:b/>
        </w:rPr>
        <w:tab/>
        <w:t>“</w:t>
      </w:r>
      <w:r>
        <w:rPr>
          <w:rStyle w:val="CharDefText"/>
        </w:rPr>
        <w:t>tow</w:t>
      </w:r>
      <w:r>
        <w:rPr>
          <w:b/>
        </w:rPr>
        <w:t>”</w:t>
      </w:r>
      <w:r>
        <w:t xml:space="preserve"> includes haul;</w:t>
      </w:r>
    </w:p>
    <w:p>
      <w:pPr>
        <w:pStyle w:val="Defstart"/>
      </w:pPr>
      <w:r>
        <w:rPr>
          <w:b/>
        </w:rPr>
        <w:tab/>
        <w:t>“</w:t>
      </w:r>
      <w:r>
        <w:rPr>
          <w:rStyle w:val="CharDefText"/>
        </w:rPr>
        <w:t>towed implement</w:t>
      </w:r>
      <w:r>
        <w:rPr>
          <w:b/>
        </w:rPr>
        <w:t>”</w:t>
      </w:r>
      <w:r>
        <w:t xml:space="preserve"> means an agricultural implement which is being towed by a motor vehicle or is attached to a motor vehicle for the purpose of being towed by it;</w:t>
      </w:r>
    </w:p>
    <w:p>
      <w:pPr>
        <w:pStyle w:val="Defstart"/>
      </w:pPr>
      <w:r>
        <w:rPr>
          <w:b/>
        </w:rPr>
        <w:tab/>
        <w:t>“</w:t>
      </w:r>
      <w:r>
        <w:rPr>
          <w:rStyle w:val="CharDefText"/>
        </w:rPr>
        <w:t>towing vehicle</w:t>
      </w:r>
      <w:r>
        <w:rPr>
          <w:b/>
        </w:rPr>
        <w:t>”</w:t>
      </w:r>
      <w:r>
        <w:t xml:space="preserve"> means a motor vehicle which is towing an agricultural implement or is attached to an agricultural implement for the purpose of towing it;</w:t>
      </w:r>
    </w:p>
    <w:p>
      <w:pPr>
        <w:pStyle w:val="Defstart"/>
      </w:pPr>
      <w:r>
        <w:rPr>
          <w:b/>
        </w:rPr>
        <w:tab/>
        <w:t>“</w:t>
      </w:r>
      <w:r>
        <w:rPr>
          <w:rStyle w:val="CharDefText"/>
        </w:rPr>
        <w:t>used</w:t>
      </w:r>
      <w:r>
        <w:rPr>
          <w:b/>
        </w:rPr>
        <w:t>”</w:t>
      </w:r>
      <w:r>
        <w:t>, in relation to a vehicle or a combination, includes being driven, or towed, and being left stationary;</w:t>
      </w:r>
    </w:p>
    <w:p>
      <w:pPr>
        <w:pStyle w:val="Defstart"/>
      </w:pPr>
      <w:r>
        <w:rPr>
          <w:b/>
        </w:rPr>
        <w:tab/>
        <w:t>“</w:t>
      </w:r>
      <w:r>
        <w:rPr>
          <w:rStyle w:val="CharDefText"/>
        </w:rPr>
        <w:t>Vehicle Standards</w:t>
      </w:r>
      <w:r>
        <w:rPr>
          <w:b/>
        </w:rPr>
        <w:t>”</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Footnotesection"/>
      </w:pPr>
      <w:r>
        <w:tab/>
        <w:t>[Regulation 3 amended in Gazette 1 Nov 2002 p. 5394; 24 Feb 2006 p. 885.]</w:t>
      </w:r>
    </w:p>
    <w:p>
      <w:pPr>
        <w:pStyle w:val="Heading5"/>
        <w:rPr>
          <w:snapToGrid w:val="0"/>
        </w:rPr>
      </w:pPr>
      <w:bookmarkStart w:id="11" w:name="_Toc23927372"/>
      <w:bookmarkStart w:id="12" w:name="_Toc29275701"/>
      <w:bookmarkStart w:id="13" w:name="_Toc38944392"/>
      <w:bookmarkStart w:id="14" w:name="_Toc128541305"/>
      <w:bookmarkStart w:id="15" w:name="_Toc131831490"/>
      <w:r>
        <w:rPr>
          <w:rStyle w:val="CharSectno"/>
        </w:rPr>
        <w:t>4</w:t>
      </w:r>
      <w:r>
        <w:rPr>
          <w:snapToGrid w:val="0"/>
        </w:rPr>
        <w:t>.</w:t>
      </w:r>
      <w:r>
        <w:rPr>
          <w:snapToGrid w:val="0"/>
        </w:rPr>
        <w:tab/>
        <w:t>Lighting equipment generally</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If a towed implement is being towed on a road </w:t>
      </w:r>
      <w:r>
        <w:t>at night</w:t>
      </w:r>
      <w:r>
        <w:noBreakHyphen/>
        <w:t>time</w:t>
      </w:r>
      <w:r>
        <w:rPr>
          <w:snapToGrid w:val="0"/>
        </w:rPr>
        <w:t xml:space="preserve"> there must be fitted to the towed implement, and connected electrically to the towing vehicle, lighting equipment which complies with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b/>
          <w:snapToGrid w:val="0"/>
        </w:rPr>
        <w:t>“</w:t>
      </w:r>
      <w:r>
        <w:rPr>
          <w:rStyle w:val="CharDefText"/>
        </w:rPr>
        <w:t>lighting equipment</w:t>
      </w:r>
      <w:r>
        <w:rPr>
          <w:b/>
          <w:snapToGrid w:val="0"/>
        </w:rPr>
        <w: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w:t>
      </w:r>
    </w:p>
    <w:p>
      <w:pPr>
        <w:pStyle w:val="Heading5"/>
        <w:rPr>
          <w:snapToGrid w:val="0"/>
        </w:rPr>
      </w:pPr>
      <w:bookmarkStart w:id="16" w:name="_Toc23927373"/>
      <w:bookmarkStart w:id="17" w:name="_Toc29275702"/>
      <w:bookmarkStart w:id="18" w:name="_Toc38944393"/>
      <w:bookmarkStart w:id="19" w:name="_Toc128541306"/>
      <w:bookmarkStart w:id="20" w:name="_Toc131831491"/>
      <w:r>
        <w:rPr>
          <w:rStyle w:val="CharSectno"/>
        </w:rPr>
        <w:t>5</w:t>
      </w:r>
      <w:r>
        <w:rPr>
          <w:snapToGrid w:val="0"/>
        </w:rPr>
        <w:t>.</w:t>
      </w:r>
      <w:r>
        <w:rPr>
          <w:snapToGrid w:val="0"/>
        </w:rPr>
        <w:tab/>
        <w:t>Positioning of lighting equipment generally</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 agricultural implement,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 agricultural implement;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w:t>
      </w:r>
    </w:p>
    <w:p>
      <w:pPr>
        <w:pStyle w:val="Heading5"/>
        <w:rPr>
          <w:snapToGrid w:val="0"/>
        </w:rPr>
      </w:pPr>
      <w:bookmarkStart w:id="21" w:name="_Toc23927374"/>
      <w:bookmarkStart w:id="22" w:name="_Toc29275703"/>
      <w:bookmarkStart w:id="23" w:name="_Toc38944394"/>
      <w:bookmarkStart w:id="24" w:name="_Toc128541307"/>
      <w:bookmarkStart w:id="25" w:name="_Toc131831492"/>
      <w:r>
        <w:rPr>
          <w:rStyle w:val="CharSectno"/>
        </w:rPr>
        <w:t>6</w:t>
      </w:r>
      <w:r>
        <w:rPr>
          <w:snapToGrid w:val="0"/>
        </w:rPr>
        <w:t>.</w:t>
      </w:r>
      <w:r>
        <w:rPr>
          <w:snapToGrid w:val="0"/>
        </w:rPr>
        <w:tab/>
        <w:t>Stop lights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Subject to subregulation (2), there must be fitted to each towed implement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implement;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implement 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w:t>
      </w:r>
    </w:p>
    <w:p>
      <w:pPr>
        <w:pStyle w:val="Heading5"/>
        <w:rPr>
          <w:snapToGrid w:val="0"/>
        </w:rPr>
      </w:pPr>
      <w:bookmarkStart w:id="26" w:name="_Toc23927375"/>
      <w:bookmarkStart w:id="27" w:name="_Toc29275704"/>
      <w:bookmarkStart w:id="28" w:name="_Toc38944395"/>
      <w:bookmarkStart w:id="29" w:name="_Toc128541308"/>
      <w:bookmarkStart w:id="30" w:name="_Toc131831493"/>
      <w:r>
        <w:rPr>
          <w:rStyle w:val="CharSectno"/>
        </w:rPr>
        <w:t>7</w:t>
      </w:r>
      <w:r>
        <w:rPr>
          <w:snapToGrid w:val="0"/>
        </w:rPr>
        <w:t>.</w:t>
      </w:r>
      <w:r>
        <w:rPr>
          <w:snapToGrid w:val="0"/>
        </w:rPr>
        <w:tab/>
        <w:t>Reflectors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implement, the rear implement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In addition to the reflectors required under subregulation (1) there may be fitted to an agricultural implement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w:t>
      </w:r>
    </w:p>
    <w:p>
      <w:pPr>
        <w:pStyle w:val="Heading5"/>
        <w:rPr>
          <w:snapToGrid w:val="0"/>
        </w:rPr>
      </w:pPr>
      <w:bookmarkStart w:id="31" w:name="_Toc23927376"/>
      <w:bookmarkStart w:id="32" w:name="_Toc29275705"/>
      <w:bookmarkStart w:id="33" w:name="_Toc38944396"/>
      <w:bookmarkStart w:id="34" w:name="_Toc128541309"/>
      <w:bookmarkStart w:id="35" w:name="_Toc131831494"/>
      <w:r>
        <w:rPr>
          <w:rStyle w:val="CharSectno"/>
        </w:rPr>
        <w:t>8</w:t>
      </w:r>
      <w:r>
        <w:rPr>
          <w:snapToGrid w:val="0"/>
        </w:rPr>
        <w:t>.</w:t>
      </w:r>
      <w:r>
        <w:rPr>
          <w:snapToGrid w:val="0"/>
        </w:rPr>
        <w:tab/>
        <w:t xml:space="preserve">Rear </w:t>
      </w:r>
      <w:r>
        <w:t>lights</w:t>
      </w:r>
      <w:bookmarkEnd w:id="31"/>
      <w:bookmarkEnd w:id="32"/>
      <w:bookmarkEnd w:id="33"/>
      <w:bookmarkEnd w:id="34"/>
      <w:bookmarkEnd w:id="35"/>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implement.</w:t>
      </w:r>
    </w:p>
    <w:p>
      <w:pPr>
        <w:pStyle w:val="Footnotesection"/>
      </w:pPr>
      <w:r>
        <w:tab/>
        <w:t>[Regulation 8 amended in Gazette 1 Nov 2002 p. 5395; 24 Feb 2006 p. 888.]</w:t>
      </w:r>
    </w:p>
    <w:p>
      <w:pPr>
        <w:pStyle w:val="Heading5"/>
        <w:rPr>
          <w:snapToGrid w:val="0"/>
        </w:rPr>
      </w:pPr>
      <w:bookmarkStart w:id="36" w:name="_Toc23927377"/>
      <w:bookmarkStart w:id="37" w:name="_Toc29275706"/>
      <w:bookmarkStart w:id="38" w:name="_Toc38944397"/>
      <w:bookmarkStart w:id="39" w:name="_Toc128541310"/>
      <w:bookmarkStart w:id="40" w:name="_Toc131831495"/>
      <w:r>
        <w:rPr>
          <w:rStyle w:val="CharSectno"/>
        </w:rPr>
        <w:t>9</w:t>
      </w:r>
      <w:r>
        <w:rPr>
          <w:snapToGrid w:val="0"/>
        </w:rPr>
        <w:t>.</w:t>
      </w:r>
      <w:r>
        <w:rPr>
          <w:snapToGrid w:val="0"/>
        </w:rPr>
        <w:tab/>
        <w:t xml:space="preserve">Signalling </w:t>
      </w:r>
      <w:r>
        <w:t>lights</w:t>
      </w:r>
      <w:bookmarkEnd w:id="36"/>
      <w:bookmarkEnd w:id="37"/>
      <w:bookmarkEnd w:id="38"/>
      <w:bookmarkEnd w:id="39"/>
      <w:bookmarkEnd w:id="40"/>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implement;</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w:t>
      </w:r>
    </w:p>
    <w:p>
      <w:pPr>
        <w:pStyle w:val="Heading5"/>
        <w:rPr>
          <w:snapToGrid w:val="0"/>
        </w:rPr>
      </w:pPr>
      <w:bookmarkStart w:id="41" w:name="_Toc23927378"/>
      <w:bookmarkStart w:id="42" w:name="_Toc29275707"/>
      <w:bookmarkStart w:id="43" w:name="_Toc38944398"/>
      <w:bookmarkStart w:id="44" w:name="_Toc128541311"/>
      <w:bookmarkStart w:id="45" w:name="_Toc131831496"/>
      <w:r>
        <w:rPr>
          <w:rStyle w:val="CharSectno"/>
        </w:rPr>
        <w:t>10</w:t>
      </w:r>
      <w:r>
        <w:rPr>
          <w:snapToGrid w:val="0"/>
        </w:rPr>
        <w:t>.</w:t>
      </w:r>
      <w:r>
        <w:rPr>
          <w:snapToGrid w:val="0"/>
        </w:rPr>
        <w:tab/>
        <w:t>Clearance lights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clearance light</w:t>
      </w:r>
      <w:r>
        <w:rPr>
          <w:b/>
          <w:snapToGrid w:val="0"/>
        </w:rPr>
        <w:t>”</w:t>
      </w:r>
      <w:r>
        <w:rPr>
          <w:snapToGrid w:val="0"/>
        </w:rPr>
        <w:t xml:space="preserve"> means a </w:t>
      </w:r>
      <w:r>
        <w:t>light</w:t>
      </w:r>
      <w:r>
        <w:rPr>
          <w:snapToGrid w:val="0"/>
        </w:rPr>
        <w:t xml:space="preserve"> which, when lighted, gives an indication of the width of the towed implement from the front and from the rear of that implement.</w:t>
      </w:r>
    </w:p>
    <w:p>
      <w:pPr>
        <w:pStyle w:val="Footnotesection"/>
      </w:pPr>
      <w:r>
        <w:tab/>
        <w:t>[Regulation 10 amended in Gazette 1 Nov 2002 p. 5395; 24 Feb 2006 p. 888.]</w:t>
      </w:r>
    </w:p>
    <w:p>
      <w:pPr>
        <w:pStyle w:val="Heading5"/>
      </w:pPr>
      <w:bookmarkStart w:id="46" w:name="_Toc124041266"/>
      <w:bookmarkStart w:id="47" w:name="_Toc128472558"/>
      <w:bookmarkStart w:id="48" w:name="_Toc128541312"/>
      <w:bookmarkStart w:id="49" w:name="_Toc131831497"/>
      <w:bookmarkStart w:id="50" w:name="_Toc23927380"/>
      <w:bookmarkStart w:id="51" w:name="_Toc29275709"/>
      <w:bookmarkStart w:id="52" w:name="_Toc38944400"/>
      <w:r>
        <w:rPr>
          <w:rStyle w:val="CharSectno"/>
        </w:rPr>
        <w:t>11</w:t>
      </w:r>
      <w:r>
        <w:t>.</w:t>
      </w:r>
      <w:r>
        <w:tab/>
        <w:t>Flashing amber light</w:t>
      </w:r>
      <w:bookmarkEnd w:id="46"/>
      <w:bookmarkEnd w:id="47"/>
      <w:bookmarkEnd w:id="48"/>
      <w:bookmarkEnd w:id="49"/>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 11 inserted in Gazette 24 Feb 2006 p. 885.]</w:t>
      </w:r>
    </w:p>
    <w:p>
      <w:pPr>
        <w:pStyle w:val="Heading5"/>
        <w:rPr>
          <w:snapToGrid w:val="0"/>
        </w:rPr>
      </w:pPr>
      <w:bookmarkStart w:id="53" w:name="_Toc128541313"/>
      <w:bookmarkStart w:id="54" w:name="_Toc131831498"/>
      <w:r>
        <w:rPr>
          <w:rStyle w:val="CharSectno"/>
        </w:rPr>
        <w:t>12</w:t>
      </w:r>
      <w:r>
        <w:rPr>
          <w:snapToGrid w:val="0"/>
        </w:rPr>
        <w:t>.</w:t>
      </w:r>
      <w:r>
        <w:rPr>
          <w:snapToGrid w:val="0"/>
        </w:rPr>
        <w:tab/>
        <w:t>Brakes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Any braking system on a towed implement which is capable of being connected to the towing vehicle must be connected to that vehicle while it and the towed implement are in motion on a road.</w:t>
      </w:r>
    </w:p>
    <w:p>
      <w:pPr>
        <w:pStyle w:val="Footnotesection"/>
      </w:pPr>
      <w:r>
        <w:tab/>
        <w:t>[Regulation 12 amended in Gazette 24 Feb 2006 p. 888.]</w:t>
      </w:r>
    </w:p>
    <w:p>
      <w:pPr>
        <w:pStyle w:val="Heading5"/>
        <w:rPr>
          <w:snapToGrid w:val="0"/>
        </w:rPr>
      </w:pPr>
      <w:bookmarkStart w:id="55" w:name="_Toc23927381"/>
      <w:bookmarkStart w:id="56" w:name="_Toc29275710"/>
      <w:bookmarkStart w:id="57" w:name="_Toc38944401"/>
      <w:bookmarkStart w:id="58" w:name="_Toc128541314"/>
      <w:bookmarkStart w:id="59" w:name="_Toc131831499"/>
      <w:r>
        <w:rPr>
          <w:rStyle w:val="CharSectno"/>
        </w:rPr>
        <w:t>13</w:t>
      </w:r>
      <w:r>
        <w:rPr>
          <w:snapToGrid w:val="0"/>
        </w:rPr>
        <w:t>.</w:t>
      </w:r>
      <w:r>
        <w:rPr>
          <w:snapToGrid w:val="0"/>
        </w:rPr>
        <w:tab/>
        <w:t>Safety of components and attachments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Every component of a towed implement being towed on a road must be maintained in such a condition as to be unlikely to render the use of that towed implement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implement; and</w:t>
      </w:r>
    </w:p>
    <w:p>
      <w:pPr>
        <w:pStyle w:val="Indenta"/>
        <w:rPr>
          <w:snapToGrid w:val="0"/>
        </w:rPr>
      </w:pPr>
      <w:r>
        <w:rPr>
          <w:snapToGrid w:val="0"/>
        </w:rPr>
        <w:tab/>
        <w:t>(b)</w:t>
      </w:r>
      <w:r>
        <w:rPr>
          <w:snapToGrid w:val="0"/>
        </w:rPr>
        <w:tab/>
        <w:t>is capable of moving so as to increase any of the dimensions of the towed implement,</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implement which is capable of becoming loose or detached from that towed implement must be secured to prevent it from becoming loose or detached.</w:t>
      </w:r>
    </w:p>
    <w:p>
      <w:pPr>
        <w:pStyle w:val="Heading5"/>
        <w:rPr>
          <w:snapToGrid w:val="0"/>
        </w:rPr>
      </w:pPr>
      <w:bookmarkStart w:id="60" w:name="_Toc23927382"/>
      <w:bookmarkStart w:id="61" w:name="_Toc29275711"/>
      <w:bookmarkStart w:id="62" w:name="_Toc38944402"/>
      <w:bookmarkStart w:id="63" w:name="_Toc128541315"/>
      <w:bookmarkStart w:id="64" w:name="_Toc131831500"/>
      <w:r>
        <w:rPr>
          <w:rStyle w:val="CharSectno"/>
        </w:rPr>
        <w:t>14</w:t>
      </w:r>
      <w:r>
        <w:rPr>
          <w:snapToGrid w:val="0"/>
        </w:rPr>
        <w:t>.</w:t>
      </w:r>
      <w:r>
        <w:rPr>
          <w:snapToGrid w:val="0"/>
        </w:rPr>
        <w:tab/>
        <w:t>Safety chains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implement, to the implement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be capable of keeping the agricultural implement in tow in the event of the failure or accidental disconnection of the coupling between that implement and the towing vehicle or the implement in front of that implement, as the case requires;</w:t>
      </w:r>
    </w:p>
    <w:p>
      <w:pPr>
        <w:pStyle w:val="Indenta"/>
        <w:rPr>
          <w:snapToGrid w:val="0"/>
        </w:rPr>
      </w:pPr>
      <w:r>
        <w:rPr>
          <w:snapToGrid w:val="0"/>
        </w:rPr>
        <w:tab/>
        <w:t>(c)</w:t>
      </w:r>
      <w:r>
        <w:rPr>
          <w:snapToGrid w:val="0"/>
        </w:rPr>
        <w:tab/>
        <w:t>be fitted to the frame or other substantial portion of the agricultural implement and to a substantial portion of the towing vehicle or the implement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implement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implement,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pPr>
      <w:r>
        <w:tab/>
        <w:t>[Regulation 14 amended in Gazette 24 Feb 2006 p. 885-6.]</w:t>
      </w:r>
    </w:p>
    <w:p>
      <w:pPr>
        <w:pStyle w:val="Heading5"/>
        <w:rPr>
          <w:snapToGrid w:val="0"/>
        </w:rPr>
      </w:pPr>
      <w:bookmarkStart w:id="65" w:name="_Toc23927383"/>
      <w:bookmarkStart w:id="66" w:name="_Toc29275712"/>
      <w:bookmarkStart w:id="67" w:name="_Toc38944403"/>
      <w:bookmarkStart w:id="68" w:name="_Toc128541316"/>
      <w:bookmarkStart w:id="69" w:name="_Toc131831501"/>
      <w:r>
        <w:rPr>
          <w:rStyle w:val="CharSectno"/>
        </w:rPr>
        <w:t>15</w:t>
      </w:r>
      <w:r>
        <w:rPr>
          <w:snapToGrid w:val="0"/>
        </w:rPr>
        <w:t>.</w:t>
      </w:r>
      <w:r>
        <w:rPr>
          <w:snapToGrid w:val="0"/>
        </w:rPr>
        <w:tab/>
        <w:t>Portable warning signs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pPr>
      <w:r>
        <w:tab/>
        <w:t>[Regulation 15 amended in Gazette 27 Jul 2004 p. 3081; 24 Feb 2006 p. 886 and 888.]</w:t>
      </w:r>
    </w:p>
    <w:p>
      <w:pPr>
        <w:pStyle w:val="Heading5"/>
        <w:rPr>
          <w:snapToGrid w:val="0"/>
        </w:rPr>
      </w:pPr>
      <w:bookmarkStart w:id="70" w:name="_Toc23927384"/>
      <w:bookmarkStart w:id="71" w:name="_Toc29275713"/>
      <w:bookmarkStart w:id="72" w:name="_Toc38944404"/>
      <w:bookmarkStart w:id="73" w:name="_Toc128541317"/>
      <w:bookmarkStart w:id="74" w:name="_Toc131831502"/>
      <w:r>
        <w:rPr>
          <w:rStyle w:val="CharSectno"/>
        </w:rPr>
        <w:t>16</w:t>
      </w:r>
      <w:r>
        <w:rPr>
          <w:snapToGrid w:val="0"/>
        </w:rPr>
        <w:t>.</w:t>
      </w:r>
      <w:r>
        <w:rPr>
          <w:snapToGrid w:val="0"/>
        </w:rPr>
        <w:tab/>
        <w:t>Towed mass ratios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mass of a towed implement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unloaded mass</w:t>
      </w:r>
      <w:r>
        <w:rPr>
          <w:b/>
        </w:rPr>
        <w:t>”</w:t>
      </w:r>
      <w:r>
        <w:t xml:space="preserve"> has the same meaning as it has in the Vehicle Standards. </w:t>
      </w:r>
    </w:p>
    <w:p>
      <w:pPr>
        <w:pStyle w:val="Footnotesection"/>
      </w:pPr>
      <w:r>
        <w:tab/>
        <w:t>[Regulation 16 amended in Gazette 1 Nov 2002 p. 5394</w:t>
      </w:r>
      <w:r>
        <w:noBreakHyphen/>
        <w:t>5; 3 Jan 2003 p. 11; 24 Feb 2006 p. 886.]</w:t>
      </w:r>
    </w:p>
    <w:p>
      <w:pPr>
        <w:pStyle w:val="Heading5"/>
        <w:rPr>
          <w:snapToGrid w:val="0"/>
        </w:rPr>
      </w:pPr>
      <w:bookmarkStart w:id="75" w:name="_Toc23927385"/>
      <w:bookmarkStart w:id="76" w:name="_Toc29275714"/>
      <w:bookmarkStart w:id="77" w:name="_Toc38944405"/>
      <w:bookmarkStart w:id="78" w:name="_Toc128541318"/>
      <w:bookmarkStart w:id="79" w:name="_Toc131831503"/>
      <w:r>
        <w:rPr>
          <w:rStyle w:val="CharSectno"/>
        </w:rPr>
        <w:t>17</w:t>
      </w:r>
      <w:r>
        <w:rPr>
          <w:snapToGrid w:val="0"/>
        </w:rPr>
        <w:t>.</w:t>
      </w:r>
      <w:r>
        <w:rPr>
          <w:snapToGrid w:val="0"/>
        </w:rPr>
        <w:tab/>
        <w:t xml:space="preserve">Towing on a road </w:t>
      </w:r>
      <w:bookmarkEnd w:id="75"/>
      <w:bookmarkEnd w:id="76"/>
      <w:bookmarkEnd w:id="77"/>
      <w:r>
        <w:t>at night</w:t>
      </w:r>
      <w:r>
        <w:noBreakHyphen/>
        <w:t>time</w:t>
      </w:r>
      <w:bookmarkEnd w:id="78"/>
      <w:bookmarkEnd w:id="79"/>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 m in width or 25 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pPr>
      <w:r>
        <w:tab/>
        <w:t>[Regulation 17 amended in Gazette 24 Feb 2006 p. 888.]</w:t>
      </w:r>
    </w:p>
    <w:p>
      <w:pPr>
        <w:pStyle w:val="Heading5"/>
        <w:rPr>
          <w:snapToGrid w:val="0"/>
        </w:rPr>
      </w:pPr>
      <w:bookmarkStart w:id="80" w:name="_Toc23927386"/>
      <w:bookmarkStart w:id="81" w:name="_Toc29275715"/>
      <w:bookmarkStart w:id="82" w:name="_Toc38944406"/>
      <w:bookmarkStart w:id="83" w:name="_Toc128541319"/>
      <w:bookmarkStart w:id="84" w:name="_Toc131831504"/>
      <w:r>
        <w:rPr>
          <w:rStyle w:val="CharSectno"/>
        </w:rPr>
        <w:t>18</w:t>
      </w:r>
      <w:r>
        <w:rPr>
          <w:snapToGrid w:val="0"/>
        </w:rPr>
        <w:t>.</w:t>
      </w:r>
      <w:r>
        <w:rPr>
          <w:snapToGrid w:val="0"/>
        </w:rPr>
        <w:tab/>
        <w:t>Speed restrictions</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must not travel at a speed exceeding 20 km/h below the local speed limit or, where the local speed limit is 80 km/h or more, 80 km/h.</w:t>
      </w:r>
    </w:p>
    <w:p>
      <w:pPr>
        <w:pStyle w:val="Footnotesection"/>
      </w:pPr>
      <w:r>
        <w:tab/>
        <w:t>[Regulation 18 amended in Gazette 24 Feb 2006 p. 888.]</w:t>
      </w:r>
    </w:p>
    <w:p>
      <w:pPr>
        <w:pStyle w:val="Heading5"/>
        <w:rPr>
          <w:snapToGrid w:val="0"/>
        </w:rPr>
      </w:pPr>
      <w:bookmarkStart w:id="85" w:name="_Toc23927387"/>
      <w:bookmarkStart w:id="86" w:name="_Toc29275716"/>
      <w:bookmarkStart w:id="87" w:name="_Toc38944407"/>
      <w:bookmarkStart w:id="88" w:name="_Toc128541320"/>
      <w:bookmarkStart w:id="89" w:name="_Toc131831505"/>
      <w:r>
        <w:rPr>
          <w:rStyle w:val="CharSectno"/>
        </w:rPr>
        <w:t>19</w:t>
      </w:r>
      <w:r>
        <w:rPr>
          <w:snapToGrid w:val="0"/>
        </w:rPr>
        <w:t>.</w:t>
      </w:r>
      <w:r>
        <w:rPr>
          <w:snapToGrid w:val="0"/>
        </w:rPr>
        <w:tab/>
        <w:t>Movements of combinations within the metropolitan area, during peak hours and on freeways</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a radius of 30 km of the G.P.O. during peak hours.</w:t>
      </w:r>
    </w:p>
    <w:p>
      <w:pPr>
        <w:pStyle w:val="Subsection"/>
        <w:spacing w:before="120"/>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a radius of 30 km of the G.P.O. without the approval of the Commissioner of Main Roads under the </w:t>
      </w:r>
      <w:r>
        <w:rPr>
          <w:i/>
          <w:snapToGrid w:val="0"/>
        </w:rPr>
        <w:t>Main Roads Act 1930</w:t>
      </w:r>
      <w:r>
        <w:rPr>
          <w:snapToGrid w:val="0"/>
        </w:rPr>
        <w:t>.</w:t>
      </w:r>
    </w:p>
    <w:p>
      <w:pPr>
        <w:pStyle w:val="Subsection"/>
        <w:spacing w:before="120"/>
        <w:rPr>
          <w:snapToGrid w:val="0"/>
        </w:rPr>
      </w:pPr>
      <w:r>
        <w:rPr>
          <w:snapToGrid w:val="0"/>
        </w:rPr>
        <w:tab/>
        <w:t>(3)</w:t>
      </w:r>
      <w:r>
        <w:rPr>
          <w:snapToGrid w:val="0"/>
        </w:rPr>
        <w:tab/>
      </w:r>
      <w:r>
        <w:t>An agricultural combination</w:t>
      </w:r>
      <w:r>
        <w:rPr>
          <w:snapToGrid w:val="0"/>
        </w:rPr>
        <w:t xml:space="preserve"> must not be used on a freeway.</w:t>
      </w:r>
    </w:p>
    <w:p>
      <w:pPr>
        <w:pStyle w:val="Subsection"/>
        <w:spacing w:before="120"/>
        <w:rPr>
          <w:snapToGrid w:val="0"/>
        </w:rPr>
      </w:pPr>
      <w:r>
        <w:rPr>
          <w:snapToGrid w:val="0"/>
        </w:rPr>
        <w:tab/>
        <w:t>(4)</w:t>
      </w:r>
      <w:r>
        <w:rPr>
          <w:snapToGrid w:val="0"/>
        </w:rPr>
        <w:tab/>
        <w:t>In this regulation — </w:t>
      </w:r>
    </w:p>
    <w:p>
      <w:pPr>
        <w:pStyle w:val="Defstart"/>
      </w:pPr>
      <w:r>
        <w:rPr>
          <w:b/>
        </w:rPr>
        <w:tab/>
        <w:t>“</w:t>
      </w:r>
      <w:r>
        <w:rPr>
          <w:rStyle w:val="CharDefText"/>
        </w:rPr>
        <w:t>freeway</w:t>
      </w:r>
      <w:r>
        <w:rPr>
          <w:b/>
        </w:rPr>
        <w:t>”</w:t>
      </w:r>
      <w:r>
        <w:t xml:space="preserve"> means a road or portion of a road that is designated as a freeway by signs erected thereon or adjacent thereto; </w:t>
      </w:r>
    </w:p>
    <w:p>
      <w:pPr>
        <w:pStyle w:val="Defstart"/>
      </w:pPr>
      <w:r>
        <w:rPr>
          <w:b/>
        </w:rPr>
        <w:tab/>
        <w:t>“</w:t>
      </w:r>
      <w:r>
        <w:rPr>
          <w:rStyle w:val="CharDefText"/>
        </w:rPr>
        <w:t>peak hours</w:t>
      </w:r>
      <w:r>
        <w:rPr>
          <w:b/>
        </w:rPr>
        <w:t>”</w:t>
      </w:r>
      <w:r>
        <w:t xml:space="preserve"> means 7.30 a.m. to 9.00 a.m. and 4.30 p.m. to 6.00 p.m. on a Monday, Tuesday, Wednesday, Thursday or Friday, other than a public holiday.</w:t>
      </w:r>
    </w:p>
    <w:p>
      <w:pPr>
        <w:pStyle w:val="Footnotesection"/>
      </w:pPr>
      <w:r>
        <w:tab/>
        <w:t>[Regulation 19 amended in Gazette 24 Feb 2006 p. 888.]</w:t>
      </w:r>
    </w:p>
    <w:p>
      <w:pPr>
        <w:pStyle w:val="Heading5"/>
        <w:rPr>
          <w:snapToGrid w:val="0"/>
        </w:rPr>
      </w:pPr>
      <w:bookmarkStart w:id="90" w:name="_Toc23927388"/>
      <w:bookmarkStart w:id="91" w:name="_Toc29275717"/>
      <w:bookmarkStart w:id="92" w:name="_Toc38944408"/>
      <w:bookmarkStart w:id="93" w:name="_Toc128541321"/>
      <w:bookmarkStart w:id="94" w:name="_Toc131831506"/>
      <w:r>
        <w:rPr>
          <w:rStyle w:val="CharSectno"/>
        </w:rPr>
        <w:t>20</w:t>
      </w:r>
      <w:r>
        <w:rPr>
          <w:snapToGrid w:val="0"/>
        </w:rPr>
        <w:t>.</w:t>
      </w:r>
      <w:r>
        <w:rPr>
          <w:snapToGrid w:val="0"/>
        </w:rPr>
        <w:tab/>
        <w:t>Parking of combinations on a carriageway</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built</w:t>
      </w:r>
      <w:r>
        <w:rPr>
          <w:rStyle w:val="CharDefText"/>
        </w:rPr>
        <w:noBreakHyphen/>
        <w:t>up area</w:t>
      </w:r>
      <w:r>
        <w:rPr>
          <w:b/>
          <w:snapToGrid w:val="0"/>
        </w:rPr>
        <w:t>”</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pPr>
      <w:r>
        <w:tab/>
        <w:t>[Regulation 20 amended in Gazette 1 Nov 2002 p. 5395</w:t>
      </w:r>
      <w:r>
        <w:noBreakHyphen/>
        <w:t>6; 24 Feb 2006 p. 886 and 888.]</w:t>
      </w:r>
    </w:p>
    <w:p>
      <w:pPr>
        <w:pStyle w:val="Heading5"/>
      </w:pPr>
      <w:bookmarkStart w:id="95" w:name="_Toc124041272"/>
      <w:bookmarkStart w:id="96" w:name="_Toc128472564"/>
      <w:bookmarkStart w:id="97" w:name="_Toc128541322"/>
      <w:bookmarkStart w:id="98" w:name="_Toc131831507"/>
      <w:bookmarkStart w:id="99" w:name="_Toc23927390"/>
      <w:bookmarkStart w:id="100" w:name="_Toc29275719"/>
      <w:bookmarkStart w:id="101" w:name="_Toc38944410"/>
      <w:r>
        <w:rPr>
          <w:rStyle w:val="CharSectno"/>
        </w:rPr>
        <w:t>21</w:t>
      </w:r>
      <w:r>
        <w:t>.</w:t>
      </w:r>
      <w:r>
        <w:tab/>
        <w:t>Head lights</w:t>
      </w:r>
      <w:bookmarkEnd w:id="95"/>
      <w:bookmarkEnd w:id="96"/>
      <w:bookmarkEnd w:id="97"/>
      <w:bookmarkEnd w:id="98"/>
    </w:p>
    <w:p>
      <w:pPr>
        <w:pStyle w:val="Subsection"/>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 21 inserted in Gazette 24 Feb 2006 p. 886.]</w:t>
      </w:r>
    </w:p>
    <w:p>
      <w:pPr>
        <w:pStyle w:val="Heading5"/>
        <w:rPr>
          <w:snapToGrid w:val="0"/>
        </w:rPr>
      </w:pPr>
      <w:bookmarkStart w:id="102" w:name="_Toc128541323"/>
      <w:bookmarkStart w:id="103" w:name="_Toc131831508"/>
      <w:r>
        <w:rPr>
          <w:rStyle w:val="CharSectno"/>
        </w:rPr>
        <w:t>22</w:t>
      </w:r>
      <w:r>
        <w:rPr>
          <w:snapToGrid w:val="0"/>
        </w:rPr>
        <w:t>.</w:t>
      </w:r>
      <w:r>
        <w:rPr>
          <w:snapToGrid w:val="0"/>
        </w:rPr>
        <w:tab/>
        <w:t>Mirrors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 22 amended in Gazette 24 Feb 2006 p. 888.]</w:t>
      </w:r>
    </w:p>
    <w:p>
      <w:pPr>
        <w:pStyle w:val="Heading5"/>
        <w:rPr>
          <w:snapToGrid w:val="0"/>
        </w:rPr>
      </w:pPr>
      <w:bookmarkStart w:id="104" w:name="_Toc23927391"/>
      <w:bookmarkStart w:id="105" w:name="_Toc29275720"/>
      <w:bookmarkStart w:id="106" w:name="_Toc38944411"/>
      <w:bookmarkStart w:id="107" w:name="_Toc128541324"/>
      <w:bookmarkStart w:id="108" w:name="_Toc131831509"/>
      <w:r>
        <w:rPr>
          <w:rStyle w:val="CharSectno"/>
        </w:rPr>
        <w:t>23</w:t>
      </w:r>
      <w:r>
        <w:rPr>
          <w:snapToGrid w:val="0"/>
        </w:rPr>
        <w:t>.</w:t>
      </w:r>
      <w:r>
        <w:rPr>
          <w:snapToGrid w:val="0"/>
        </w:rPr>
        <w:tab/>
        <w:t>Warning flags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0.45 sq m in size are attached to each lateral extremity of the combination.</w:t>
      </w:r>
    </w:p>
    <w:p>
      <w:pPr>
        <w:pStyle w:val="Footnotesection"/>
      </w:pPr>
      <w:r>
        <w:tab/>
        <w:t>[Regulation 23 amended in Gazette 24 Feb 2006 p. 888.]</w:t>
      </w:r>
    </w:p>
    <w:p>
      <w:pPr>
        <w:pStyle w:val="Heading5"/>
        <w:rPr>
          <w:snapToGrid w:val="0"/>
        </w:rPr>
      </w:pPr>
      <w:bookmarkStart w:id="109" w:name="_Toc23927392"/>
      <w:bookmarkStart w:id="110" w:name="_Toc29275721"/>
      <w:bookmarkStart w:id="111" w:name="_Toc38944412"/>
      <w:bookmarkStart w:id="112" w:name="_Toc128541325"/>
      <w:bookmarkStart w:id="113" w:name="_Toc131831510"/>
      <w:r>
        <w:rPr>
          <w:rStyle w:val="CharSectno"/>
        </w:rPr>
        <w:t>24</w:t>
      </w:r>
      <w:r>
        <w:rPr>
          <w:snapToGrid w:val="0"/>
        </w:rPr>
        <w:t>.</w:t>
      </w:r>
      <w:r>
        <w:rPr>
          <w:snapToGrid w:val="0"/>
        </w:rPr>
        <w:tab/>
        <w:t>Certain vehicles may be equipped with flashing amber light</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 an agricultural implement —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 24 amended in Gazette 24 Feb 2006 p. 888.]</w:t>
      </w:r>
    </w:p>
    <w:p>
      <w:pPr>
        <w:pStyle w:val="Heading5"/>
        <w:rPr>
          <w:snapToGrid w:val="0"/>
        </w:rPr>
      </w:pPr>
      <w:bookmarkStart w:id="114" w:name="_Toc23927393"/>
      <w:bookmarkStart w:id="115" w:name="_Toc29275722"/>
      <w:bookmarkStart w:id="116" w:name="_Toc38944413"/>
      <w:bookmarkStart w:id="117" w:name="_Toc128541326"/>
      <w:bookmarkStart w:id="118" w:name="_Toc131831511"/>
      <w:r>
        <w:rPr>
          <w:rStyle w:val="CharSectno"/>
        </w:rPr>
        <w:t>25</w:t>
      </w:r>
      <w:r>
        <w:rPr>
          <w:snapToGrid w:val="0"/>
        </w:rPr>
        <w:t>.</w:t>
      </w:r>
      <w:r>
        <w:rPr>
          <w:snapToGrid w:val="0"/>
        </w:rPr>
        <w:tab/>
        <w:t>Oversize combinations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implement or, in the case of a combination consisting of more than 1 towed implement, the rear towed implement;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implement a flexible sign, not being made of paper or cloth, which otherwise complies with subregulation (2) may be used on that implement.</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886-7 and 888.]</w:t>
      </w:r>
    </w:p>
    <w:p>
      <w:pPr>
        <w:pStyle w:val="Heading5"/>
      </w:pPr>
      <w:bookmarkStart w:id="119" w:name="_Toc124041275"/>
      <w:bookmarkStart w:id="120" w:name="_Toc128472567"/>
      <w:bookmarkStart w:id="121" w:name="_Toc128541327"/>
      <w:bookmarkStart w:id="122" w:name="_Toc131831512"/>
      <w:bookmarkStart w:id="123" w:name="_Toc23927394"/>
      <w:bookmarkStart w:id="124" w:name="_Toc29275723"/>
      <w:bookmarkStart w:id="125" w:name="_Toc38944414"/>
      <w:r>
        <w:rPr>
          <w:rStyle w:val="CharSectno"/>
        </w:rPr>
        <w:t>25A</w:t>
      </w:r>
      <w:r>
        <w:t>.</w:t>
      </w:r>
      <w:r>
        <w:tab/>
        <w:t>Communication between drivers</w:t>
      </w:r>
      <w:bookmarkEnd w:id="119"/>
      <w:bookmarkEnd w:id="120"/>
      <w:bookmarkEnd w:id="121"/>
      <w:bookmarkEnd w:id="122"/>
    </w:p>
    <w:p>
      <w:pPr>
        <w:pStyle w:val="Subsection"/>
      </w:pPr>
      <w:r>
        <w:tab/>
        <w:t>(1)</w:t>
      </w:r>
      <w:r>
        <w:tab/>
        <w:t>An oversize agricultural combination and any accompanying pilot vehicle or escort vehicle must each have an electronic device that allows the drivers to communicate effectively with each other.</w:t>
      </w:r>
    </w:p>
    <w:p>
      <w:pPr>
        <w:pStyle w:val="Subsection"/>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 25A inserted in Gazette 24 Feb 2006 p. 887.]</w:t>
      </w:r>
    </w:p>
    <w:p>
      <w:pPr>
        <w:pStyle w:val="Heading5"/>
        <w:rPr>
          <w:snapToGrid w:val="0"/>
        </w:rPr>
      </w:pPr>
      <w:bookmarkStart w:id="126" w:name="_Toc128541328"/>
      <w:bookmarkStart w:id="127" w:name="_Toc131831513"/>
      <w:r>
        <w:rPr>
          <w:rStyle w:val="CharSectno"/>
        </w:rPr>
        <w:t>26</w:t>
      </w:r>
      <w:r>
        <w:rPr>
          <w:snapToGrid w:val="0"/>
        </w:rPr>
        <w:t>.</w:t>
      </w:r>
      <w:r>
        <w:rPr>
          <w:snapToGrid w:val="0"/>
        </w:rPr>
        <w:tab/>
        <w:t>Convoys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No more than 2 </w:t>
      </w:r>
      <w:r>
        <w:t>agricultural</w:t>
      </w:r>
      <w:r>
        <w:rPr>
          <w:snapToGrid w:val="0"/>
        </w:rPr>
        <w:t xml:space="preserve"> combinations may be moved in a convoy.</w:t>
      </w:r>
    </w:p>
    <w:p>
      <w:pPr>
        <w:pStyle w:val="Subsection"/>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bookmarkStart w:id="128" w:name="_Toc23927395"/>
      <w:bookmarkStart w:id="129" w:name="_Toc29275724"/>
      <w:bookmarkStart w:id="130" w:name="_Toc38944415"/>
      <w:r>
        <w:tab/>
        <w:t>[Regulation 26 amended in Gazette 24 Feb 2006 p. 887.]</w:t>
      </w:r>
    </w:p>
    <w:p>
      <w:pPr>
        <w:pStyle w:val="Heading5"/>
        <w:rPr>
          <w:snapToGrid w:val="0"/>
        </w:rPr>
      </w:pPr>
      <w:bookmarkStart w:id="131" w:name="_Toc128541329"/>
      <w:bookmarkStart w:id="132" w:name="_Toc131831514"/>
      <w:r>
        <w:rPr>
          <w:rStyle w:val="CharSectno"/>
        </w:rPr>
        <w:t>27</w:t>
      </w:r>
      <w:r>
        <w:rPr>
          <w:snapToGrid w:val="0"/>
        </w:rPr>
        <w:t>.</w:t>
      </w:r>
      <w:r>
        <w:rPr>
          <w:snapToGrid w:val="0"/>
        </w:rPr>
        <w:tab/>
        <w:t>Movement of excessively high combinations</w:t>
      </w:r>
      <w:bookmarkEnd w:id="128"/>
      <w:bookmarkEnd w:id="129"/>
      <w:bookmarkEnd w:id="130"/>
      <w:bookmarkEnd w:id="131"/>
      <w:bookmarkEnd w:id="132"/>
      <w:r>
        <w:rPr>
          <w:snapToGrid w:val="0"/>
        </w:rPr>
        <w:t xml:space="preserve"> </w:t>
      </w:r>
    </w:p>
    <w:p>
      <w:pPr>
        <w:pStyle w:val="Subsection"/>
      </w:pPr>
      <w:r>
        <w:rPr>
          <w:snapToGrid w:val="0"/>
        </w:rPr>
        <w:tab/>
        <w:t>(1)</w:t>
      </w:r>
      <w:r>
        <w:rPr>
          <w:snapToGrid w:val="0"/>
        </w:rPr>
        <w:tab/>
        <w:t xml:space="preserve">Where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 </w:t>
      </w:r>
    </w:p>
    <w:p>
      <w:pPr>
        <w:pStyle w:val="Indenta"/>
      </w:pPr>
      <w:r>
        <w:tab/>
        <w:t>(a)</w:t>
      </w:r>
      <w:r>
        <w:tab/>
        <w:t xml:space="preserve">the Electricity Networks Corporation established by section 4(1)(b) of the </w:t>
      </w:r>
      <w:r>
        <w:rPr>
          <w:i/>
          <w:iCs/>
        </w:rPr>
        <w:t>Electricity Corporations Act 2005</w:t>
      </w:r>
      <w:r>
        <w:t>; or</w:t>
      </w:r>
    </w:p>
    <w:p>
      <w:pPr>
        <w:pStyle w:val="Indenta"/>
      </w:pPr>
      <w:r>
        <w:tab/>
        <w:t>(b)</w:t>
      </w:r>
      <w:r>
        <w:tab/>
        <w:t xml:space="preserve">the Regional Power Corporation established by section 4(1)(d) of the </w:t>
      </w:r>
      <w:r>
        <w:rPr>
          <w:i/>
          <w:iCs/>
        </w:rPr>
        <w:t>Electricity Corporations Act 2005</w:t>
      </w:r>
      <w:r>
        <w:t>,</w:t>
      </w:r>
    </w:p>
    <w:p>
      <w:pPr>
        <w:pStyle w:val="Subsection"/>
        <w:rPr>
          <w:snapToGrid w:val="0"/>
        </w:rPr>
      </w:pPr>
      <w:r>
        <w:tab/>
      </w:r>
      <w:r>
        <w:tab/>
        <w:t>as the case requires.</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bookmarkStart w:id="133" w:name="_Toc23927396"/>
      <w:bookmarkStart w:id="134" w:name="_Toc29275725"/>
      <w:bookmarkStart w:id="135" w:name="_Toc38944416"/>
      <w:r>
        <w:tab/>
        <w:t>[Regulation 27 amended in Gazette 24 Feb 2006 p. 887 and 888; 31 Mar 2006 p. 1352.]</w:t>
      </w:r>
    </w:p>
    <w:p>
      <w:pPr>
        <w:pStyle w:val="Heading5"/>
        <w:rPr>
          <w:snapToGrid w:val="0"/>
        </w:rPr>
      </w:pPr>
      <w:bookmarkStart w:id="136" w:name="_Toc128541330"/>
      <w:bookmarkStart w:id="137" w:name="_Toc131831515"/>
      <w:r>
        <w:rPr>
          <w:rStyle w:val="CharSectno"/>
        </w:rPr>
        <w:t>28</w:t>
      </w:r>
      <w:r>
        <w:rPr>
          <w:snapToGrid w:val="0"/>
        </w:rPr>
        <w:t>.</w:t>
      </w:r>
      <w:r>
        <w:rPr>
          <w:snapToGrid w:val="0"/>
        </w:rPr>
        <w:tab/>
        <w:t>Movement of excessively wide or long combinations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bookmarkStart w:id="138" w:name="_Toc23927397"/>
      <w:bookmarkStart w:id="139" w:name="_Toc29275726"/>
      <w:bookmarkStart w:id="140" w:name="_Toc38944417"/>
      <w:r>
        <w:tab/>
        <w:t>[Regulation 28 amended in Gazette 24 Feb 2006 p. 887 and 888.]</w:t>
      </w:r>
    </w:p>
    <w:p>
      <w:pPr>
        <w:pStyle w:val="Heading5"/>
        <w:rPr>
          <w:snapToGrid w:val="0"/>
        </w:rPr>
      </w:pPr>
      <w:bookmarkStart w:id="141" w:name="_Toc128541331"/>
      <w:bookmarkStart w:id="142" w:name="_Toc131831516"/>
      <w:r>
        <w:rPr>
          <w:rStyle w:val="CharSectno"/>
        </w:rPr>
        <w:t>29</w:t>
      </w:r>
      <w:r>
        <w:rPr>
          <w:snapToGrid w:val="0"/>
        </w:rPr>
        <w:t>.</w:t>
      </w:r>
      <w:r>
        <w:rPr>
          <w:snapToGrid w:val="0"/>
        </w:rPr>
        <w:tab/>
        <w:t>Limit on combinations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No more than 3 agricultural implements may be towed in</w:t>
      </w:r>
      <w:r>
        <w:t xml:space="preserve"> an agricultural combination</w:t>
      </w:r>
      <w:r>
        <w:rPr>
          <w:snapToGrid w:val="0"/>
        </w:rPr>
        <w:t>.</w:t>
      </w:r>
    </w:p>
    <w:p>
      <w:pPr>
        <w:pStyle w:val="Footnotesection"/>
      </w:pPr>
      <w:r>
        <w:tab/>
        <w:t>[Regulation 29 amended in Gazette 24 Feb 2006 p. 888.]</w:t>
      </w:r>
    </w:p>
    <w:p>
      <w:pPr>
        <w:pStyle w:val="Heading5"/>
      </w:pPr>
      <w:bookmarkStart w:id="143" w:name="_Toc23927398"/>
      <w:bookmarkStart w:id="144" w:name="_Toc29275727"/>
      <w:bookmarkStart w:id="145" w:name="_Toc38944418"/>
      <w:bookmarkStart w:id="146" w:name="_Toc128541332"/>
      <w:bookmarkStart w:id="147" w:name="_Toc131831517"/>
      <w:r>
        <w:rPr>
          <w:rStyle w:val="CharSectno"/>
        </w:rPr>
        <w:t>29A</w:t>
      </w:r>
      <w:r>
        <w:t>.</w:t>
      </w:r>
      <w:r>
        <w:tab/>
        <w:t>Director General may grant exemptions</w:t>
      </w:r>
      <w:bookmarkEnd w:id="143"/>
      <w:bookmarkEnd w:id="144"/>
      <w:bookmarkEnd w:id="145"/>
      <w:bookmarkEnd w:id="146"/>
      <w:bookmarkEnd w:id="147"/>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148" w:name="_Toc23927399"/>
      <w:bookmarkStart w:id="149" w:name="_Toc29275728"/>
      <w:bookmarkStart w:id="150" w:name="_Toc38944419"/>
      <w:bookmarkStart w:id="151" w:name="_Toc128541333"/>
      <w:bookmarkStart w:id="152" w:name="_Toc131831518"/>
      <w:r>
        <w:rPr>
          <w:rStyle w:val="CharSectno"/>
        </w:rPr>
        <w:t>29B</w:t>
      </w:r>
      <w:r>
        <w:t>.</w:t>
      </w:r>
      <w:r>
        <w:tab/>
        <w:t>Movements of combinations may be authorised by permits</w:t>
      </w:r>
      <w:bookmarkEnd w:id="148"/>
      <w:bookmarkEnd w:id="149"/>
      <w:bookmarkEnd w:id="150"/>
      <w:bookmarkEnd w:id="151"/>
      <w:bookmarkEnd w:id="152"/>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28 or 29.</w:t>
      </w:r>
    </w:p>
    <w:p>
      <w:pPr>
        <w:pStyle w:val="Footnotesection"/>
      </w:pPr>
      <w:r>
        <w:tab/>
        <w:t>[Regulation 29B inserted in Gazette 15 Jan 1999 p. 118</w:t>
      </w:r>
      <w:r>
        <w:noBreakHyphen/>
        <w:t>19; amended in Gazette 24 Feb 2006 p. 888.]</w:t>
      </w:r>
    </w:p>
    <w:p>
      <w:pPr>
        <w:pStyle w:val="Heading5"/>
        <w:rPr>
          <w:snapToGrid w:val="0"/>
        </w:rPr>
      </w:pPr>
      <w:bookmarkStart w:id="153" w:name="_Toc23927400"/>
      <w:bookmarkStart w:id="154" w:name="_Toc29275729"/>
      <w:bookmarkStart w:id="155" w:name="_Toc38944420"/>
      <w:bookmarkStart w:id="156" w:name="_Toc128541334"/>
      <w:bookmarkStart w:id="157" w:name="_Toc131831519"/>
      <w:r>
        <w:rPr>
          <w:rStyle w:val="CharSectno"/>
        </w:rPr>
        <w:t>30</w:t>
      </w:r>
      <w:r>
        <w:rPr>
          <w:snapToGrid w:val="0"/>
        </w:rPr>
        <w:t>.</w:t>
      </w:r>
      <w:r>
        <w:rPr>
          <w:snapToGrid w:val="0"/>
        </w:rPr>
        <w:tab/>
        <w:t>General duty of drivers and offences and penalties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Ednotesection"/>
      </w:pPr>
      <w:r>
        <w:t>[</w:t>
      </w:r>
      <w:r>
        <w:rPr>
          <w:b/>
        </w:rPr>
        <w:t>31.</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58" w:name="_Toc78624230"/>
      <w:bookmarkStart w:id="159" w:name="_Toc78685384"/>
      <w:bookmarkStart w:id="160" w:name="_Toc128475844"/>
      <w:bookmarkStart w:id="161" w:name="_Toc128541335"/>
      <w:bookmarkStart w:id="162" w:name="_Toc128541560"/>
      <w:bookmarkStart w:id="163" w:name="_Toc131831520"/>
      <w:r>
        <w:t>Notes</w:t>
      </w:r>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 w:name="_Toc128541336"/>
      <w:bookmarkStart w:id="165" w:name="_Toc131831521"/>
      <w:r>
        <w:rPr>
          <w:snapToGrid w:val="0"/>
        </w:rPr>
        <w:t>Compilation table</w:t>
      </w:r>
      <w:bookmarkEnd w:id="164"/>
      <w:bookmarkEnd w:id="165"/>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tcBorders>
          </w:tcPr>
          <w:p>
            <w:pPr>
              <w:pStyle w:val="nTable"/>
              <w:spacing w:after="40"/>
              <w:rPr>
                <w:sz w:val="19"/>
              </w:rPr>
            </w:pPr>
            <w:r>
              <w:rPr>
                <w:i/>
                <w:sz w:val="19"/>
              </w:rPr>
              <w:t>Road Traffic (Towed Agricultural Implements) Regulations 1995</w:t>
            </w:r>
          </w:p>
        </w:tc>
        <w:tc>
          <w:tcPr>
            <w:tcW w:w="1276" w:type="dxa"/>
            <w:tcBorders>
              <w:top w:val="nil"/>
            </w:tcBorders>
          </w:tcPr>
          <w:p>
            <w:pPr>
              <w:pStyle w:val="nTable"/>
              <w:spacing w:after="40"/>
              <w:rPr>
                <w:sz w:val="19"/>
              </w:rPr>
            </w:pPr>
            <w:r>
              <w:rPr>
                <w:sz w:val="19"/>
              </w:rPr>
              <w:t>12 May 1995 p. 1809</w:t>
            </w:r>
            <w:r>
              <w:rPr>
                <w:sz w:val="19"/>
              </w:rPr>
              <w:noBreakHyphen/>
              <w:t>18</w:t>
            </w:r>
          </w:p>
        </w:tc>
        <w:tc>
          <w:tcPr>
            <w:tcW w:w="2693" w:type="dxa"/>
            <w:tcBorders>
              <w:top w:val="nil"/>
            </w:tcBorders>
          </w:tcPr>
          <w:p>
            <w:pPr>
              <w:pStyle w:val="nTable"/>
              <w:spacing w:after="40"/>
              <w:rPr>
                <w:sz w:val="19"/>
              </w:rPr>
            </w:pPr>
            <w:r>
              <w:rPr>
                <w:sz w:val="19"/>
              </w:rPr>
              <w:t>12 May 1995</w:t>
            </w:r>
          </w:p>
        </w:tc>
      </w:tr>
      <w:tr>
        <w:tc>
          <w:tcPr>
            <w:tcW w:w="3118" w:type="dxa"/>
          </w:tcPr>
          <w:p>
            <w:pPr>
              <w:pStyle w:val="nTable"/>
              <w:spacing w:after="40"/>
              <w:rPr>
                <w:sz w:val="19"/>
              </w:rPr>
            </w:pPr>
            <w:r>
              <w:rPr>
                <w:i/>
                <w:sz w:val="19"/>
              </w:rPr>
              <w:t>Road Traffic (Towed Agricultural Implements) Amendment Regulations 1997</w:t>
            </w:r>
          </w:p>
        </w:tc>
        <w:tc>
          <w:tcPr>
            <w:tcW w:w="1276" w:type="dxa"/>
          </w:tcPr>
          <w:p>
            <w:pPr>
              <w:pStyle w:val="nTable"/>
              <w:spacing w:after="40"/>
              <w:rPr>
                <w:sz w:val="19"/>
              </w:rPr>
            </w:pPr>
            <w:r>
              <w:rPr>
                <w:sz w:val="19"/>
              </w:rPr>
              <w:t>23 Dec 1997 p. 7459</w:t>
            </w:r>
            <w:r>
              <w:rPr>
                <w:sz w:val="19"/>
              </w:rPr>
              <w:noBreakHyphen/>
              <w:t>60</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c>
          <w:tcPr>
            <w:tcW w:w="3118" w:type="dxa"/>
          </w:tcPr>
          <w:p>
            <w:pPr>
              <w:pStyle w:val="nTable"/>
              <w:spacing w:after="40"/>
              <w:rPr>
                <w:i/>
                <w:sz w:val="19"/>
              </w:rPr>
            </w:pPr>
            <w:r>
              <w:rPr>
                <w:i/>
                <w:sz w:val="19"/>
              </w:rPr>
              <w:t>Road Traffic (Towed Agricultural Implements) Amendment Regulations 1999</w:t>
            </w:r>
          </w:p>
        </w:tc>
        <w:tc>
          <w:tcPr>
            <w:tcW w:w="1276" w:type="dxa"/>
          </w:tcPr>
          <w:p>
            <w:pPr>
              <w:pStyle w:val="nTable"/>
              <w:spacing w:after="40"/>
              <w:rPr>
                <w:sz w:val="19"/>
              </w:rPr>
            </w:pPr>
            <w:r>
              <w:rPr>
                <w:sz w:val="19"/>
              </w:rPr>
              <w:t>15 Jan 1999 p. 117</w:t>
            </w:r>
            <w:r>
              <w:rPr>
                <w:sz w:val="19"/>
              </w:rPr>
              <w:noBreakHyphen/>
              <w:t>19</w:t>
            </w:r>
          </w:p>
        </w:tc>
        <w:tc>
          <w:tcPr>
            <w:tcW w:w="2693" w:type="dxa"/>
          </w:tcPr>
          <w:p>
            <w:pPr>
              <w:pStyle w:val="nTable"/>
              <w:spacing w:after="40"/>
              <w:rPr>
                <w:sz w:val="19"/>
              </w:rPr>
            </w:pPr>
            <w:r>
              <w:rPr>
                <w:sz w:val="19"/>
              </w:rPr>
              <w:t>15 Jan 1999</w:t>
            </w:r>
          </w:p>
        </w:tc>
      </w:tr>
      <w:tr>
        <w:tc>
          <w:tcPr>
            <w:tcW w:w="3118" w:type="dxa"/>
          </w:tcPr>
          <w:p>
            <w:pPr>
              <w:pStyle w:val="nTable"/>
              <w:spacing w:after="40"/>
              <w:rPr>
                <w:sz w:val="19"/>
              </w:rPr>
            </w:pPr>
            <w:r>
              <w:rPr>
                <w:i/>
                <w:sz w:val="19"/>
              </w:rPr>
              <w:t>Road Traffic (Vehicle Standards) (Consequential Provisions) Regulations 2002</w:t>
            </w:r>
            <w:r>
              <w:rPr>
                <w:sz w:val="19"/>
              </w:rPr>
              <w:t xml:space="preserve"> Pt. 5</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c>
          <w:tcPr>
            <w:tcW w:w="3118" w:type="dxa"/>
          </w:tcPr>
          <w:p>
            <w:pPr>
              <w:pStyle w:val="nTable"/>
              <w:spacing w:after="40"/>
              <w:rPr>
                <w:sz w:val="19"/>
              </w:rPr>
            </w:pPr>
            <w:r>
              <w:rPr>
                <w:i/>
                <w:sz w:val="19"/>
              </w:rPr>
              <w:t>Road Traffic (Vehicle Standards 2002) Amendment Regulations 2002</w:t>
            </w:r>
            <w:r>
              <w:rPr>
                <w:sz w:val="19"/>
              </w:rPr>
              <w:t xml:space="preserve"> r. 13(2)</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7087" w:type="dxa"/>
            <w:gridSpan w:val="3"/>
          </w:tcPr>
          <w:p>
            <w:pPr>
              <w:pStyle w:val="nTable"/>
              <w:spacing w:after="40"/>
              <w:rPr>
                <w:sz w:val="19"/>
              </w:rPr>
            </w:pPr>
            <w:r>
              <w:rPr>
                <w:b/>
                <w:sz w:val="19"/>
              </w:rPr>
              <w:t xml:space="preserve">Reprint 1:  The </w:t>
            </w:r>
            <w:r>
              <w:rPr>
                <w:b/>
                <w:i/>
                <w:sz w:val="19"/>
              </w:rPr>
              <w:t>Road Traffic (Towed Agricultural Implements) Regulations 1995</w:t>
            </w:r>
            <w:r>
              <w:rPr>
                <w:b/>
                <w:sz w:val="19"/>
              </w:rPr>
              <w:t xml:space="preserve"> as at 9 May 2003 </w:t>
            </w:r>
            <w:r>
              <w:rPr>
                <w:sz w:val="19"/>
              </w:rPr>
              <w:t>(includes amendments listed above)</w:t>
            </w:r>
          </w:p>
        </w:tc>
      </w:tr>
      <w:tr>
        <w:tc>
          <w:tcPr>
            <w:tcW w:w="3118" w:type="dxa"/>
          </w:tcPr>
          <w:p>
            <w:pPr>
              <w:pStyle w:val="nTable"/>
              <w:spacing w:after="40"/>
              <w:rPr>
                <w:i/>
                <w:sz w:val="19"/>
              </w:rPr>
            </w:pPr>
            <w:r>
              <w:rPr>
                <w:i/>
                <w:sz w:val="19"/>
              </w:rPr>
              <w:t>Road Traffic (Towed Agricultural Implements) Amendment Regulations 2004</w:t>
            </w:r>
          </w:p>
        </w:tc>
        <w:tc>
          <w:tcPr>
            <w:tcW w:w="1276" w:type="dxa"/>
          </w:tcPr>
          <w:p>
            <w:pPr>
              <w:pStyle w:val="nTable"/>
              <w:spacing w:after="40"/>
              <w:rPr>
                <w:sz w:val="19"/>
              </w:rPr>
            </w:pPr>
            <w:r>
              <w:rPr>
                <w:sz w:val="19"/>
              </w:rPr>
              <w:t>27 Jul 2004 p. 3081</w:t>
            </w:r>
          </w:p>
        </w:tc>
        <w:tc>
          <w:tcPr>
            <w:tcW w:w="2693" w:type="dxa"/>
          </w:tcPr>
          <w:p>
            <w:pPr>
              <w:pStyle w:val="nTable"/>
              <w:spacing w:after="40"/>
              <w:rPr>
                <w:sz w:val="19"/>
              </w:rPr>
            </w:pPr>
            <w:r>
              <w:rPr>
                <w:sz w:val="19"/>
              </w:rPr>
              <w:t>27 Jul 2004</w:t>
            </w:r>
          </w:p>
        </w:tc>
      </w:tr>
      <w:tr>
        <w:tc>
          <w:tcPr>
            <w:tcW w:w="3118" w:type="dxa"/>
          </w:tcPr>
          <w:p>
            <w:pPr>
              <w:pStyle w:val="nTable"/>
              <w:spacing w:after="40"/>
              <w:rPr>
                <w:i/>
                <w:sz w:val="19"/>
              </w:rPr>
            </w:pPr>
            <w:r>
              <w:rPr>
                <w:i/>
                <w:sz w:val="19"/>
              </w:rPr>
              <w:t>Road Traffic (Towed Agricultural Implements) Amendment Regulations 2006</w:t>
            </w:r>
          </w:p>
        </w:tc>
        <w:tc>
          <w:tcPr>
            <w:tcW w:w="1276" w:type="dxa"/>
          </w:tcPr>
          <w:p>
            <w:pPr>
              <w:pStyle w:val="nTable"/>
              <w:spacing w:after="40"/>
              <w:rPr>
                <w:sz w:val="19"/>
              </w:rPr>
            </w:pPr>
            <w:r>
              <w:rPr>
                <w:sz w:val="19"/>
              </w:rPr>
              <w:t>24 Feb 2006 p. 884-8</w:t>
            </w:r>
          </w:p>
        </w:tc>
        <w:tc>
          <w:tcPr>
            <w:tcW w:w="2693" w:type="dxa"/>
          </w:tcPr>
          <w:p>
            <w:pPr>
              <w:pStyle w:val="nTable"/>
              <w:spacing w:after="40"/>
              <w:rPr>
                <w:sz w:val="19"/>
              </w:rPr>
            </w:pPr>
            <w:r>
              <w:rPr>
                <w:sz w:val="19"/>
              </w:rPr>
              <w:t>24 Feb 2006</w:t>
            </w:r>
          </w:p>
        </w:tc>
      </w:tr>
      <w:tr>
        <w:tblPrEx>
          <w:tblBorders>
            <w:bottom w:val="none" w:sz="0" w:space="0" w:color="auto"/>
          </w:tblBorders>
        </w:tblPrEx>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85</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(Towed Agricultural Implements)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CE88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34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92FA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7A46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65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700F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58F5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30C1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0D4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C82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AEAC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4741C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244"/>
    <w:docVar w:name="WAFER_20151209123244" w:val="RemoveTrackChanges"/>
    <w:docVar w:name="WAFER_20151209123244_GUID" w:val="074f5a25-cc8f-4934-91ad-8ed9256f64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5124</Words>
  <Characters>24340</Characters>
  <Application>Microsoft Office Word</Application>
  <DocSecurity>0</DocSecurity>
  <Lines>676</Lines>
  <Paragraphs>398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1995 - 01-d0-03</dc:title>
  <dc:subject/>
  <dc:creator/>
  <cp:keywords/>
  <dc:description/>
  <cp:lastModifiedBy>svcMRProcess</cp:lastModifiedBy>
  <cp:revision>4</cp:revision>
  <cp:lastPrinted>2006-04-03T04:42:00Z</cp:lastPrinted>
  <dcterms:created xsi:type="dcterms:W3CDTF">2015-12-13T03:34:00Z</dcterms:created>
  <dcterms:modified xsi:type="dcterms:W3CDTF">2015-12-13T03:34:00Z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4757</vt:i4>
  </property>
  <property fmtid="{D5CDD505-2E9C-101B-9397-08002B2CF9AE}" pid="6" name="AsAtDate">
    <vt:lpwstr>01 Apr 2006</vt:lpwstr>
  </property>
  <property fmtid="{D5CDD505-2E9C-101B-9397-08002B2CF9AE}" pid="7" name="Suffix">
    <vt:lpwstr>01-d0-03</vt:lpwstr>
  </property>
</Properties>
</file>