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_Toc36544532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_Toc36544533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_Toc36544534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Application of these rules</w:t>
      </w:r>
      <w:r>
        <w:tab/>
      </w:r>
      <w:r>
        <w:fldChar w:fldCharType="begin"/>
      </w:r>
      <w:r>
        <w:instrText xml:space="preserve"> PAGEREF _Toc36544535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Practice and procedure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Applications for review of decision of Director (s. 25 of Act)</w:t>
      </w:r>
      <w:r>
        <w:tab/>
      </w:r>
      <w:r>
        <w:fldChar w:fldCharType="begin"/>
      </w:r>
      <w:r>
        <w:instrText xml:space="preserve"> PAGEREF _Toc36544537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Appeals against decision of Commission constituted by one member (s. 28(4a) of Act)</w:t>
      </w:r>
      <w:r>
        <w:tab/>
      </w:r>
      <w:r>
        <w:fldChar w:fldCharType="begin"/>
      </w:r>
      <w:r>
        <w:instrText xml:space="preserve"> PAGEREF _Toc36544538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Complaints (s. 95 of Act)</w:t>
      </w:r>
      <w:r>
        <w:tab/>
      </w:r>
      <w:r>
        <w:fldChar w:fldCharType="begin"/>
      </w:r>
      <w:r>
        <w:instrText xml:space="preserve"> PAGEREF _Toc36544539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8A.</w:t>
      </w:r>
      <w:r>
        <w:tab/>
        <w:t>Lodging written submissions for proceedings</w:t>
      </w:r>
      <w:r>
        <w:tab/>
      </w:r>
      <w:r>
        <w:fldChar w:fldCharType="begin"/>
      </w:r>
      <w:r>
        <w:instrText xml:space="preserve"> PAGEREF _Toc36544540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Separate proceedings determined simultaneously</w:t>
      </w:r>
      <w:r>
        <w:tab/>
      </w:r>
      <w:r>
        <w:fldChar w:fldCharType="begin"/>
      </w:r>
      <w:r>
        <w:instrText xml:space="preserve"> PAGEREF _Toc36544541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Separate proceedings heard together</w:t>
      </w:r>
      <w:r>
        <w:tab/>
      </w:r>
      <w:r>
        <w:fldChar w:fldCharType="begin"/>
      </w:r>
      <w:r>
        <w:instrText xml:space="preserve"> PAGEREF _Toc36544542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Withdrawal</w:t>
      </w:r>
      <w:r>
        <w:tab/>
      </w:r>
      <w:r>
        <w:fldChar w:fldCharType="begin"/>
      </w:r>
      <w:r>
        <w:instrText xml:space="preserve"> PAGEREF _Toc36544543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Orders relating to practice and procedure</w:t>
      </w:r>
      <w:r>
        <w:tab/>
      </w:r>
      <w:r>
        <w:fldChar w:fldCharType="begin"/>
      </w:r>
      <w:r>
        <w:instrText xml:space="preserve"> PAGEREF _Toc36544544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Costs orders</w:t>
      </w:r>
      <w:r>
        <w:tab/>
      </w:r>
      <w:r>
        <w:fldChar w:fldCharType="begin"/>
      </w:r>
      <w:r>
        <w:instrText xml:space="preserve"> PAGEREF _Toc36544545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Authentication of decisions of Commission</w:t>
      </w:r>
      <w:r>
        <w:tab/>
      </w:r>
      <w:r>
        <w:fldChar w:fldCharType="begin"/>
      </w:r>
      <w:r>
        <w:instrText xml:space="preserve"> PAGEREF _Toc36544547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Obtaining copies of documents in relation to proceedings</w:t>
      </w:r>
      <w:r>
        <w:tab/>
      </w:r>
      <w:r>
        <w:fldChar w:fldCharType="begin"/>
      </w:r>
      <w:r>
        <w:instrText xml:space="preserve"> PAGEREF _Toc36544548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Costs and charges payable in relation to proceedings</w:t>
      </w:r>
      <w:r>
        <w:tab/>
      </w:r>
      <w:r>
        <w:fldChar w:fldCharType="begin"/>
      </w:r>
      <w:r>
        <w:instrText xml:space="preserve"> PAGEREF _Toc36544549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Repeal and savings</w:t>
      </w:r>
      <w:r>
        <w:tab/>
      </w:r>
      <w:r>
        <w:fldChar w:fldCharType="begin"/>
      </w:r>
      <w:r>
        <w:instrText xml:space="preserve"> PAGEREF _Toc36544550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Schedule 1 — Costs and charges payable in relation to proceedings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_Toc36544553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t>Liquor Control Act 1988</w:t>
      </w:r>
    </w:p>
    <w:p>
      <w:pPr>
        <w:pStyle w:val="NameofActReg"/>
      </w:pPr>
      <w:r>
        <w:t>Liquor Commission Rules 2007</w:t>
      </w:r>
    </w:p>
    <w:p>
      <w:pPr>
        <w:pStyle w:val="Heading2"/>
        <w:pageBreakBefore w:val="0"/>
        <w:spacing w:before="320"/>
      </w:pPr>
      <w:bookmarkStart w:id="3" w:name="_Toc3654453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</w:p>
    <w:p>
      <w:pPr>
        <w:pStyle w:val="Heading5"/>
      </w:pPr>
      <w:bookmarkStart w:id="4" w:name="_Toc36544532"/>
      <w:r>
        <w:rPr>
          <w:rStyle w:val="CharSectno"/>
        </w:rPr>
        <w:t>1</w:t>
      </w:r>
      <w:r>
        <w:t>.</w:t>
      </w:r>
      <w:r>
        <w:tab/>
        <w:t>Citation</w:t>
      </w:r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Rules 2007</w:t>
      </w:r>
      <w:r>
        <w:t>.</w:t>
      </w:r>
    </w:p>
    <w:p>
      <w:pPr>
        <w:pStyle w:val="Heading5"/>
      </w:pPr>
      <w:bookmarkStart w:id="6" w:name="_Toc36544533"/>
      <w:r>
        <w:rPr>
          <w:rStyle w:val="CharSectno"/>
        </w:rPr>
        <w:t>2</w:t>
      </w:r>
      <w:r>
        <w:t>.</w:t>
      </w:r>
      <w:r>
        <w:tab/>
        <w:t>Commencement</w:t>
      </w:r>
      <w:bookmarkEnd w:id="6"/>
    </w:p>
    <w:p>
      <w:pPr>
        <w:pStyle w:val="Subsection"/>
      </w:pPr>
      <w:r>
        <w:tab/>
      </w:r>
      <w:r>
        <w:tab/>
        <w:t>These rules come into operation as follows:</w:t>
      </w:r>
    </w:p>
    <w:p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rules — on the day after that day.</w:t>
      </w:r>
    </w:p>
    <w:p>
      <w:pPr>
        <w:pStyle w:val="Heading5"/>
      </w:pPr>
      <w:bookmarkStart w:id="7" w:name="_Toc36544534"/>
      <w:r>
        <w:rPr>
          <w:rStyle w:val="CharSectno"/>
        </w:rPr>
        <w:t>3</w:t>
      </w:r>
      <w:r>
        <w:t>.</w:t>
      </w:r>
      <w:r>
        <w:tab/>
        <w:t>Terms used</w:t>
      </w:r>
      <w:bookmarkEnd w:id="7"/>
    </w:p>
    <w:p>
      <w:pPr>
        <w:pStyle w:val="Subsection"/>
      </w:pPr>
      <w:r>
        <w:tab/>
      </w:r>
      <w:r>
        <w:tab/>
        <w:t xml:space="preserve">In these rules,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document</w:t>
      </w:r>
      <w:r>
        <w:t xml:space="preserve"> means any record that is or is capable of being put on paper;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means to lodge at the office of the Commission;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party</w:t>
      </w:r>
      <w:r>
        <w:t xml:space="preserve"> means a party to proceedings;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proceedings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matter referred to the Commission by the Director under section 24 of the Act; or</w:t>
      </w:r>
    </w:p>
    <w:p>
      <w:pPr>
        <w:pStyle w:val="Defpara"/>
      </w:pPr>
      <w:r>
        <w:tab/>
        <w:t>(b)</w:t>
      </w:r>
      <w:r>
        <w:tab/>
        <w:t>an application under section 25 of the Act for the review of a decision of the Director; or</w:t>
      </w:r>
    </w:p>
    <w:p>
      <w:pPr>
        <w:pStyle w:val="Defpara"/>
      </w:pPr>
      <w:r>
        <w:tab/>
        <w:t>(c)</w:t>
      </w:r>
      <w:r>
        <w:tab/>
        <w:t>an appeal under section 28(4a) of the Act against a decision of the Commission constituted by one member; or</w:t>
      </w:r>
    </w:p>
    <w:p>
      <w:pPr>
        <w:pStyle w:val="Defpara"/>
      </w:pPr>
      <w:r>
        <w:tab/>
        <w:t>(d)</w:t>
      </w:r>
      <w:r>
        <w:tab/>
        <w:t>a complaint under section 95 of the Act; or</w:t>
      </w:r>
    </w:p>
    <w:p>
      <w:pPr>
        <w:pStyle w:val="Defpara"/>
      </w:pPr>
      <w:r>
        <w:tab/>
        <w:t>(e)</w:t>
      </w:r>
      <w:r>
        <w:tab/>
        <w:t>an application under section 115AD(3);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record</w:t>
      </w:r>
      <w:r>
        <w:t xml:space="preserve"> means any thing or process — </w:t>
      </w:r>
    </w:p>
    <w:p>
      <w:pPr>
        <w:pStyle w:val="Defpara"/>
      </w:pPr>
      <w:r>
        <w:tab/>
        <w:t>(a)</w:t>
      </w:r>
      <w:r>
        <w:tab/>
        <w:t>on or by which information is recorded or stored; or</w:t>
      </w:r>
    </w:p>
    <w:p>
      <w:pPr>
        <w:pStyle w:val="Defpara"/>
      </w:pPr>
      <w:r>
        <w:tab/>
        <w:t>(b)</w:t>
      </w:r>
      <w:r>
        <w:tab/>
        <w:t>by means of which a meaning can be conveyed by any means in a visible or recoverable form,</w:t>
      </w:r>
    </w:p>
    <w:p>
      <w:pPr>
        <w:pStyle w:val="Defstart"/>
      </w:pPr>
      <w:r>
        <w:tab/>
        <w:t>whether or not the use or assistance of some electronic, electrical, mechanical, chemical or other device or process is required to recover or convey the information or meaning.</w:t>
      </w:r>
    </w:p>
    <w:p>
      <w:pPr>
        <w:pStyle w:val="Footnotesection"/>
      </w:pPr>
      <w:r>
        <w:tab/>
        <w:t>[Rule 3 amended: Gazette 21 Jun 2011 p. 2251.]</w:t>
      </w:r>
    </w:p>
    <w:p>
      <w:pPr>
        <w:pStyle w:val="Heading5"/>
        <w:rPr>
          <w:rStyle w:val="CharSectno"/>
        </w:rPr>
      </w:pPr>
      <w:bookmarkStart w:id="8" w:name="_Toc36544535"/>
      <w:r>
        <w:rPr>
          <w:rStyle w:val="CharSectno"/>
        </w:rPr>
        <w:t>4</w:t>
      </w:r>
      <w:r>
        <w:t>.</w:t>
      </w:r>
      <w:r>
        <w:rPr>
          <w:rStyle w:val="CharSectno"/>
        </w:rPr>
        <w:tab/>
      </w:r>
      <w:r>
        <w:t>Application of these rules</w:t>
      </w:r>
      <w:bookmarkEnd w:id="8"/>
    </w:p>
    <w:p>
      <w:pPr>
        <w:pStyle w:val="Subsection"/>
      </w:pPr>
      <w:r>
        <w:tab/>
      </w:r>
      <w:r>
        <w:tab/>
        <w:t>Unless the Commission in a particular case orders otherwise, these rules apply in all proceedings.</w:t>
      </w:r>
    </w:p>
    <w:p>
      <w:pPr>
        <w:pStyle w:val="Heading2"/>
      </w:pPr>
      <w:bookmarkStart w:id="9" w:name="_Toc36544536"/>
      <w:r>
        <w:rPr>
          <w:rStyle w:val="CharPartNo"/>
        </w:rPr>
        <w:t>Part 2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Practice and procedure</w:t>
      </w:r>
      <w:bookmarkEnd w:id="9"/>
    </w:p>
    <w:p>
      <w:pPr>
        <w:pStyle w:val="Heading5"/>
      </w:pPr>
      <w:bookmarkStart w:id="10" w:name="_Toc36544537"/>
      <w:r>
        <w:rPr>
          <w:rStyle w:val="CharSectno"/>
        </w:rPr>
        <w:t>5</w:t>
      </w:r>
      <w:r>
        <w:t>.</w:t>
      </w:r>
      <w:r>
        <w:tab/>
        <w:t>Applications for review of decision of Director (s. 25 of Act)</w:t>
      </w:r>
      <w:bookmarkEnd w:id="10"/>
    </w:p>
    <w:p>
      <w:pPr>
        <w:pStyle w:val="Subsection"/>
      </w:pPr>
      <w:r>
        <w:tab/>
        <w:t>(1)</w:t>
      </w:r>
      <w:r>
        <w:tab/>
        <w:t xml:space="preserve">If a party to proceedings before the Director wants to apply under section 25 of the Act for the Commission to review a decision of the Director,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application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application, serve a copy of the application on the Director and every other person who was a party to the proceedings before the Director.</w:t>
      </w:r>
    </w:p>
    <w:p>
      <w:pPr>
        <w:pStyle w:val="Subsection"/>
      </w:pPr>
      <w:r>
        <w:tab/>
        <w:t>(2)</w:t>
      </w:r>
      <w:r>
        <w:tab/>
        <w:t>The application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applicant; and</w:t>
      </w:r>
    </w:p>
    <w:p>
      <w:pPr>
        <w:pStyle w:val="Indenta"/>
      </w:pPr>
      <w:r>
        <w:tab/>
        <w:t>(b)</w:t>
      </w:r>
      <w:r>
        <w:tab/>
        <w:t>the decision the applicant wants reviewed; and</w:t>
      </w:r>
    </w:p>
    <w:p>
      <w:pPr>
        <w:pStyle w:val="Indenta"/>
      </w:pPr>
      <w:r>
        <w:tab/>
        <w:t>(c)</w:t>
      </w:r>
      <w:r>
        <w:tab/>
        <w:t>the grounds of the application; and</w:t>
      </w:r>
    </w:p>
    <w:p>
      <w:pPr>
        <w:pStyle w:val="Indenta"/>
      </w:pPr>
      <w:r>
        <w:tab/>
        <w:t>(d)</w:t>
      </w:r>
      <w:r>
        <w:tab/>
        <w:t>the date of the decision.</w:t>
      </w:r>
    </w:p>
    <w:p>
      <w:pPr>
        <w:pStyle w:val="Subsection"/>
      </w:pPr>
      <w:r>
        <w:tab/>
        <w:t>(3)</w:t>
      </w:r>
      <w:r>
        <w:tab/>
        <w:t>The application may include information, or be accompanied by any other material, that was before the Director when making the decision.</w:t>
      </w:r>
    </w:p>
    <w:p>
      <w:pPr>
        <w:pStyle w:val="Heading5"/>
      </w:pPr>
      <w:bookmarkStart w:id="11" w:name="_Toc36544538"/>
      <w:r>
        <w:rPr>
          <w:rStyle w:val="CharSectno"/>
        </w:rPr>
        <w:t>6</w:t>
      </w:r>
      <w:r>
        <w:t>.</w:t>
      </w:r>
      <w:r>
        <w:tab/>
        <w:t>Appeals against decision of Commission constituted by one member (s. 28(4a) of Act)</w:t>
      </w:r>
      <w:bookmarkEnd w:id="11"/>
    </w:p>
    <w:p>
      <w:pPr>
        <w:pStyle w:val="Subsection"/>
        <w:keepNext/>
      </w:pPr>
      <w:r>
        <w:tab/>
        <w:t>(1)</w:t>
      </w:r>
      <w:r>
        <w:tab/>
        <w:t xml:space="preserve">If a party to proceedings wants to appeal under section 28(4a) of the Act against a decision of the Commission constituted by one member,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appeal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appeal, serve a copy of the appeal on every other person who was a party to the proceedings in which the relevant decision was made.</w:t>
      </w:r>
    </w:p>
    <w:p>
      <w:pPr>
        <w:pStyle w:val="Subsection"/>
      </w:pPr>
      <w:r>
        <w:tab/>
        <w:t>(2)</w:t>
      </w:r>
      <w:r>
        <w:tab/>
        <w:t>The appeal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appellant; and</w:t>
      </w:r>
    </w:p>
    <w:p>
      <w:pPr>
        <w:pStyle w:val="Indenta"/>
      </w:pPr>
      <w:r>
        <w:tab/>
        <w:t>(b)</w:t>
      </w:r>
      <w:r>
        <w:tab/>
        <w:t>the decision the appellant is appealing against; and</w:t>
      </w:r>
    </w:p>
    <w:p>
      <w:pPr>
        <w:pStyle w:val="Indenta"/>
      </w:pPr>
      <w:r>
        <w:tab/>
        <w:t>(c)</w:t>
      </w:r>
      <w:r>
        <w:tab/>
        <w:t>the grounds of the appeal; and</w:t>
      </w:r>
    </w:p>
    <w:p>
      <w:pPr>
        <w:pStyle w:val="Indenta"/>
      </w:pPr>
      <w:r>
        <w:tab/>
        <w:t>(d)</w:t>
      </w:r>
      <w:r>
        <w:tab/>
        <w:t>the name of the member who gave the decision; and</w:t>
      </w:r>
    </w:p>
    <w:p>
      <w:pPr>
        <w:pStyle w:val="Indenta"/>
      </w:pPr>
      <w:r>
        <w:tab/>
        <w:t>(e)</w:t>
      </w:r>
      <w:r>
        <w:tab/>
        <w:t>the date of the decision.</w:t>
      </w:r>
    </w:p>
    <w:p>
      <w:pPr>
        <w:pStyle w:val="Heading5"/>
      </w:pPr>
      <w:bookmarkStart w:id="12" w:name="_Toc36544539"/>
      <w:r>
        <w:rPr>
          <w:rStyle w:val="CharSectno"/>
        </w:rPr>
        <w:t>7</w:t>
      </w:r>
      <w:r>
        <w:t>.</w:t>
      </w:r>
      <w:r>
        <w:tab/>
        <w:t>Complaints (s. 95 of Act)</w:t>
      </w:r>
      <w:bookmarkEnd w:id="12"/>
    </w:p>
    <w:p>
      <w:pPr>
        <w:pStyle w:val="Subsection"/>
      </w:pPr>
      <w:r>
        <w:tab/>
      </w:r>
      <w:r>
        <w:tab/>
        <w:t xml:space="preserve">If a person wants to lodge a complaint under section 95 of the Act the person may do so — </w:t>
      </w:r>
    </w:p>
    <w:p>
      <w:pPr>
        <w:pStyle w:val="Indenta"/>
      </w:pPr>
      <w:r>
        <w:tab/>
        <w:t>(a)</w:t>
      </w:r>
      <w:r>
        <w:tab/>
        <w:t>by hand delivery; or</w:t>
      </w:r>
    </w:p>
    <w:p>
      <w:pPr>
        <w:pStyle w:val="Indenta"/>
      </w:pPr>
      <w:r>
        <w:tab/>
        <w:t>(b)</w:t>
      </w:r>
      <w:r>
        <w:tab/>
        <w:t>by pre</w:t>
      </w:r>
      <w:r>
        <w:noBreakHyphen/>
        <w:t>paid post; or</w:t>
      </w:r>
    </w:p>
    <w:p>
      <w:pPr>
        <w:pStyle w:val="Indenta"/>
      </w:pPr>
      <w:r>
        <w:tab/>
        <w:t>(c)</w:t>
      </w:r>
      <w:r>
        <w:tab/>
        <w:t>by facsimile transmission; or</w:t>
      </w:r>
    </w:p>
    <w:p>
      <w:pPr>
        <w:pStyle w:val="Indenta"/>
      </w:pPr>
      <w:r>
        <w:tab/>
        <w:t>(d)</w:t>
      </w:r>
      <w:r>
        <w:tab/>
        <w:t>by email.</w:t>
      </w:r>
    </w:p>
    <w:p>
      <w:pPr>
        <w:pStyle w:val="Heading5"/>
      </w:pPr>
      <w:bookmarkStart w:id="13" w:name="_Toc36544540"/>
      <w:r>
        <w:rPr>
          <w:rStyle w:val="CharSectno"/>
        </w:rPr>
        <w:t>8A</w:t>
      </w:r>
      <w:r>
        <w:t>.</w:t>
      </w:r>
      <w:r>
        <w:tab/>
        <w:t>Lodging written submissions for proceedings</w:t>
      </w:r>
      <w:bookmarkEnd w:id="13"/>
    </w:p>
    <w:p>
      <w:pPr>
        <w:pStyle w:val="Subsection"/>
      </w:pPr>
      <w:r>
        <w:tab/>
        <w:t>(1)</w:t>
      </w:r>
      <w:r>
        <w:tab/>
        <w:t xml:space="preserve">If a party to proceedings wants to lodge written submissions in relation to those proceedings, the submissions — </w:t>
      </w:r>
    </w:p>
    <w:p>
      <w:pPr>
        <w:pStyle w:val="Indenta"/>
      </w:pPr>
      <w:r>
        <w:tab/>
        <w:t>(a)</w:t>
      </w:r>
      <w:r>
        <w:tab/>
        <w:t>must be a summary of the party’s arguments expressed so as to convey the substance of them clearly and as succinctly as possible; and</w:t>
      </w:r>
    </w:p>
    <w:p>
      <w:pPr>
        <w:pStyle w:val="Indenta"/>
      </w:pPr>
      <w:r>
        <w:tab/>
        <w:t>(b)</w:t>
      </w:r>
      <w:r>
        <w:tab/>
        <w:t>must be set out in numbered paragraphs; and</w:t>
      </w:r>
    </w:p>
    <w:p>
      <w:pPr>
        <w:pStyle w:val="Indenta"/>
      </w:pPr>
      <w:r>
        <w:tab/>
        <w:t>(c)</w:t>
      </w:r>
      <w:r>
        <w:tab/>
        <w:t xml:space="preserve">must not exceed — </w:t>
      </w:r>
    </w:p>
    <w:p>
      <w:pPr>
        <w:pStyle w:val="Indenti"/>
      </w:pPr>
      <w:r>
        <w:tab/>
        <w:t>(i)</w:t>
      </w:r>
      <w:r>
        <w:tab/>
        <w:t>in the case of the primary submissions, 20 pages; or</w:t>
      </w:r>
    </w:p>
    <w:p>
      <w:pPr>
        <w:pStyle w:val="Indenti"/>
      </w:pPr>
      <w:r>
        <w:tab/>
        <w:t>(ii)</w:t>
      </w:r>
      <w:r>
        <w:tab/>
        <w:t>in the case of any further submissions that the Commission allows to be lodged, 10 pages.</w:t>
      </w:r>
    </w:p>
    <w:p>
      <w:pPr>
        <w:pStyle w:val="Subsection"/>
      </w:pPr>
      <w:r>
        <w:tab/>
        <w:t>(2)</w:t>
      </w:r>
      <w:r>
        <w:tab/>
        <w:t xml:space="preserve">If the party’s written submissions refer to any legislation, judgment, legal text or any other related material (an </w:t>
      </w:r>
      <w:r>
        <w:rPr>
          <w:rStyle w:val="CharDefText"/>
        </w:rPr>
        <w:t>authority</w:t>
      </w:r>
      <w:r>
        <w:t xml:space="preserve">), the party must, at the time the party lodges its written submissions, provide — </w:t>
      </w:r>
    </w:p>
    <w:p>
      <w:pPr>
        <w:pStyle w:val="Indenta"/>
      </w:pPr>
      <w:r>
        <w:tab/>
        <w:t>(a)</w:t>
      </w:r>
      <w:r>
        <w:tab/>
        <w:t>for an authority that is a judgment — a copy of the complete judgment;</w:t>
      </w:r>
    </w:p>
    <w:p>
      <w:pPr>
        <w:pStyle w:val="Indenta"/>
      </w:pPr>
      <w:r>
        <w:tab/>
        <w:t>(b)</w:t>
      </w:r>
      <w:r>
        <w:tab/>
        <w:t>for any other authority — sufficient details to enable the authority to be identified and located.</w:t>
      </w:r>
    </w:p>
    <w:p>
      <w:pPr>
        <w:pStyle w:val="Subsection"/>
      </w:pPr>
      <w:r>
        <w:tab/>
        <w:t>(3)</w:t>
      </w:r>
      <w:r>
        <w:tab/>
        <w:t>The party must, as soon as practicable after lodging the written submissions, serve a copy of them on every other party to the proceedings.</w:t>
      </w:r>
    </w:p>
    <w:p>
      <w:pPr>
        <w:pStyle w:val="Footnotesection"/>
      </w:pPr>
      <w:r>
        <w:tab/>
        <w:t>[Rule 8A inserted: Gazette 18 Nov 2014 p. 4327-8.]</w:t>
      </w:r>
    </w:p>
    <w:p>
      <w:pPr>
        <w:pStyle w:val="Heading5"/>
      </w:pPr>
      <w:bookmarkStart w:id="14" w:name="_Toc36544541"/>
      <w:r>
        <w:rPr>
          <w:rStyle w:val="CharSectno"/>
        </w:rPr>
        <w:t>8</w:t>
      </w:r>
      <w:r>
        <w:t>.</w:t>
      </w:r>
      <w:r>
        <w:tab/>
        <w:t>Separate proceedings determined simultaneously</w:t>
      </w:r>
      <w:bookmarkEnd w:id="14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determined simultaneously, irrespective of when the applications, appeals, complaints or referrals giving rise to the proceedings were made.</w:t>
      </w:r>
    </w:p>
    <w:p>
      <w:pPr>
        <w:pStyle w:val="Heading5"/>
      </w:pPr>
      <w:bookmarkStart w:id="15" w:name="_Toc36544542"/>
      <w:r>
        <w:rPr>
          <w:rStyle w:val="CharSectno"/>
        </w:rPr>
        <w:t>9</w:t>
      </w:r>
      <w:r>
        <w:t>.</w:t>
      </w:r>
      <w:r>
        <w:tab/>
        <w:t>Separate proceedings heard together</w:t>
      </w:r>
      <w:bookmarkEnd w:id="15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heard together.</w:t>
      </w:r>
    </w:p>
    <w:p>
      <w:pPr>
        <w:pStyle w:val="Heading5"/>
      </w:pPr>
      <w:bookmarkStart w:id="16" w:name="_Toc36544543"/>
      <w:r>
        <w:rPr>
          <w:rStyle w:val="CharSectno"/>
        </w:rPr>
        <w:t>10</w:t>
      </w:r>
      <w:r>
        <w:t>.</w:t>
      </w:r>
      <w:r>
        <w:tab/>
        <w:t>Withdrawal</w:t>
      </w:r>
      <w:bookmarkEnd w:id="16"/>
    </w:p>
    <w:p>
      <w:pPr>
        <w:pStyle w:val="Subsection"/>
      </w:pPr>
      <w:r>
        <w:tab/>
        <w:t>(1)</w:t>
      </w:r>
      <w:r>
        <w:tab/>
        <w:t xml:space="preserve">If a party wants to withdraw from proceedings, the party must do so by — </w:t>
      </w:r>
    </w:p>
    <w:p>
      <w:pPr>
        <w:pStyle w:val="Indenta"/>
      </w:pPr>
      <w:r>
        <w:tab/>
        <w:t>(a)</w:t>
      </w:r>
      <w:r>
        <w:tab/>
        <w:t>lodging a written notice of that withdrawal; and</w:t>
      </w:r>
    </w:p>
    <w:p>
      <w:pPr>
        <w:pStyle w:val="Indenta"/>
      </w:pPr>
      <w:r>
        <w:tab/>
        <w:t>(b)</w:t>
      </w:r>
      <w:r>
        <w:tab/>
        <w:t>serving a copy of that notice on every other party.</w:t>
      </w:r>
    </w:p>
    <w:p>
      <w:pPr>
        <w:pStyle w:val="Subsection"/>
      </w:pPr>
      <w:r>
        <w:tab/>
        <w:t>(2)</w:t>
      </w:r>
      <w:r>
        <w:tab/>
        <w:t>The Commission may give the party leave to withdraw its application or objection in the absence of the parties.</w:t>
      </w:r>
    </w:p>
    <w:p>
      <w:pPr>
        <w:pStyle w:val="Heading5"/>
      </w:pPr>
      <w:bookmarkStart w:id="17" w:name="_Toc36544544"/>
      <w:r>
        <w:rPr>
          <w:rStyle w:val="CharSectno"/>
        </w:rPr>
        <w:t>11</w:t>
      </w:r>
      <w:r>
        <w:t>.</w:t>
      </w:r>
      <w:r>
        <w:tab/>
        <w:t>Orders relating to practice and procedure</w:t>
      </w:r>
      <w:bookmarkEnd w:id="17"/>
    </w:p>
    <w:p>
      <w:pPr>
        <w:pStyle w:val="Subsection"/>
      </w:pPr>
      <w:r>
        <w:tab/>
        <w:t>(1)</w:t>
      </w:r>
      <w:r>
        <w:tab/>
        <w:t>If a party wants to make an application for an order relating to practice or procedure the party must do so by lodging the application in writing.</w:t>
      </w:r>
    </w:p>
    <w:p>
      <w:pPr>
        <w:pStyle w:val="Subsection"/>
      </w:pPr>
      <w:r>
        <w:tab/>
        <w:t>(2)</w:t>
      </w:r>
      <w:r>
        <w:tab/>
        <w:t>A party may, with the leave of the Commission, make an application for an order relating to practice or procedure orally at any hearing before the Commission.</w:t>
      </w:r>
    </w:p>
    <w:p>
      <w:pPr>
        <w:pStyle w:val="Heading5"/>
      </w:pPr>
      <w:bookmarkStart w:id="18" w:name="_Toc36544545"/>
      <w:r>
        <w:rPr>
          <w:rStyle w:val="CharSectno"/>
        </w:rPr>
        <w:t>12</w:t>
      </w:r>
      <w:r>
        <w:t>.</w:t>
      </w:r>
      <w:r>
        <w:tab/>
        <w:t>Costs orders</w:t>
      </w:r>
      <w:bookmarkEnd w:id="18"/>
    </w:p>
    <w:p>
      <w:pPr>
        <w:pStyle w:val="Subsection"/>
      </w:pPr>
      <w:r>
        <w:tab/>
        <w:t>(1)</w:t>
      </w:r>
      <w:r>
        <w:tab/>
        <w:t>If the Commission orders a party to pay the costs of another party, the Commission is to list the proceedings for an assessment of those costs and notify the parties in writing.</w:t>
      </w:r>
    </w:p>
    <w:p>
      <w:pPr>
        <w:pStyle w:val="Subsection"/>
      </w:pPr>
      <w:r>
        <w:tab/>
        <w:t>(2)</w:t>
      </w:r>
      <w:r>
        <w:tab/>
        <w:t>When the Commission lists proceedings for an assessment of costs, the party entitled to costs must lodge and serve on the other parties a written bill of those costs.</w:t>
      </w:r>
    </w:p>
    <w:p>
      <w:pPr>
        <w:pStyle w:val="Heading2"/>
      </w:pPr>
      <w:bookmarkStart w:id="19" w:name="_Toc36544546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9"/>
    </w:p>
    <w:p>
      <w:pPr>
        <w:pStyle w:val="Heading5"/>
      </w:pPr>
      <w:bookmarkStart w:id="20" w:name="_Toc36544547"/>
      <w:r>
        <w:rPr>
          <w:rStyle w:val="CharSectno"/>
        </w:rPr>
        <w:t>13</w:t>
      </w:r>
      <w:r>
        <w:t>.</w:t>
      </w:r>
      <w:r>
        <w:tab/>
        <w:t>Authentication of decisions of Commission</w:t>
      </w:r>
      <w:bookmarkEnd w:id="20"/>
    </w:p>
    <w:p>
      <w:pPr>
        <w:pStyle w:val="Subsection"/>
      </w:pPr>
      <w:r>
        <w:tab/>
      </w:r>
      <w:r>
        <w:tab/>
        <w:t xml:space="preserve">A decision of the Commission is to be authenticated by — </w:t>
      </w:r>
    </w:p>
    <w:p>
      <w:pPr>
        <w:pStyle w:val="Indenta"/>
      </w:pPr>
      <w:r>
        <w:tab/>
        <w:t>(a)</w:t>
      </w:r>
      <w:r>
        <w:tab/>
        <w:t>being signed by a member of the Commission; and</w:t>
      </w:r>
    </w:p>
    <w:p>
      <w:pPr>
        <w:pStyle w:val="Indenta"/>
      </w:pPr>
      <w:r>
        <w:tab/>
        <w:t>(b)</w:t>
      </w:r>
      <w:r>
        <w:tab/>
        <w:t>having the seal of the Commission affixed to it.</w:t>
      </w:r>
    </w:p>
    <w:p>
      <w:pPr>
        <w:pStyle w:val="Heading5"/>
      </w:pPr>
      <w:bookmarkStart w:id="21" w:name="_Toc36544548"/>
      <w:r>
        <w:rPr>
          <w:rStyle w:val="CharSectno"/>
        </w:rPr>
        <w:t>14</w:t>
      </w:r>
      <w:r>
        <w:t>.</w:t>
      </w:r>
      <w:r>
        <w:tab/>
        <w:t>Obtaining copies of documents in relation to proceedings</w:t>
      </w:r>
      <w:bookmarkEnd w:id="21"/>
    </w:p>
    <w:p>
      <w:pPr>
        <w:pStyle w:val="Subsection"/>
      </w:pPr>
      <w:r>
        <w:tab/>
      </w:r>
      <w:r>
        <w:tab/>
        <w:t xml:space="preserve">A party to proceedings may obtain a copy of any of the following documents — </w:t>
      </w:r>
    </w:p>
    <w:p>
      <w:pPr>
        <w:pStyle w:val="Indenta"/>
      </w:pPr>
      <w:r>
        <w:tab/>
        <w:t>(a)</w:t>
      </w:r>
      <w:r>
        <w:tab/>
        <w:t>a document the party is entitled to inspect under section 16(11)(b) of the Act;</w:t>
      </w:r>
    </w:p>
    <w:p>
      <w:pPr>
        <w:pStyle w:val="Indenta"/>
      </w:pPr>
      <w:r>
        <w:tab/>
        <w:t>(b)</w:t>
      </w:r>
      <w:r>
        <w:tab/>
        <w:t>a transcript of the proceedings.</w:t>
      </w:r>
    </w:p>
    <w:p>
      <w:pPr>
        <w:pStyle w:val="Footnotesection"/>
      </w:pPr>
      <w:r>
        <w:tab/>
        <w:t>[Rule 14 inserted: SL 2020/29 r. 4.]</w:t>
      </w:r>
    </w:p>
    <w:p>
      <w:pPr>
        <w:pStyle w:val="Heading5"/>
      </w:pPr>
      <w:bookmarkStart w:id="22" w:name="_Toc36544549"/>
      <w:r>
        <w:rPr>
          <w:rStyle w:val="CharSectno"/>
        </w:rPr>
        <w:t>15</w:t>
      </w:r>
      <w:r>
        <w:t>.</w:t>
      </w:r>
      <w:r>
        <w:tab/>
        <w:t>Costs and charges payable in relation to proceedings</w:t>
      </w:r>
      <w:bookmarkEnd w:id="22"/>
    </w:p>
    <w:p>
      <w:pPr>
        <w:pStyle w:val="Subsection"/>
      </w:pPr>
      <w:r>
        <w:tab/>
      </w:r>
      <w:r>
        <w:tab/>
        <w:t>The costs and charges set out in Schedule 1 are payable in relation to proceedings.</w:t>
      </w:r>
    </w:p>
    <w:p>
      <w:pPr>
        <w:pStyle w:val="Heading5"/>
      </w:pPr>
      <w:bookmarkStart w:id="23" w:name="_Toc36544550"/>
      <w:r>
        <w:rPr>
          <w:rStyle w:val="CharSectno"/>
        </w:rPr>
        <w:t>16</w:t>
      </w:r>
      <w:r>
        <w:t>.</w:t>
      </w:r>
      <w:r>
        <w:tab/>
        <w:t>Repeal and savings</w:t>
      </w:r>
      <w:bookmarkEnd w:id="23"/>
    </w:p>
    <w:p>
      <w:pPr>
        <w:pStyle w:val="Subsection"/>
        <w:rPr>
          <w:i/>
          <w:iCs/>
        </w:rPr>
      </w:pPr>
      <w:r>
        <w:tab/>
        <w:t>(1)</w:t>
      </w:r>
      <w:r>
        <w:tab/>
        <w:t xml:space="preserve">The </w:t>
      </w:r>
      <w:r>
        <w:rPr>
          <w:i/>
          <w:iCs/>
        </w:rPr>
        <w:t>Liquor Licensing Court Rules 2005</w:t>
      </w:r>
      <w:r>
        <w:t xml:space="preserve"> are repealed.</w:t>
      </w:r>
    </w:p>
    <w:p>
      <w:pPr>
        <w:pStyle w:val="Subsection"/>
      </w:pPr>
      <w:r>
        <w:tab/>
        <w:t>(2)</w:t>
      </w:r>
      <w:r>
        <w:tab/>
        <w:t>Proceedings under the repealed rules subsisting immediately before the commencement day may be continued as if the repealed rules had not been repealed.</w:t>
      </w:r>
    </w:p>
    <w:p>
      <w:pPr>
        <w:pStyle w:val="Subsection"/>
      </w:pPr>
      <w:r>
        <w:tab/>
        <w:t>(3)</w:t>
      </w:r>
      <w:r>
        <w:tab/>
        <w:t>In this rule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rules come into operation;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repealed rules</w:t>
      </w:r>
      <w:r>
        <w:t xml:space="preserve"> means the rules repealed by subrule (1).</w:t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4" w:name="_Toc36544551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Costs and charges payable in relation to proceedings</w:t>
      </w:r>
      <w:bookmarkEnd w:id="24"/>
    </w:p>
    <w:p>
      <w:pPr>
        <w:pStyle w:val="yShoulderClause"/>
        <w:spacing w:after="60"/>
      </w:pPr>
      <w:r>
        <w:t>[r. 15]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495"/>
        <w:gridCol w:w="1134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Cost or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Charge payable for lodging an application for the review of a decision by the Director (rule 5 and section 25 of the Act)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>
            <w:pPr>
              <w:pStyle w:val="yTableNAm"/>
              <w:jc w:val="right"/>
            </w:pPr>
            <w:r>
              <w:t>411.00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495" w:type="dxa"/>
          </w:tcPr>
          <w:p>
            <w:pPr>
              <w:pStyle w:val="yTableNAm"/>
            </w:pPr>
            <w:r>
              <w:t>Charge payable for lodging an appeal against a decision of the Commission constituted by one member (rule 6 and section 28(4a) of the Act)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t>411.00</w:t>
            </w:r>
          </w:p>
        </w:tc>
      </w:tr>
      <w:tr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rPr>
                <w:szCs w:val="22"/>
              </w:rPr>
              <w:t>Cost per page to obtain a copy of a document a party is entitled to inspect under section 16(11)(b) of the Act or a transcript of proceedings (rule 14)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>
            <w:pPr>
              <w:pStyle w:val="yTableNAm"/>
              <w:jc w:val="right"/>
            </w:pPr>
            <w:r>
              <w:rPr>
                <w:szCs w:val="22"/>
              </w:rPr>
              <w:t>5.00</w:t>
            </w:r>
          </w:p>
        </w:tc>
      </w:tr>
    </w:tbl>
    <w:p>
      <w:pPr>
        <w:pStyle w:val="yFootnotesection"/>
      </w:pPr>
      <w:r>
        <w:tab/>
        <w:t>[Schedule 1 amended: Gazette 1 Dec 2009 p. 4816; 21 Jun 2011 p. 2251</w:t>
      </w:r>
      <w:r>
        <w:noBreakHyphen/>
        <w:t>2; 18 Nov 2014 p. 4328; 10 Sep 2019 p. 3226; SL 2020/29 r. 5.]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6" w:name="_Toc36544552"/>
      <w:r>
        <w:t>Notes</w:t>
      </w:r>
      <w:bookmarkEnd w:id="2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Liquor Commission Rules 2007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27" w:name="_Toc36544553"/>
      <w:r>
        <w:t>Compilation table</w:t>
      </w:r>
      <w:bookmarkEnd w:id="27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08"/>
        <w:gridCol w:w="10"/>
        <w:gridCol w:w="1276"/>
        <w:gridCol w:w="29"/>
        <w:gridCol w:w="2363"/>
      </w:tblGrid>
      <w:tr>
        <w:trPr>
          <w:tblHeader/>
        </w:trPr>
        <w:tc>
          <w:tcPr>
            <w:tcW w:w="31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3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Liquor Commission Rules 2007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5 Oct 2007 p. 5313</w:t>
            </w:r>
            <w:r>
              <w:noBreakHyphen/>
              <w:t>23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5 Oct 2007 (see r. 2(a));</w:t>
            </w:r>
            <w:r>
              <w:rPr>
                <w:snapToGrid w:val="0"/>
              </w:rPr>
              <w:br/>
              <w:t>Rules other than r. 1 and 2: 6 Oct 2007 (see r. 2(b))</w:t>
            </w:r>
          </w:p>
        </w:tc>
      </w:tr>
      <w:tr>
        <w:tc>
          <w:tcPr>
            <w:tcW w:w="3118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Dec 2009 p. 4816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 Dec 2009 (see r. 2(a));</w:t>
            </w:r>
            <w:r>
              <w:rPr>
                <w:snapToGrid w:val="0"/>
              </w:rPr>
              <w:br/>
              <w:t>Rules other than r. 1 and 2: 2 Dec 2009 (see r. 2(b))</w:t>
            </w:r>
          </w:p>
        </w:tc>
      </w:tr>
      <w:tr>
        <w:tc>
          <w:tcPr>
            <w:tcW w:w="3118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 Jun 2011 p. 2251</w:t>
            </w:r>
            <w:r>
              <w:noBreakHyphen/>
              <w:t>2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21 Jun 2011 (see r. 2(a));</w:t>
            </w:r>
            <w:r>
              <w:rPr>
                <w:snapToGrid w:val="0"/>
              </w:rPr>
              <w:br/>
              <w:t>Rules other than r. 1 and 2: 22 Jun 2011 (see r. 2(b))</w:t>
            </w:r>
          </w:p>
        </w:tc>
      </w:tr>
      <w:tr>
        <w:tc>
          <w:tcPr>
            <w:tcW w:w="3118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Nov 2014 p. 4327</w:t>
            </w:r>
            <w:r>
              <w:noBreakHyphen/>
              <w:t>8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>Rules other than r. 1 and 2: 19 Nov 2014 (see r. 2(b))</w:t>
            </w:r>
          </w:p>
        </w:tc>
      </w:tr>
      <w:tr>
        <w:tc>
          <w:tcPr>
            <w:tcW w:w="6786" w:type="dxa"/>
            <w:gridSpan w:val="5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Liquor Commission Rules 2007</w:t>
            </w:r>
            <w:r>
              <w:rPr>
                <w:b/>
                <w:bCs/>
                <w:snapToGrid w:val="0"/>
                <w:spacing w:val="-2"/>
              </w:rPr>
              <w:t xml:space="preserve"> as at 10 Mar 2017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0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  <w:spacing w:val="-2"/>
              </w:rPr>
            </w:pPr>
            <w:r>
              <w:rPr>
                <w:i/>
              </w:rPr>
              <w:t>Liquor Commission Amendment Rules 2019</w:t>
            </w:r>
          </w:p>
        </w:tc>
        <w:tc>
          <w:tcPr>
            <w:tcW w:w="1315" w:type="dxa"/>
            <w:gridSpan w:val="3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10 Sep 2019 p. 3225-6</w:t>
            </w:r>
          </w:p>
        </w:tc>
        <w:tc>
          <w:tcPr>
            <w:tcW w:w="23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 2: 10 Sep 2019 (see r. 2(a));</w:t>
            </w:r>
            <w:r>
              <w:rPr>
                <w:bCs/>
                <w:snapToGrid w:val="0"/>
                <w:spacing w:val="-2"/>
              </w:rPr>
              <w:br/>
              <w:t>Rules other than r. 1 and 2: 1 Jan 2020 (see r. 2(b))</w:t>
            </w:r>
          </w:p>
        </w:tc>
      </w:tr>
      <w:tr>
        <w:tc>
          <w:tcPr>
            <w:tcW w:w="3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2020</w:t>
            </w:r>
          </w:p>
        </w:tc>
        <w:tc>
          <w:tcPr>
            <w:tcW w:w="13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2020/29</w:t>
            </w:r>
            <w:r>
              <w:br/>
              <w:t xml:space="preserve">31 Mar 2020 </w:t>
            </w:r>
          </w:p>
        </w:tc>
        <w:tc>
          <w:tcPr>
            <w:tcW w:w="23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 1 and 2: </w:t>
            </w:r>
            <w:r>
              <w:t>31 Mar 2020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>Rules other than r. 1 and 2: 1 Apr 2020 (see r. 2(b))</w:t>
            </w:r>
          </w:p>
        </w:tc>
      </w:tr>
    </w:tbl>
    <w:p/>
    <w:p>
      <w:pPr>
        <w:sectPr>
          <w:headerReference w:type="even" r:id="rId29"/>
          <w:headerReference w:type="defaul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9" w:name="_Toc36544554"/>
      <w:r>
        <w:rPr>
          <w:sz w:val="28"/>
        </w:rPr>
        <w:t>Defined terms</w:t>
      </w:r>
      <w:bookmarkEnd w:id="29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authority</w:t>
      </w:r>
      <w:r>
        <w:tab/>
        <w:t>8A(2)</w:t>
      </w:r>
    </w:p>
    <w:p>
      <w:pPr>
        <w:pStyle w:val="DefinedTerms"/>
      </w:pPr>
      <w:r>
        <w:t>commencement day</w:t>
      </w:r>
      <w:r>
        <w:tab/>
        <w:t>16(3)</w:t>
      </w:r>
    </w:p>
    <w:p>
      <w:pPr>
        <w:pStyle w:val="DefinedTerms"/>
      </w:pPr>
      <w:r>
        <w:t>document</w:t>
      </w:r>
      <w:r>
        <w:tab/>
        <w:t>3</w:t>
      </w:r>
    </w:p>
    <w:p>
      <w:pPr>
        <w:pStyle w:val="DefinedTerms"/>
      </w:pPr>
      <w:r>
        <w:t>lodge</w:t>
      </w:r>
      <w:r>
        <w:tab/>
        <w:t>3</w:t>
      </w:r>
    </w:p>
    <w:p>
      <w:pPr>
        <w:pStyle w:val="DefinedTerms"/>
      </w:pPr>
      <w:r>
        <w:t>party</w:t>
      </w:r>
      <w:r>
        <w:tab/>
        <w:t>3</w:t>
      </w:r>
    </w:p>
    <w:p>
      <w:pPr>
        <w:pStyle w:val="DefinedTerms"/>
      </w:pPr>
      <w:r>
        <w:t>proceedings</w:t>
      </w:r>
      <w:r>
        <w:tab/>
        <w:t>3</w:t>
      </w:r>
    </w:p>
    <w:p>
      <w:pPr>
        <w:pStyle w:val="DefinedTerms"/>
      </w:pPr>
      <w:r>
        <w:t>record</w:t>
      </w:r>
      <w:r>
        <w:tab/>
        <w:t>3</w:t>
      </w:r>
    </w:p>
    <w:p>
      <w:pPr>
        <w:pStyle w:val="DefinedTerms"/>
      </w:pPr>
      <w:r>
        <w:t>repealed rules</w:t>
      </w:r>
      <w:r>
        <w:tab/>
        <w:t>16(3)</w:t>
      </w:r>
    </w:p>
    <w:p/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Apr 2020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5" w:name="Schedule"/>
    <w:bookmarkEnd w:id="2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8" w:name="Compilation"/>
    <w:bookmarkEnd w:id="2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0" w:name="DefinedTerms"/>
    <w:bookmarkEnd w:id="30"/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1" w:name="Coversheet"/>
    <w:bookmarkEnd w:id="3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203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8A8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028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36B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D4B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2C2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086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B03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DA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94F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8526648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331105353"/>
    <w:docVar w:name="WAFER_20140203152426" w:val="RemoveTocBookmarks,RemoveUnusedBookmarks,RemoveLanguageTags,UsedStyles,ResetPageSize,UpdateArrangement"/>
    <w:docVar w:name="WAFER_20140203152426_GUID" w:val="dbe93d00-a890-400c-b314-842559422701"/>
    <w:docVar w:name="WAFER_20140203153537" w:val="RemoveTocBookmarks,RunningHeaders"/>
    <w:docVar w:name="WAFER_20140203153537_GUID" w:val="74f76e10-b472-4343-b5b1-90688706cea2"/>
    <w:docVar w:name="WAFER_20141118101519" w:val="RemoveTocBookmarks,RemoveUnusedBookmarks,RemoveLanguageTags,UsedStyles,ResetPageSize,UpdateArrangement"/>
    <w:docVar w:name="WAFER_20141118101519_GUID" w:val="d796f5bd-00ae-4355-91c5-22c92f5c478a"/>
    <w:docVar w:name="WAFER_20141118101532" w:val="RemoveTocBookmarks,RemoveUnusedBookmarks,RemoveLanguageTags,UsedStyles,ResetPageSize,UpdateArrangement"/>
    <w:docVar w:name="WAFER_20141118101532_GUID" w:val="820d32c5-3ca2-4075-9f9d-eef5399eeca3"/>
    <w:docVar w:name="WAFER_20141118101547" w:val="RemoveTocBookmarks,RemoveUnusedBookmarks,RemoveLanguageTags,UsedStyles,ResetPageSize,UpdateArrangement"/>
    <w:docVar w:name="WAFER_20141118101547_GUID" w:val="403d8c67-43dc-4820-992e-814421785815"/>
    <w:docVar w:name="WAFER_20150602090726" w:val="ResetPageSize,UpdateArrangement,UpdateNTable"/>
    <w:docVar w:name="WAFER_20150602090726_GUID" w:val="9e1081a8-235e-4122-877a-95bc20a19c08"/>
    <w:docVar w:name="WAFER_20151106100332" w:val="UpdateStyles,UsedStyles"/>
    <w:docVar w:name="WAFER_20151106100332_GUID" w:val="e3be82ee-6732-4a5c-9367-869eabf10975"/>
    <w:docVar w:name="WAFER_20161110160753" w:val="RemoveTocBookmarks,RemoveUnusedBookmarks,RemoveLanguageTags,UsedStyles,ResetPageSize,RemoveCustomizations"/>
    <w:docVar w:name="WAFER_20161110160753_GUID" w:val="3a4b2b80-8469-40f8-add5-66fd77b1ece0"/>
    <w:docVar w:name="WAFER_20190909101310" w:val="RemoveTocBookmarks,RemoveUnusedBookmarks,RemoveLanguageTags,ResetPageSize,RunningHeaders,UpdateStyles,UsedStyles"/>
    <w:docVar w:name="WAFER_20190909101310_GUID" w:val="56218362-7394-41cb-aee9-c5b8890124fb"/>
    <w:docVar w:name="WAFER_20190909102018" w:val="RemoveTocBookmarks,RemoveUnusedBookmarks,RemoveLanguageTags,ResetPageSize,RunningHeaders,UpdateStyles,UsedStyles"/>
    <w:docVar w:name="WAFER_20190909102018_GUID" w:val="bfdcf0c2-b550-4f73-b74b-a14768bb0af1"/>
    <w:docVar w:name="WAFER_20191202164054" w:val="RemoveTocBookmarks,RemoveUnusedBookmarks,RemoveLanguageTags,ResetPageSize,RunningHeaders,UpdateStyles,UsedStyles"/>
    <w:docVar w:name="WAFER_20191202164054_GUID" w:val="df8c5c0a-2d4d-4bd7-9689-5983061bd8ad"/>
    <w:docVar w:name="WAFER_20200212142503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2142503_GUID" w:val="c3903adf-d747-4959-8b56-5c7f44b7c433"/>
    <w:docVar w:name="WAFER_2020033013530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330135307_GUID" w:val="b8c55c6a-88d4-4a94-b1bd-10e346e15346"/>
    <w:docVar w:name="WAFER_2020033110535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31105353_GUID" w:val="790aae7b-59e3-45b3-8a87-4f7b3c15580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image" Target="media/image2.png"/><Relationship Id="rId33" Type="http://schemas.openxmlformats.org/officeDocument/2006/relationships/header" Target="header17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6.xml"/><Relationship Id="rId37" Type="http://schemas.openxmlformats.org/officeDocument/2006/relationships/header" Target="header19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0DBB-D2F7-41C1-8275-04E8C41E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2043</Words>
  <Characters>9586</Characters>
  <Application>Microsoft Office Word</Application>
  <DocSecurity>0</DocSecurity>
  <Lines>355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Commission Rules 2007 - 01-a0-01</vt:lpstr>
    </vt:vector>
  </TitlesOfParts>
  <Manager/>
  <Company/>
  <LinksUpToDate>false</LinksUpToDate>
  <CharactersWithSpaces>11377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Rules 2007 - 01-d0-00</dc:title>
  <dc:subject/>
  <dc:creator/>
  <cp:keywords/>
  <dc:description/>
  <cp:lastModifiedBy>svcMRProcess</cp:lastModifiedBy>
  <cp:revision>4</cp:revision>
  <cp:lastPrinted>2017-03-21T01:20:00Z</cp:lastPrinted>
  <dcterms:created xsi:type="dcterms:W3CDTF">2020-03-31T06:34:00Z</dcterms:created>
  <dcterms:modified xsi:type="dcterms:W3CDTF">2020-03-31T06:34:00Z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 2007 p 5313-23</vt:lpwstr>
  </property>
  <property fmtid="{D5CDD505-2E9C-101B-9397-08002B2CF9AE}" pid="3" name="OwlsUID">
    <vt:i4>39968</vt:i4>
  </property>
  <property fmtid="{D5CDD505-2E9C-101B-9397-08002B2CF9AE}" pid="4" name="DocumentType">
    <vt:lpwstr>Reg</vt:lpwstr>
  </property>
  <property fmtid="{D5CDD505-2E9C-101B-9397-08002B2CF9AE}" pid="5" name="ReprintedAsAt">
    <vt:filetime>2017-03-09T16:00:00Z</vt:filetime>
  </property>
  <property fmtid="{D5CDD505-2E9C-101B-9397-08002B2CF9AE}" pid="6" name="ReprintNo">
    <vt:lpwstr>1</vt:lpwstr>
  </property>
  <property fmtid="{D5CDD505-2E9C-101B-9397-08002B2CF9AE}" pid="7" name="AsAtDate">
    <vt:lpwstr>01 Apr 2020</vt:lpwstr>
  </property>
  <property fmtid="{D5CDD505-2E9C-101B-9397-08002B2CF9AE}" pid="8" name="Suffix">
    <vt:lpwstr>01-d0-00</vt:lpwstr>
  </property>
  <property fmtid="{D5CDD505-2E9C-101B-9397-08002B2CF9AE}" pid="9" name="CommencementDate">
    <vt:lpwstr>20200401</vt:lpwstr>
  </property>
</Properties>
</file>