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_Toc38007700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_Toc38007701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areas</w:t>
      </w:r>
      <w:r>
        <w:tab/>
      </w:r>
      <w:r>
        <w:fldChar w:fldCharType="begin"/>
      </w:r>
      <w:r>
        <w:instrText xml:space="preserve"> PAGEREF _Toc38007702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_Toc38007703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Prescribed amount for flat rate</w:t>
      </w:r>
      <w:r>
        <w:tab/>
      </w:r>
      <w:r>
        <w:fldChar w:fldCharType="begin"/>
      </w:r>
      <w:r>
        <w:instrText xml:space="preserve"> PAGEREF _Toc38007704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r>
        <w:tab/>
      </w:r>
      <w:r>
        <w:fldChar w:fldCharType="begin"/>
      </w:r>
      <w:r>
        <w:instrText xml:space="preserve"> PAGEREF _Toc38007705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_Toc38007707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3800770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3800770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38007702"/>
      <w:r>
        <w:rPr>
          <w:rStyle w:val="CharSectno"/>
        </w:rPr>
        <w:t>3</w:t>
      </w:r>
      <w:r>
        <w:t>.</w:t>
      </w:r>
      <w:r>
        <w:tab/>
        <w:t>Prescribed areas</w:t>
      </w:r>
      <w:bookmarkEnd w:id="6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>
        <w:tc>
          <w:tcPr>
            <w:tcW w:w="2977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Boyup Brook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Bridgetown</w:t>
            </w:r>
            <w:r>
              <w:noBreakHyphen/>
              <w:t>Greenbushes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Capel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Carnamah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Carnarvon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Chapman Valley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Coolgardie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 xml:space="preserve">Coorow 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Cue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Dalwallinu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Dandaragan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lastRenderedPageBreak/>
              <w:t>Dardanup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Donnybrook</w:t>
            </w:r>
            <w:r>
              <w:noBreakHyphen/>
              <w:t>Balingup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Dundas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East Pilbara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Esperance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Exmouth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Greater Geraldton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Halls Creek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Harvey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 xml:space="preserve">Irwin 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Koorda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Kulin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Lake Grace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Laverton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Leonora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Mandurah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 xml:space="preserve">Mingenew 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 xml:space="preserve">Moora 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Morawa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Mount Magnet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Mount Marshall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Mukinbudin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Murchison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Murray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Nannup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Narembeen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Ngaanyatjarraku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Northampton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Nungarin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Port Hedland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Ravensthorpe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Serpentine</w:t>
            </w:r>
            <w:r>
              <w:noBreakHyphen/>
              <w:t>Jarrahdale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Shark Bay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Three Springs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Trayning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Upper Gascoyne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Waroona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West Arthur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Westonia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</w:tr>
      <w:tr>
        <w:tc>
          <w:tcPr>
            <w:tcW w:w="2977" w:type="dxa"/>
          </w:tcPr>
          <w:p>
            <w:pPr>
              <w:pStyle w:val="TableNAm"/>
            </w:pPr>
            <w:r>
              <w:t>Yalgoo</w:t>
            </w:r>
          </w:p>
        </w:tc>
        <w:tc>
          <w:tcPr>
            <w:tcW w:w="2835" w:type="dxa"/>
          </w:tcPr>
          <w:p>
            <w:pPr>
              <w:pStyle w:val="TableNAm"/>
            </w:pPr>
            <w:r>
              <w:t>Yilgarn</w:t>
            </w:r>
          </w:p>
        </w:tc>
      </w:tr>
    </w:tbl>
    <w:p>
      <w:pPr>
        <w:pStyle w:val="Footnotesection"/>
      </w:pPr>
      <w:r>
        <w:tab/>
        <w:t>[Regulation 3 inserted: SL 2020/38 r. 4.]</w:t>
      </w:r>
    </w:p>
    <w:p>
      <w:pPr>
        <w:pStyle w:val="Heading5"/>
        <w:rPr>
          <w:snapToGrid w:val="0"/>
        </w:rPr>
      </w:pPr>
      <w:bookmarkStart w:id="7" w:name="_Toc3800770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  <w:keepNext/>
      </w:pPr>
      <w:r>
        <w:tab/>
        <w:t>(b)</w:t>
      </w:r>
      <w:r>
        <w:tab/>
        <w:t xml:space="preserve">in so far as is reasonably practicable, give a copy of the notice to each owner of affected land if — </w:t>
      </w:r>
    </w:p>
    <w:p>
      <w:pPr>
        <w:pStyle w:val="Indenti"/>
      </w:pPr>
      <w:r>
        <w:tab/>
        <w:t>(i)</w:t>
      </w:r>
      <w:r>
        <w:tab/>
        <w:t>the Minister has not made a determination in relation to the rate chargeable on the affected land for the previous financial year; or</w:t>
      </w:r>
    </w:p>
    <w:p>
      <w:pPr>
        <w:pStyle w:val="Indenti"/>
      </w:pPr>
      <w:r>
        <w:tab/>
        <w:t>(ii)</w:t>
      </w:r>
      <w:r>
        <w:tab/>
        <w:t>the rate the Minister proposes to determine is an increase of 5% or more on the rate determined in respect of the affected land in the previous financial year.</w:t>
      </w:r>
    </w:p>
    <w:p>
      <w:pPr>
        <w:pStyle w:val="Footnotesection"/>
      </w:pPr>
      <w:r>
        <w:tab/>
        <w:t>[Regulation 4 amended: Gazette 17 May 2019 p. 1433.]</w:t>
      </w:r>
    </w:p>
    <w:p>
      <w:pPr>
        <w:pStyle w:val="Heading5"/>
      </w:pPr>
      <w:bookmarkStart w:id="8" w:name="_Toc38007704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8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inserted: Gazette 3 Feb 2017 p. 1110.]</w:t>
      </w:r>
    </w:p>
    <w:p>
      <w:pPr>
        <w:pStyle w:val="Heading5"/>
      </w:pPr>
      <w:bookmarkStart w:id="9" w:name="_Toc38007705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946844"/>
      <w:bookmarkStart w:id="11" w:name="_Toc38007627"/>
      <w:bookmarkStart w:id="12" w:name="_Toc38007706"/>
      <w:bookmarkStart w:id="13" w:name="_Toc37944641"/>
      <w:bookmarkStart w:id="14" w:name="_Toc37944656"/>
      <w:r>
        <w:t>Notes</w:t>
      </w:r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5" w:name="_Toc38007707"/>
      <w:r>
        <w:t>Compilation table</w:t>
      </w:r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30 May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 May 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Aug 2017 p. 4445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18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19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15 May 2018 p. 1528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15 May 2018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16 May 2018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May 2019 p. 1433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17 May 2019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18 May 2019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2020/38</w:t>
            </w:r>
            <w:r>
              <w:br/>
              <w:t xml:space="preserve">17 Apr 2020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17 Apr 2020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18 Apr 2020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37946846"/>
      <w:bookmarkStart w:id="18" w:name="_Toc38007629"/>
      <w:bookmarkStart w:id="19" w:name="_Toc38007708"/>
      <w:r>
        <w:rPr>
          <w:sz w:val="28"/>
        </w:rPr>
        <w:t>Defined terms</w:t>
      </w:r>
      <w:bookmarkEnd w:id="13"/>
      <w:bookmarkEnd w:id="14"/>
      <w:bookmarkEnd w:id="17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4(1)</w:t>
      </w:r>
    </w:p>
    <w:p>
      <w:pPr>
        <w:pStyle w:val="DefinedTerms"/>
      </w:pPr>
      <w:r>
        <w:t>relevant newspaper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4A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416154538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  <w:docVar w:name="WAFER_20180514111331" w:val="RemoveTocBookmarks,RemoveUnusedBookmarks,RemoveLanguageTags,UsedStyles,ResetPageSize"/>
    <w:docVar w:name="WAFER_20180514111331_GUID" w:val="f178911a-ed33-4944-b78a-d2b36aec596d"/>
    <w:docVar w:name="WAFER_20190516143628" w:val="RemoveTocBookmarks,RemoveUnusedBookmarks,RemoveLanguageTags,ResetPageSize,RunningHeaders,UpdateStyles,UsedStyles"/>
    <w:docVar w:name="WAFER_20190516143628_GUID" w:val="f6fad4ef-eb96-4757-a7da-33f117c0baf5"/>
    <w:docVar w:name="WAFER_2020041615453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416154538_GUID" w:val="76f5d8f2-28f9-4e6b-b7eb-460d6773c6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112A-A1CD-46BD-BCF8-F9D31937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864</Words>
  <Characters>5351</Characters>
  <Application>Microsoft Office Word</Application>
  <DocSecurity>0</DocSecurity>
  <Lines>267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2014 - 00-g0-00</dc:title>
  <dc:subject/>
  <dc:creator/>
  <cp:keywords/>
  <dc:description/>
  <cp:lastModifiedBy>svcMRProcess</cp:lastModifiedBy>
  <cp:revision>4</cp:revision>
  <cp:lastPrinted>2016-05-03T08:08:00Z</cp:lastPrinted>
  <dcterms:created xsi:type="dcterms:W3CDTF">2020-04-17T06:29:00Z</dcterms:created>
  <dcterms:modified xsi:type="dcterms:W3CDTF">2020-04-17T06:29:00Z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AsAtDate">
    <vt:lpwstr>18 Apr 2020</vt:lpwstr>
  </property>
  <property fmtid="{D5CDD505-2E9C-101B-9397-08002B2CF9AE}" pid="5" name="Suffix">
    <vt:lpwstr>00-g0-00</vt:lpwstr>
  </property>
  <property fmtid="{D5CDD505-2E9C-101B-9397-08002B2CF9AE}" pid="6" name="CommencementDate">
    <vt:lpwstr>20200418</vt:lpwstr>
  </property>
</Properties>
</file>